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2024年超长期特别国债“以旧换新”项目医疗设备集中采购（二十二）</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SCIT-HNZG-2025050006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四川国际招标有限责任公司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2024年超长期特别国债“以旧换新”项目医疗设备集中采购（二十二）</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SCIT-HNZG-2025050006</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2024年超长期特别国债“以旧换新”项目医疗设备集中采购（二十二）</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54,841,100.00元</w:t>
      </w:r>
      <w:r>
        <w:rPr>
          <w:rFonts w:ascii="仿宋_GB2312" w:hAnsi="仿宋_GB2312" w:cs="仿宋_GB2312" w:eastAsia="仿宋_GB2312"/>
        </w:rPr>
        <w:t>伍仟肆佰捌拾肆万壹仟壹佰元整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在合同签订后国产设备30日内，进口设备60日内交付合同标的物设备。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在合同签订后国产设备30日内，进口设备60日内交付合同标的物设备。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在合同签订后国产设备30日内，进口设备60日内交付合同标的物设备。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在合同签订后国产设备30日内，进口设备60日内交付合同标的物设备。</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在合同签订后国产设备30日内，进口设备60日内交付合同标的物设备。</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在合同签订后国产设备30日内，进口设备60日内交付合同标的物设备。</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在合同签订后国产设备30日内，进口设备60日内交付合同标的物设备。</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在合同签订后国产设备30日内，进口设备60日内交付合同标的物设备。</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在合同签订后30日内交付合同标的物设备。</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在合同签订后30日内交付合同标的物设备。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jc w:val="left"/>
      </w:pPr>
      <w:r>
        <w:rPr>
          <w:rFonts w:ascii="仿宋_GB2312" w:hAnsi="仿宋_GB2312" w:cs="仿宋_GB2312" w:eastAsia="仿宋_GB2312"/>
        </w:rPr>
        <w:t>采购包10：不属于专门面向中小企业采购。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1、特定资格审查（资质条件）：1）①投标人为生产企业的，投标货物若属于第一类医疗器械产品，须提供第一类医疗器械生产备案凭证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1、特定资格审查（资质条件）：1）①投标人为生产企业的，投标货物若属于第一类医疗器械产品，须提供第一类医疗器械生产备案凭证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1、特定资格审查（资质条件）：1）①投标人为生产企业的，投标货物若属于第一类医疗器械产品，须提供第一类医疗器械生产备案凭证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1、特定资格审查（资质条件）：1）①投标人为生产企业的，投标货物若属于第一类医疗器械产品，须提供第一类医疗器械生产备案凭证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1、特定资格审查（资质条件）：1）①投标人为生产企业的，投标货物若属于第一类医疗器械产品，须提供第一类医疗器械生产备案凭证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1、特定资格审查（资质条件）：1）①投标人为生产企业的，投标货物若属于第一类医疗器械产品，须提供第一类医疗器械生产备案凭证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1、特定资格审查（资质条件）：1）①投标人为生产企业的，投标货物若属于第一类医疗器械产品，须提供第一类医疗器械生产备案凭证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1、特定资格审查（资质条件）：1）①投标人为生产企业的，投标货物若属于第一类医疗器械产品，须提供第一类医疗器械生产备案凭证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1、特定资格审查（资质条件）：①投标人为生产企业的，投标货物若属于第一类医疗器械产品，须提供第一类医疗器械生产备案凭证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1、特定资格审查（资质条件）：①投标人为生产企业的，投标货物若属于第一类医疗器械产品，须提供第一类医疗器械生产备案凭证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1、本项目落实的政府采购政策：促进中小企业发展、促进监狱企业发展、促进残疾人福利性单位发展。 2、本项目不专门面向中小企业采购的原因：按照政府采购促进中小企业发展管理办法规定预留采购份额无法确保充分供应、充分竞争，或者存在可能影响政府采购目标实现的情形，本项目不专门面向中小企业。 3、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4、本项目为远程不见面开标，供应商无须到达开标现场，但开标前必须进入电子开标大厅在线签到（未签到视为无效投标），远程按时参加在线开标解密、开标记录盖章确认等即可。 5、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 xml:space="preserve"> 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邢天赤</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海南省海口市龙华区国贸路26号汇通大厦704、706、707室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技术负责人（甘曼）、项目经理（蔡俊江）、项目助理（吴师娟）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18976346657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采购包1：4,200,000.00元</w:t>
            </w:r>
          </w:p>
          <w:p>
            <w:pPr>
              <w:pStyle w:val="null3"/>
              <w:jc w:val="left"/>
            </w:pPr>
            <w:r>
              <w:rPr>
                <w:rFonts w:ascii="仿宋_GB2312" w:hAnsi="仿宋_GB2312" w:cs="仿宋_GB2312" w:eastAsia="仿宋_GB2312"/>
              </w:rPr>
              <w:t>采购包2：4,846,000.00元</w:t>
            </w:r>
          </w:p>
          <w:p>
            <w:pPr>
              <w:pStyle w:val="null3"/>
              <w:jc w:val="left"/>
            </w:pPr>
            <w:r>
              <w:rPr>
                <w:rFonts w:ascii="仿宋_GB2312" w:hAnsi="仿宋_GB2312" w:cs="仿宋_GB2312" w:eastAsia="仿宋_GB2312"/>
              </w:rPr>
              <w:t>采购包3：2,500,000.00元</w:t>
            </w:r>
          </w:p>
          <w:p>
            <w:pPr>
              <w:pStyle w:val="null3"/>
              <w:jc w:val="left"/>
            </w:pPr>
            <w:r>
              <w:rPr>
                <w:rFonts w:ascii="仿宋_GB2312" w:hAnsi="仿宋_GB2312" w:cs="仿宋_GB2312" w:eastAsia="仿宋_GB2312"/>
              </w:rPr>
              <w:t>采购包4：3,000,000.00元</w:t>
            </w:r>
          </w:p>
          <w:p>
            <w:pPr>
              <w:pStyle w:val="null3"/>
              <w:jc w:val="left"/>
            </w:pPr>
            <w:r>
              <w:rPr>
                <w:rFonts w:ascii="仿宋_GB2312" w:hAnsi="仿宋_GB2312" w:cs="仿宋_GB2312" w:eastAsia="仿宋_GB2312"/>
              </w:rPr>
              <w:t>采购包5：3,500,000.00元</w:t>
            </w:r>
          </w:p>
          <w:p>
            <w:pPr>
              <w:pStyle w:val="null3"/>
              <w:jc w:val="left"/>
            </w:pPr>
            <w:r>
              <w:rPr>
                <w:rFonts w:ascii="仿宋_GB2312" w:hAnsi="仿宋_GB2312" w:cs="仿宋_GB2312" w:eastAsia="仿宋_GB2312"/>
              </w:rPr>
              <w:t>采购包6：10,800,000.00元</w:t>
            </w:r>
          </w:p>
          <w:p>
            <w:pPr>
              <w:pStyle w:val="null3"/>
              <w:jc w:val="left"/>
            </w:pPr>
            <w:r>
              <w:rPr>
                <w:rFonts w:ascii="仿宋_GB2312" w:hAnsi="仿宋_GB2312" w:cs="仿宋_GB2312" w:eastAsia="仿宋_GB2312"/>
              </w:rPr>
              <w:t>采购包7：18,000,000.00元</w:t>
            </w:r>
          </w:p>
          <w:p>
            <w:pPr>
              <w:pStyle w:val="null3"/>
              <w:jc w:val="left"/>
            </w:pPr>
            <w:r>
              <w:rPr>
                <w:rFonts w:ascii="仿宋_GB2312" w:hAnsi="仿宋_GB2312" w:cs="仿宋_GB2312" w:eastAsia="仿宋_GB2312"/>
              </w:rPr>
              <w:t>采购包8：2,200,000.00元</w:t>
            </w:r>
          </w:p>
          <w:p>
            <w:pPr>
              <w:pStyle w:val="null3"/>
              <w:jc w:val="left"/>
            </w:pPr>
            <w:r>
              <w:rPr>
                <w:rFonts w:ascii="仿宋_GB2312" w:hAnsi="仿宋_GB2312" w:cs="仿宋_GB2312" w:eastAsia="仿宋_GB2312"/>
              </w:rPr>
              <w:t>采购包9：195,100.00元</w:t>
            </w:r>
          </w:p>
          <w:p>
            <w:pPr>
              <w:pStyle w:val="null3"/>
              <w:jc w:val="left"/>
            </w:pPr>
            <w:r>
              <w:rPr>
                <w:rFonts w:ascii="仿宋_GB2312" w:hAnsi="仿宋_GB2312" w:cs="仿宋_GB2312" w:eastAsia="仿宋_GB2312"/>
              </w:rPr>
              <w:t>采购包10：5,600,000.00元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p>
          <w:p>
            <w:pPr>
              <w:pStyle w:val="null3"/>
              <w:jc w:val="left"/>
            </w:pPr>
            <w:r>
              <w:rPr>
                <w:rFonts w:ascii="仿宋_GB2312" w:hAnsi="仿宋_GB2312" w:cs="仿宋_GB2312" w:eastAsia="仿宋_GB2312"/>
              </w:rPr>
              <w:t>采购包10：综合评分法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采购包10：不接受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p>
            <w:pPr>
              <w:pStyle w:val="null3"/>
              <w:jc w:val="left"/>
            </w:pPr>
            <w:r>
              <w:rPr>
                <w:rFonts w:ascii="仿宋_GB2312" w:hAnsi="仿宋_GB2312" w:cs="仿宋_GB2312" w:eastAsia="仿宋_GB2312"/>
              </w:rPr>
              <w:t>采购包9：不缴纳</w:t>
            </w:r>
          </w:p>
          <w:p>
            <w:pPr>
              <w:pStyle w:val="null3"/>
              <w:jc w:val="left"/>
            </w:pPr>
            <w:r>
              <w:rPr>
                <w:rFonts w:ascii="仿宋_GB2312" w:hAnsi="仿宋_GB2312" w:cs="仿宋_GB2312" w:eastAsia="仿宋_GB2312"/>
              </w:rPr>
              <w:t>采购包10：不缴纳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代理服务费收费标准：本项目收取代理服务费 代理服务费用收取对象：中标/成交供应商 代理服务费收费标准：代理费用由 中标（成交）供应商 支付，按照中标（成交）金额，以 中标（成交）金额为计费基数，参照《海南省物价局关于降低部分招标代理机构服务收费标准的通知》（琼价费管〔2011〕225号）文件规定的收费标准执行。在中标（成交）通知书领取之前 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p>
            <w:pPr>
              <w:pStyle w:val="null3"/>
              <w:jc w:val="left"/>
            </w:pPr>
            <w:r>
              <w:rPr>
                <w:rFonts w:ascii="仿宋_GB2312" w:hAnsi="仿宋_GB2312" w:cs="仿宋_GB2312" w:eastAsia="仿宋_GB2312"/>
              </w:rPr>
              <w:t>采购包10：不允许分包；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p>
            <w:pPr>
              <w:pStyle w:val="null3"/>
              <w:jc w:val="left"/>
            </w:pPr>
            <w:r>
              <w:rPr>
                <w:rFonts w:ascii="仿宋_GB2312" w:hAnsi="仿宋_GB2312" w:cs="仿宋_GB2312" w:eastAsia="仿宋_GB2312"/>
              </w:rPr>
              <w:t>采购包10：3名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p>
            <w:pPr>
              <w:pStyle w:val="null3"/>
              <w:jc w:val="left"/>
            </w:pPr>
            <w:r>
              <w:rPr>
                <w:rFonts w:ascii="仿宋_GB2312" w:hAnsi="仿宋_GB2312" w:cs="仿宋_GB2312" w:eastAsia="仿宋_GB2312"/>
              </w:rPr>
              <w:t>采购包10：1名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其他政府采购政策（实质性要求）：根据《海南省财政厅关于印发海南省绿色产品政府采购实施意见(试行)的通知》，参加政府采购活动前三年内，投标人有环保类行政处罚记录的，其投标无效。参加本次政府采购活动的投标人应当提供《环保类行政处罚记录声明函》（格式详见本项目招标文件第六章）。 2.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3.其他政府采购政策（实质性要求）：投标企业及产品要符合《财政部关于在政府采购活动中对自欧盟进口的医疗器械采取相关措施的通知》（财库[2025]19号）要求。</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联系人：甘女士</w:t>
      </w:r>
    </w:p>
    <w:p>
      <w:pPr>
        <w:pStyle w:val="null3"/>
        <w:jc w:val="left"/>
      </w:pPr>
      <w:r>
        <w:rPr>
          <w:rFonts w:ascii="仿宋_GB2312" w:hAnsi="仿宋_GB2312" w:cs="仿宋_GB2312" w:eastAsia="仿宋_GB2312"/>
        </w:rPr>
        <w:t>联系电话：0898-68520848转822</w:t>
      </w:r>
    </w:p>
    <w:p>
      <w:pPr>
        <w:pStyle w:val="null3"/>
        <w:jc w:val="left"/>
      </w:pPr>
      <w:r>
        <w:rPr>
          <w:rFonts w:ascii="仿宋_GB2312" w:hAnsi="仿宋_GB2312" w:cs="仿宋_GB2312" w:eastAsia="仿宋_GB2312"/>
        </w:rPr>
        <w:t>地址：四川国际招标有限责任公司海南分公司总工室（海南省海口市龙华区国贸路26号汇通大厦（现安徽大厦）706室）</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2024年超长期特别国债“以旧换新”项目医疗设备集中采购（二十二）包含21台设备，分10个包，预算金额合计5484.11万元。该项目设备的购置将进一步优化省内各级医疗机构的医疗资源布局与配置，满足省内各级医疗机构的需求，为人民群众和境内外游客、投资者的健康保障需求提供医疗技术服务，全面提升海南自由贸易港医疗服务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4,200,000.00</w:t>
      </w:r>
    </w:p>
    <w:p>
      <w:pPr>
        <w:pStyle w:val="null3"/>
        <w:jc w:val="left"/>
      </w:pPr>
      <w:r>
        <w:rPr>
          <w:rFonts w:ascii="仿宋_GB2312" w:hAnsi="仿宋_GB2312" w:cs="仿宋_GB2312" w:eastAsia="仿宋_GB2312"/>
        </w:rPr>
        <w:t>采购包最高限价（元）: 4,200,000.00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电子胃肠镜系统（三）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4,846,000.00</w:t>
      </w:r>
    </w:p>
    <w:p>
      <w:pPr>
        <w:pStyle w:val="null3"/>
        <w:jc w:val="left"/>
      </w:pPr>
      <w:r>
        <w:rPr>
          <w:rFonts w:ascii="仿宋_GB2312" w:hAnsi="仿宋_GB2312" w:cs="仿宋_GB2312" w:eastAsia="仿宋_GB2312"/>
        </w:rPr>
        <w:t>采购包最高限价（元）: 4,846,000.00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电子胃肠镜系统（四）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4,846,000.00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2,500,000.00</w:t>
      </w:r>
    </w:p>
    <w:p>
      <w:pPr>
        <w:pStyle w:val="null3"/>
        <w:jc w:val="left"/>
      </w:pPr>
      <w:r>
        <w:rPr>
          <w:rFonts w:ascii="仿宋_GB2312" w:hAnsi="仿宋_GB2312" w:cs="仿宋_GB2312" w:eastAsia="仿宋_GB2312"/>
        </w:rPr>
        <w:t>采购包最高限价（元）: 2,500,000.00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电子胃肠镜系统（六）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电子胃肠镜系统（七）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3,500,000.00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电子胃肠镜系统（八）</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10,800,000.00</w:t>
      </w:r>
    </w:p>
    <w:p>
      <w:pPr>
        <w:pStyle w:val="null3"/>
        <w:jc w:val="left"/>
      </w:pPr>
      <w:r>
        <w:rPr>
          <w:rFonts w:ascii="仿宋_GB2312" w:hAnsi="仿宋_GB2312" w:cs="仿宋_GB2312" w:eastAsia="仿宋_GB2312"/>
        </w:rPr>
        <w:t>采购包最高限价（元）: 10,800,000.00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电子胃肠镜系统（九）</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10,800,000.00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18,000,000.00</w:t>
      </w:r>
    </w:p>
    <w:p>
      <w:pPr>
        <w:pStyle w:val="null3"/>
        <w:jc w:val="left"/>
      </w:pPr>
      <w:r>
        <w:rPr>
          <w:rFonts w:ascii="仿宋_GB2312" w:hAnsi="仿宋_GB2312" w:cs="仿宋_GB2312" w:eastAsia="仿宋_GB2312"/>
        </w:rPr>
        <w:t>采购包最高限价（元）: 18,000,000.00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电子胃肠镜系统（十）</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18,000,000.00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2,200,000.00</w:t>
      </w:r>
    </w:p>
    <w:p>
      <w:pPr>
        <w:pStyle w:val="null3"/>
        <w:jc w:val="left"/>
      </w:pPr>
      <w:r>
        <w:rPr>
          <w:rFonts w:ascii="仿宋_GB2312" w:hAnsi="仿宋_GB2312" w:cs="仿宋_GB2312" w:eastAsia="仿宋_GB2312"/>
        </w:rPr>
        <w:t>采购包最高限价（元）: 2,200,000.00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内镜设备（电刀主机）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195,100.00</w:t>
      </w:r>
    </w:p>
    <w:p>
      <w:pPr>
        <w:pStyle w:val="null3"/>
        <w:jc w:val="left"/>
      </w:pPr>
      <w:r>
        <w:rPr>
          <w:rFonts w:ascii="仿宋_GB2312" w:hAnsi="仿宋_GB2312" w:cs="仿宋_GB2312" w:eastAsia="仿宋_GB2312"/>
        </w:rPr>
        <w:t>采购包最高限价（元）: 195,100.00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幽门螺杆菌(Hp)测试仪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149,600.00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全自动活检枪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45,500.00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5,600,000.00</w:t>
      </w:r>
    </w:p>
    <w:p>
      <w:pPr>
        <w:pStyle w:val="null3"/>
        <w:jc w:val="left"/>
      </w:pPr>
      <w:r>
        <w:rPr>
          <w:rFonts w:ascii="仿宋_GB2312" w:hAnsi="仿宋_GB2312" w:cs="仿宋_GB2312" w:eastAsia="仿宋_GB2312"/>
        </w:rPr>
        <w:t>采购包最高限价（元）: 5,600,000.00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电子胃肠镜系统（五）</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5,600,000.00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电子胃肠镜系统（三）</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电子胃肠镜系统（四）</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4,846,000.00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电子胃肠镜系统（六）</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电子胃肠镜系统（七）</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电子胃肠镜系统（八）</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电子胃肠镜系统（九）</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电子胃肠镜系统（十）</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内镜设备（电刀主机）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幽门螺杆菌(Hp)测试仪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149,600.00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全自动活检枪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电子胃肠镜系统（五）</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标的名称：电子胃肠镜系统（三）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标的名称：电子胃肠镜系统（四）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标的名称：电子胃肠镜系统（六）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标的名称：电子胃肠镜系统（七）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标的名称：电子胃肠镜系统（八）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标的名称：电子胃肠镜系统（九）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标的名称：电子胃肠镜系统（十）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标的名称：内镜设备（电刀主机）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标的名称：幽门螺杆菌(Hp)测试仪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标的名称：全自动活检枪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标的名称：电子胃肠镜系统（五）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特定资格审查（资质条件）</w:t>
            </w:r>
          </w:p>
        </w:tc>
        <w:tc>
          <w:tcPr>
            <w:tcW w:type="dxa" w:w="3322"/>
          </w:tcPr>
          <w:p>
            <w:pPr>
              <w:pStyle w:val="null3"/>
              <w:jc w:val="left"/>
            </w:pPr>
            <w:r>
              <w:rPr>
                <w:rFonts w:ascii="仿宋_GB2312" w:hAnsi="仿宋_GB2312" w:cs="仿宋_GB2312" w:eastAsia="仿宋_GB2312"/>
              </w:rPr>
              <w:t>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投标（响应）报价明细表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投标（响应）报价明细表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投标人无不良信用记录 其他材料 投标函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投标（响应）报价明细表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标“▲”条款（6分）：符合技术要求得6分；每负偏离1项扣3分，负偏离达2项的，此项得0分；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65条，按以下要求赋分：A：一般技术参数完全满足，得34分；B：一般技术参数不满足1-20项区间时，每不满足一条参数扣1分；C：一般技术参数不满足21-45项区间时，每不满足一条参数扣0.4分； D：一般技术参数不满足46-65项区间时， 每不满足一条参数扣0.2分。最低得0分，漏报技术条款视为不满足。注：上述1-20项、21-45项、46-65项与参数的不满足条款数量相关，不涉及参数所对应序号。示例：如负偏离25项，投标人扣分=20项×1分+（25项-20项）×0.4分=20×1+5×0.4=22分，得分=34分-22分=12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技术参数承诺函（包含)</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标“▲”条款（4分）：符合技术要求得4分；每负偏离1项扣2分，负偏离达2项的，此项得0分；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68条，按以下要求赋分：A：一般技术参数完全满足，得36分；B：一般技术参数不满足1-20项区间时，每不满足一条参数扣1分；C：一般技术参数不满足21-48项区间时，每不满足一条参数扣0.5分； D：一般技术参数不满足49-68项区间时， 每不满足一条参数扣0.1分。最低得0分，漏报技术条款视为不满足。注：上述1-20项、21-48项、49-68项与参数的不满足条款数量相关，不涉及参数所对应序号。示例：如负偏离24项，投标人扣分=20项×1分+（24项-20项）×0.5分=20×1+4×0.5=22分，得分=36分-22分=14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46条，按以下要求赋分：A：一般技术参数完全满足，得40分；B：一般技术参数不满足1-10项区间时，每不满足一条参数扣2分；C：一般技术参数不满足11-26项区间时，每不满足一条参数扣1分； D：一般技术参数不满足27-46项区间时， 每不满足一条参数扣0.2分。最低得0分，漏报技术条款视为不满足。注：上述1-10项、11-26项、27-46项与参数的不满足条款数量相关，不涉及参数所对应序号。示例：如负偏离15项，投标人扣分=10项×2分+（15项-10项）×1分=10×2+5×1=25分，得分=40分-25分=15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72条，按以下要求赋分：A：一般技术参数完全满足，得40分；B：一般技术参数不满足1-20项区间时，每不满足一条参数扣1分；C：一般技术参数不满足21-42项区间时，每不满足一条参数扣0.5分； D：一般技术参数不满足43-72项区间时，每不满足一条参数扣0.3分。最低得0分，漏报技术条款视为不满足。注：上述1-20项、21-42项、43-72项与参数的不满足条款数量相关，不涉及参数所对应序号。示例：如负偏离24项，投标人扣分=20项×1分+（24项-20项）×0.5分=20×1+4×0.5=22分，得分=40分-22分=18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54条，按以下要求赋分：A：一般技术参数完全满足，得40分；B：一般技术参数不满足1-10项区间时，每不满足一条参数扣2分；C：一般技术参数不满足11-24项区间时，每不满足一条参数扣1分； D：一般技术参数不满足25-54项区间时，每不满足一条参数扣0.2分。最低得0分，漏报技术条款视为不满足。注：上述1-10项、11-24项、25-54项与参数的不满足条款数量相关，不涉及参数所对应序号。示例：如负偏离15项，投标人扣分=10项×2分+（15项-10项）×1分=10×2+5×1=25分，得分=40分-25分=15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标“▲”条款（4分）：符合技术要求得4分；每负偏离1项扣4分，负偏离达1项的，此项得0分；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155条，按以下要求赋分：A：一般技术参数完全满足，得36分；B：一般技术参数不满足1-30项区间时，每不满足一条参数扣0.6分；C：一般技术参数不满足31-85项区间时，每不满足一条参数扣0.2分； D：一般技术参数不满足86-155项区间时， 每不满足一条参数扣0.1分。最低得0分，漏报技术条款视为不满足。注：上述1-30项、31-85项、86-155项与参数的不满足条款数量相关，不涉及参数所对应序号。示例：如负偏离35项，投标人扣分=30项×0.6分+（35项-30项）×0.2分=30×0.6+5×0.2=19分，得分=36分-19分=17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标“▲”条款（3分）：符合技术要求得3分；每负偏离1项扣3分，负偏离达1项的，此项得0分；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84条，按以下要求赋分：A：一般技术参数完全满足，得37分；B：一般技术参数不满足1-14项区间时，每不满足一条参数扣1分；C：一般技术参数不满足15-44项区间时，每不满足一条参数扣0.5分； D：一般技术参数不满足45-84项区间时， 每不满足一条参数扣0.2分。最低得0分，漏报技术条款视为不满足。注：上述1-14项、15-44项、45-84项与参数的不满足条款数量相关，不涉及参数所对应序号。示例：如负偏离20项，投标人扣分=14项×1分+（20项-14项）×0.5分=14×1+6×0.5=17分，得分=37分-17分=20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15条，按以下要求赋分：A：一般技术参数完全满足，得40分；B：一般技术参数不满足1-4项区间时，每不满足一条参数扣6分；C：一般技术参数不满足5-9项区间时，每不满足一条参数扣2分； D：一般技术参数不满足10-15项区间时， 每不满足一条参数扣1分。最低得0分，漏报技术条款视为不满足。注：上述1-4项、5-9项、10-15项与参数的不满足条款数量相关，不涉及参数所对应序号。示例：如负偏离6项，投标人扣分=4项×6分+（6项-4项）×2分=4×6+2×2=28分，得分=40分-28分=12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15条，按以下要求赋分：A：一般技术参数完全满足，得40分；B：一般技术参数不满足1-4项区间时，每不满足一条参数扣6分；C：一般技术参数不满足5-9项区间时，每不满足一条参数扣2分； D：一般技术参数不满足10-15项区间时， 每不满足一条参数扣1分。最低得0分，漏报技术条款视为不满足。注：上述1-4项、5-9项、10-15项与参数的不满足条款数量相关，不涉及参数所对应序号。示例：如负偏离6项，投标人扣分=4项×6分+（6项-4项）×2分=4×6+2×2=28分，得分=40分-28分=12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71条，按以下要求赋分：A：一般技术参数完全满足，得40分；B：一般技术参数不满足1-10项区间时，每不满足一条参数扣1分；C：一般技术参数不满足11-38项区间时，每不满足一条参数扣0.6分； D：一般技术参数不满足39-71项区间时， 每不满足一条参数扣0.4分。最低得0分，漏报技术条款视为不满足。注：上述1-10项、11-38项、39-71项与参数的不满足条款数量相关，不涉及参数所对应序号。示例：如负偏离13项，投标人扣分=10项×1分+（13项-0项）×0.6分=10×1+3×0.6=11.8分，得分=40分-11.8分=28.2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价格分计算</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电子胃肠镜系统（三）</w:t>
            </w:r>
          </w:p>
        </w:tc>
        <w:tc>
          <w:tcPr>
            <w:tcW w:type="dxa" w:w="593"/>
          </w:tcPr>
          <w:p>
            <w:pPr>
              <w:pStyle w:val="null3"/>
              <w:jc w:val="left"/>
            </w:pPr>
            <w:r>
              <w:rPr>
                <w:rFonts w:ascii="仿宋_GB2312" w:hAnsi="仿宋_GB2312" w:cs="仿宋_GB2312" w:eastAsia="仿宋_GB2312"/>
              </w:rPr>
              <w:t xml:space="preserve"> 1.00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4200000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2024年超长期特别国债“以旧换新”项目医疗设备集中采购（二十二）的第2包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电子胃肠镜系统（四）</w:t>
            </w:r>
          </w:p>
        </w:tc>
        <w:tc>
          <w:tcPr>
            <w:tcW w:type="dxa" w:w="593"/>
          </w:tcPr>
          <w:p>
            <w:pPr>
              <w:pStyle w:val="null3"/>
              <w:jc w:val="left"/>
            </w:pPr>
            <w:r>
              <w:rPr>
                <w:rFonts w:ascii="仿宋_GB2312" w:hAnsi="仿宋_GB2312" w:cs="仿宋_GB2312" w:eastAsia="仿宋_GB2312"/>
              </w:rPr>
              <w:t xml:space="preserve"> 1.00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4846000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w:t>
      </w:r>
    </w:p>
    <w:p>
      <w:pPr>
        <w:pStyle w:val="null3"/>
        <w:jc w:val="left"/>
      </w:pPr>
      <w:r>
        <w:rPr>
          <w:rFonts w:ascii="仿宋_GB2312" w:hAnsi="仿宋_GB2312" w:cs="仿宋_GB2312" w:eastAsia="仿宋_GB2312"/>
        </w:rPr>
        <w:t>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电子胃肠镜系统（六）</w:t>
            </w:r>
          </w:p>
        </w:tc>
        <w:tc>
          <w:tcPr>
            <w:tcW w:type="dxa" w:w="593"/>
          </w:tcPr>
          <w:p>
            <w:pPr>
              <w:pStyle w:val="null3"/>
              <w:jc w:val="left"/>
            </w:pPr>
            <w:r>
              <w:rPr>
                <w:rFonts w:ascii="仿宋_GB2312" w:hAnsi="仿宋_GB2312" w:cs="仿宋_GB2312" w:eastAsia="仿宋_GB2312"/>
              </w:rPr>
              <w:t xml:space="preserve"> 1.00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2500000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2024年超长期特别国债“以旧换新”项目医疗设备集中采购（二十二）的第4包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电子胃肠镜系统（七）</w:t>
            </w:r>
          </w:p>
        </w:tc>
        <w:tc>
          <w:tcPr>
            <w:tcW w:type="dxa" w:w="593"/>
          </w:tcPr>
          <w:p>
            <w:pPr>
              <w:pStyle w:val="null3"/>
              <w:jc w:val="left"/>
            </w:pPr>
            <w:r>
              <w:rPr>
                <w:rFonts w:ascii="仿宋_GB2312" w:hAnsi="仿宋_GB2312" w:cs="仿宋_GB2312" w:eastAsia="仿宋_GB2312"/>
              </w:rPr>
              <w:t xml:space="preserve"> 1.00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3000000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2024年超长期特别国债“以旧换新”项目医疗设备集中采购（二十二）的第5包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电子胃肠镜系统（八）</w:t>
            </w:r>
          </w:p>
        </w:tc>
        <w:tc>
          <w:tcPr>
            <w:tcW w:type="dxa" w:w="593"/>
          </w:tcPr>
          <w:p>
            <w:pPr>
              <w:pStyle w:val="null3"/>
              <w:jc w:val="left"/>
            </w:pPr>
            <w:r>
              <w:rPr>
                <w:rFonts w:ascii="仿宋_GB2312" w:hAnsi="仿宋_GB2312" w:cs="仿宋_GB2312" w:eastAsia="仿宋_GB2312"/>
              </w:rPr>
              <w:t xml:space="preserve"> 1.00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3500000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2024年超长期特别国债“以旧换新”项目医疗设备集中采购（二十二）的第6包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电子胃肠镜系统（九）</w:t>
            </w:r>
          </w:p>
        </w:tc>
        <w:tc>
          <w:tcPr>
            <w:tcW w:type="dxa" w:w="593"/>
          </w:tcPr>
          <w:p>
            <w:pPr>
              <w:pStyle w:val="null3"/>
              <w:jc w:val="left"/>
            </w:pPr>
            <w:r>
              <w:rPr>
                <w:rFonts w:ascii="仿宋_GB2312" w:hAnsi="仿宋_GB2312" w:cs="仿宋_GB2312" w:eastAsia="仿宋_GB2312"/>
              </w:rPr>
              <w:t xml:space="preserve"> 3.00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10800000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2024年超长期特别国债“以旧换新”项目医疗设备集中采购（二十二）的第7包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电子胃肠镜系统（十）</w:t>
            </w:r>
          </w:p>
        </w:tc>
        <w:tc>
          <w:tcPr>
            <w:tcW w:type="dxa" w:w="593"/>
          </w:tcPr>
          <w:p>
            <w:pPr>
              <w:pStyle w:val="null3"/>
              <w:jc w:val="left"/>
            </w:pPr>
            <w:r>
              <w:rPr>
                <w:rFonts w:ascii="仿宋_GB2312" w:hAnsi="仿宋_GB2312" w:cs="仿宋_GB2312" w:eastAsia="仿宋_GB2312"/>
              </w:rPr>
              <w:t xml:space="preserve"> 5.00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18000000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2024年超长期特别国债“以旧换新”项目医疗设备集中采购（二十二）的第8包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内镜设备（电刀主机）</w:t>
            </w:r>
          </w:p>
        </w:tc>
        <w:tc>
          <w:tcPr>
            <w:tcW w:type="dxa" w:w="593"/>
          </w:tcPr>
          <w:p>
            <w:pPr>
              <w:pStyle w:val="null3"/>
              <w:jc w:val="left"/>
            </w:pPr>
            <w:r>
              <w:rPr>
                <w:rFonts w:ascii="仿宋_GB2312" w:hAnsi="仿宋_GB2312" w:cs="仿宋_GB2312" w:eastAsia="仿宋_GB2312"/>
              </w:rPr>
              <w:t xml:space="preserve"> 2.00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2200000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2024年超长期特别国债“以旧换新”项目医疗设备集中采购（二十二）的第9包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幽门螺杆菌(Hp)测试仪</w:t>
            </w:r>
          </w:p>
        </w:tc>
        <w:tc>
          <w:tcPr>
            <w:tcW w:type="dxa" w:w="639"/>
          </w:tcPr>
          <w:p>
            <w:pPr>
              <w:pStyle w:val="null3"/>
              <w:jc w:val="left"/>
            </w:pPr>
            <w:r>
              <w:rPr>
                <w:rFonts w:ascii="仿宋_GB2312" w:hAnsi="仿宋_GB2312" w:cs="仿宋_GB2312" w:eastAsia="仿宋_GB2312"/>
              </w:rPr>
              <w:t xml:space="preserve"> 1.00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149600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全自动活检枪</w:t>
            </w:r>
          </w:p>
        </w:tc>
        <w:tc>
          <w:tcPr>
            <w:tcW w:type="dxa" w:w="639"/>
          </w:tcPr>
          <w:p>
            <w:pPr>
              <w:pStyle w:val="null3"/>
              <w:jc w:val="left"/>
            </w:pPr>
            <w:r>
              <w:rPr>
                <w:rFonts w:ascii="仿宋_GB2312" w:hAnsi="仿宋_GB2312" w:cs="仿宋_GB2312" w:eastAsia="仿宋_GB2312"/>
              </w:rPr>
              <w:t xml:space="preserve"> 1.00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45500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2024年超长期特别国债“以旧换新”项目医疗设备集中采购（二十二）</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2024年超长期特别国债“以旧换新”项目医疗设备集中采购（二十二）的第10包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电子胃肠镜系统（五）</w:t>
            </w:r>
          </w:p>
        </w:tc>
        <w:tc>
          <w:tcPr>
            <w:tcW w:type="dxa" w:w="639"/>
          </w:tcPr>
          <w:p>
            <w:pPr>
              <w:pStyle w:val="null3"/>
              <w:jc w:val="left"/>
            </w:pPr>
            <w:r>
              <w:rPr>
                <w:rFonts w:ascii="仿宋_GB2312" w:hAnsi="仿宋_GB2312" w:cs="仿宋_GB2312" w:eastAsia="仿宋_GB2312"/>
              </w:rPr>
              <w:t xml:space="preserve"> 4.00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5600000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注：1.投标报价要求：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详见附件：技术参数承诺函（包含)</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