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2024年超长期特别国债“以旧换新”项目医疗设备集中采购（二十三）</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HNZC2025-027-003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2024年超长期特别国债“以旧换新”项目医疗设备集中采购（二十三）</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HNZC2025-027-003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2024年超长期特别国债“以旧换新”项目医疗设备集中采购（二十三）</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37,858,600.00元</w:t>
      </w:r>
      <w:r>
        <w:rPr>
          <w:rFonts w:ascii="仿宋_GB2312" w:hAnsi="仿宋_GB2312" w:cs="仿宋_GB2312" w:eastAsia="仿宋_GB2312"/>
        </w:rPr>
        <w:t>叁仟柒佰捌拾伍万捌仟陆佰元整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3.本项目各包的采购预算及最高限价： 1包采购预算：89.86万元 最高限价：89.86万元 2包采购预算：360万元 最高限价：360万元 3包采购预算：200万元 最高限价：200万元 4包采购预算：216万元 最高限价：216万元 5包采购预算：240万元 最高限价：240万元 6包采购预算：520万元 最高限价：520万元 7包采购预算：260万元 最高限价：260万元 8包采购预算：520万元 最高限价：520万元 9包采购预算：780万元 最高限价：780万元 10包采购预算：600万元 最高限价：600万元</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采购包1：898,600.00元</w:t>
            </w:r>
          </w:p>
          <w:p>
            <w:pPr>
              <w:pStyle w:val="null3"/>
              <w:jc w:val="left"/>
            </w:pPr>
            <w:r>
              <w:rPr>
                <w:rFonts w:ascii="仿宋_GB2312" w:hAnsi="仿宋_GB2312" w:cs="仿宋_GB2312" w:eastAsia="仿宋_GB2312"/>
              </w:rPr>
              <w:t>采购包2：3,600,000.00元</w:t>
            </w:r>
          </w:p>
          <w:p>
            <w:pPr>
              <w:pStyle w:val="null3"/>
              <w:jc w:val="left"/>
            </w:pPr>
            <w:r>
              <w:rPr>
                <w:rFonts w:ascii="仿宋_GB2312" w:hAnsi="仿宋_GB2312" w:cs="仿宋_GB2312" w:eastAsia="仿宋_GB2312"/>
              </w:rPr>
              <w:t>采购包3：2,000,000.00元</w:t>
            </w:r>
          </w:p>
          <w:p>
            <w:pPr>
              <w:pStyle w:val="null3"/>
              <w:jc w:val="left"/>
            </w:pPr>
            <w:r>
              <w:rPr>
                <w:rFonts w:ascii="仿宋_GB2312" w:hAnsi="仿宋_GB2312" w:cs="仿宋_GB2312" w:eastAsia="仿宋_GB2312"/>
              </w:rPr>
              <w:t>采购包4：2,160,000.00元</w:t>
            </w:r>
          </w:p>
          <w:p>
            <w:pPr>
              <w:pStyle w:val="null3"/>
              <w:jc w:val="left"/>
            </w:pPr>
            <w:r>
              <w:rPr>
                <w:rFonts w:ascii="仿宋_GB2312" w:hAnsi="仿宋_GB2312" w:cs="仿宋_GB2312" w:eastAsia="仿宋_GB2312"/>
              </w:rPr>
              <w:t>采购包5：2,400,000.00元</w:t>
            </w:r>
          </w:p>
          <w:p>
            <w:pPr>
              <w:pStyle w:val="null3"/>
              <w:jc w:val="left"/>
            </w:pPr>
            <w:r>
              <w:rPr>
                <w:rFonts w:ascii="仿宋_GB2312" w:hAnsi="仿宋_GB2312" w:cs="仿宋_GB2312" w:eastAsia="仿宋_GB2312"/>
              </w:rPr>
              <w:t>采购包6：5,200,000.00元</w:t>
            </w:r>
          </w:p>
          <w:p>
            <w:pPr>
              <w:pStyle w:val="null3"/>
              <w:jc w:val="left"/>
            </w:pPr>
            <w:r>
              <w:rPr>
                <w:rFonts w:ascii="仿宋_GB2312" w:hAnsi="仿宋_GB2312" w:cs="仿宋_GB2312" w:eastAsia="仿宋_GB2312"/>
              </w:rPr>
              <w:t>采购包7：2,600,000.00元</w:t>
            </w:r>
          </w:p>
          <w:p>
            <w:pPr>
              <w:pStyle w:val="null3"/>
              <w:jc w:val="left"/>
            </w:pPr>
            <w:r>
              <w:rPr>
                <w:rFonts w:ascii="仿宋_GB2312" w:hAnsi="仿宋_GB2312" w:cs="仿宋_GB2312" w:eastAsia="仿宋_GB2312"/>
              </w:rPr>
              <w:t>采购包8：5,200,000.00元</w:t>
            </w:r>
          </w:p>
          <w:p>
            <w:pPr>
              <w:pStyle w:val="null3"/>
              <w:jc w:val="left"/>
            </w:pPr>
            <w:r>
              <w:rPr>
                <w:rFonts w:ascii="仿宋_GB2312" w:hAnsi="仿宋_GB2312" w:cs="仿宋_GB2312" w:eastAsia="仿宋_GB2312"/>
              </w:rPr>
              <w:t>采购包9：7,800,000.00元</w:t>
            </w:r>
          </w:p>
          <w:p>
            <w:pPr>
              <w:pStyle w:val="null3"/>
              <w:jc w:val="left"/>
            </w:pPr>
            <w:r>
              <w:rPr>
                <w:rFonts w:ascii="仿宋_GB2312" w:hAnsi="仿宋_GB2312" w:cs="仿宋_GB2312" w:eastAsia="仿宋_GB2312"/>
              </w:rPr>
              <w:t>采购包10：6,000,000.00元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 3.本项目各包采购标的所属行业为工业（根据《关于印发中小企业划型标准规定的通知》（工信部联企业 〔2011〕300 号）中小企业划型标准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二十三）项目包含18套设备，预算金额合计3785.86万元。该项目设备的购置进一步优化我省医疗机构的医疗资源布局与配置，更好地满足人民群众和境内外游客、投资者的健康保障需求，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898,600.00</w:t>
      </w:r>
    </w:p>
    <w:p>
      <w:pPr>
        <w:pStyle w:val="null3"/>
        <w:jc w:val="left"/>
      </w:pPr>
      <w:r>
        <w:rPr>
          <w:rFonts w:ascii="仿宋_GB2312" w:hAnsi="仿宋_GB2312" w:cs="仿宋_GB2312" w:eastAsia="仿宋_GB2312"/>
        </w:rPr>
        <w:t>采购包最高限价（元）: 898,600.00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高清腹腔镜镜子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3,600,000.00</w:t>
      </w:r>
    </w:p>
    <w:p>
      <w:pPr>
        <w:pStyle w:val="null3"/>
        <w:jc w:val="left"/>
      </w:pPr>
      <w:r>
        <w:rPr>
          <w:rFonts w:ascii="仿宋_GB2312" w:hAnsi="仿宋_GB2312" w:cs="仿宋_GB2312" w:eastAsia="仿宋_GB2312"/>
        </w:rPr>
        <w:t>采购包最高限价（元）: 3,600,000.00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腹腔镜系统（三）</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2,160,000.00</w:t>
      </w:r>
    </w:p>
    <w:p>
      <w:pPr>
        <w:pStyle w:val="null3"/>
        <w:jc w:val="left"/>
      </w:pPr>
      <w:r>
        <w:rPr>
          <w:rFonts w:ascii="仿宋_GB2312" w:hAnsi="仿宋_GB2312" w:cs="仿宋_GB2312" w:eastAsia="仿宋_GB2312"/>
        </w:rPr>
        <w:t>采购包最高限价（元）: 2,160,000.00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5,200,000.00</w:t>
      </w:r>
    </w:p>
    <w:p>
      <w:pPr>
        <w:pStyle w:val="null3"/>
        <w:jc w:val="left"/>
      </w:pPr>
      <w:r>
        <w:rPr>
          <w:rFonts w:ascii="仿宋_GB2312" w:hAnsi="仿宋_GB2312" w:cs="仿宋_GB2312" w:eastAsia="仿宋_GB2312"/>
        </w:rPr>
        <w:t>采购包最高限价（元）: 5,200,000.00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腹腔镜系统（七）</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2,600,000.00</w:t>
      </w:r>
    </w:p>
    <w:p>
      <w:pPr>
        <w:pStyle w:val="null3"/>
        <w:jc w:val="left"/>
      </w:pPr>
      <w:r>
        <w:rPr>
          <w:rFonts w:ascii="仿宋_GB2312" w:hAnsi="仿宋_GB2312" w:cs="仿宋_GB2312" w:eastAsia="仿宋_GB2312"/>
        </w:rPr>
        <w:t>采购包最高限价（元）: 2,600,000.00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5,200,000.00</w:t>
      </w:r>
    </w:p>
    <w:p>
      <w:pPr>
        <w:pStyle w:val="null3"/>
        <w:jc w:val="left"/>
      </w:pPr>
      <w:r>
        <w:rPr>
          <w:rFonts w:ascii="仿宋_GB2312" w:hAnsi="仿宋_GB2312" w:cs="仿宋_GB2312" w:eastAsia="仿宋_GB2312"/>
        </w:rPr>
        <w:t>采购包最高限价（元）: 5,200,000.00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腹腔镜系统（九）</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7,800,000.00</w:t>
      </w:r>
    </w:p>
    <w:p>
      <w:pPr>
        <w:pStyle w:val="null3"/>
        <w:jc w:val="left"/>
      </w:pPr>
      <w:r>
        <w:rPr>
          <w:rFonts w:ascii="仿宋_GB2312" w:hAnsi="仿宋_GB2312" w:cs="仿宋_GB2312" w:eastAsia="仿宋_GB2312"/>
        </w:rPr>
        <w:t>采购包最高限价（元）: 7,800,000.00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腹腔镜系统（十）</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6,000,000.00</w:t>
      </w:r>
    </w:p>
    <w:p>
      <w:pPr>
        <w:pStyle w:val="null3"/>
        <w:jc w:val="left"/>
      </w:pPr>
      <w:r>
        <w:rPr>
          <w:rFonts w:ascii="仿宋_GB2312" w:hAnsi="仿宋_GB2312" w:cs="仿宋_GB2312" w:eastAsia="仿宋_GB2312"/>
        </w:rPr>
        <w:t>采购包最高限价（元）: 6,000,000.00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腹腔镜系统（十一）</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高清腹腔镜镜子</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腹腔镜系统（五）</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腹腔镜系统（六）</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腹腔镜系统（七）</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腹腔镜系统（八）</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腹腔镜系统（九）</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腹腔镜系统（十）</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腹腔镜系统（十一）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标的名称：腹腔镜系统（一）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标的名称：高清腹腔镜镜子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标的名称：腹腔镜系统（三）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标的名称：腹腔镜系统（四）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标的名称：腹腔镜系统（五）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标的名称：腹腔镜系统（六）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标的名称：腹腔镜系统（七）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标的名称：腹腔镜系统（八）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标的名称：腹腔镜系统（九）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标的名称：腹腔镜系统（十）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标的名称：腹腔镜系统（十一）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投标人诚信承诺书 封面 法定代表人资格证明书或法定代表人授权委托书 技术参数响应</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完全满足招标文件带▲号的指标要求得满分18分，不满足一项带▲号的指标扣2分，直至扣完为止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45条，按以下要求赋分：A：一般技术参数完全满足，得22分；B：一般技术参数不满足1-10项区间时，每不满足一条参数扣1分；C：一般技术参数不满足11-25项区间时，每不满足一条参数扣0.4分； D：一般技术参数不满足26-45项区间时， 每不满足一条参数扣0.3分。最低得0分，漏报技术条款视为不满足。注：上述1-10项、11-25项、26-45项与参数的不满足条款数量相关，不涉及参数所对应序号。示例：如负偏离15项，投标人扣分=10项×1分+（15项-10项）×0.4分=10×1+5×0.4=12分，得分=22分-12分=10分。</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完全满足招标文件带▲号的指标要求得满分16分，不满足一项带▲号的指标扣2分，直至扣完为止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46条，按以下要求赋分：A：一般技术参数完全满足，得24分；B：一般技术参数不满足1-10项区间时，每不满足一条参数扣0.87分；C：一般技术参数不满足11-25项区间时，每不满足一条参数扣0.6分； D：一般技术参数不满足26-46项区间时， 每不满足一条参数扣0.3分。最低得0分，漏报技术条款视为不满足。注：上述1-10项、11-25项、26-46项与参数的不满足条款数量相关，不涉及参数所对应序号。示例：如负偏离15项，投标人扣分=10项×0.87分+（15项-10项）×0.6分=10×0.87+5×0.6=11.7分，得分=24分-11.7分=12.3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的其他参数）共57条，按以下要求赋分：A：一般技术参数完全满足，得40分；B：一般技术参数不满足1-11项区间时，每不满足一条参数扣1分；C：一般技术参数不满足12-31项区间时，每不满足一条参数扣0.8分； D：一般技术参数不满足32-57项区间时， 每不满足一条参数扣0.5分。最低得0分，漏报技术条款视为不满足。注：上述1-11项、12-31项、32-57项与参数的不满足条款数量相关，不涉及参数所对应序号。示例：如负偏离15项，投标人扣分=11项×1分+（15项-11项）×0.8分=11×1+4×0.8=14.2分，得分=40分-14.2分=25.8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的其他参数）共62条，按以下要求赋分：A：一般技术参数完全满足，得40分；B：一般技术参数不满足1-10项区间时，每不满足一条参数扣1.2分；C：一般技术参数不满足11-30项区间时，每不满足一条参数扣0.6分； D：一般技术参数不满足31-62项区间时， 每不满足一条参数扣0.5分。最低得0分，漏报技术条款视为不满足。注：上述1-10项、11-30项、31-62项与参数的不满足条款数量相关，不涉及参数所对应序号。示例：如负偏离15项，投标人扣分=10项×1.2分+（15项-10项）×0.6分=10×1.2+5×0.6=15分，得分=40分-15分=25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完全满足招标文件带▲号的指标要求得满分12分，不满足一项带▲号的指标扣3分，直至扣完为止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43条，按以下要求赋分：A：一般技术参数完全满足，得28分；B：一般技术参数不满足1-10项区间时，每不满足一条参数扣1分；C：一般技术参数不满足11-25项区间时，每不满足一条参数扣0.6分； D：一般技术参数不满足26-43项区间时， 每不满足一条参数扣0.5分。最低得0分，漏报技术条款视为不满足。注：上述1-10项、11-25项、26-43项与参数的不满足条款数量相关，不涉及参数所对应序号。示例：如负偏离15项，投标人扣分=10项×1分+（15项-10项）×0.6分=10×1+5×0.6=13分，得分=28分-13分=15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完全满足招标文件带▲号的指标要求得满分15分，不满足一项带▲号的指标扣3分，直至扣完为止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37条，按以下要求赋分：A：一般技术参数完全满足，得25分；B：一般技术参数不满足1-9项区间时，每不满足一条参数扣1分；C：一般技术参数不满足10-21项区间时，每不满足一条参数扣0.8分； D：一般技术参数不满足22-37项区间时， 每不满足一条参数扣0.4分。最低得0分，漏报技术条款视为不满足。注：上述1-9项、10-21项、22-37项与参数的不满足条款数量相关，不涉及参数所对应序号。示例：如负偏离15项，投标人扣分=9项×1分+（15项-9项）×0.8分=9×1+6×0.8=13.8分，得分=25分-13.8分=11.2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完全满足招标文件带▲号的指标要求得满分18分，不满足一项带▲号的指标扣3分，直至扣完为止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一般技术参数（非▲号、★号的其他参数）共28条，不满足一项指标扣0.79分，直至扣完为止</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完全满足招标文件带▲号的指标要求得满分21分，不满足一项带▲号的指标扣3分，直至扣完为止</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一般技术参数（非▲号、★号的其他参数）共25条，不满足一项指标扣0.76分，直至扣完为止</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完全满足招标文件带▲号的指标要求得满分3分，不满足一项带▲号的指标扣3分，直至扣完为止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58条，按以下要求赋分：A：一般技术参数完全满足，得37分；B：一般技术参数不满足1-12项区间时，每不满足一条参数扣1.1分；C：一般技术参数不满足13-30项区间时，每不满足一条参数扣0.7分； D：一般技术参数不满足31-58项区间时， 每不满足一条参数扣0.4分。最低得0分，漏报技术条款视为不满足。注：上述1-12项、13-30项、31-58项与参数的不满足条款数量相关，不涉及参数所对应序号。示例：如负偏离15项，投标人扣分=12项×1.1分+（15项-12项）×0.7分=12×1.1+3×0.7=15.3分，得分=37分-15.3分=21.7分。</w:t>
            </w:r>
          </w:p>
        </w:tc>
        <w:tc>
          <w:tcPr>
            <w:tcW w:type="dxa" w:w="831"/>
          </w:tcPr>
          <w:p>
            <w:pPr>
              <w:pStyle w:val="null3"/>
              <w:jc w:val="right"/>
            </w:pPr>
            <w:r>
              <w:rPr>
                <w:rFonts w:ascii="仿宋_GB2312" w:hAnsi="仿宋_GB2312" w:cs="仿宋_GB2312" w:eastAsia="仿宋_GB2312"/>
              </w:rPr>
              <w:t>37.00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完全满足招标文件带▲号的指标要求得满分18分，不满足一项带▲号的指标扣3分，直至扣完为止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39条，按以下要求赋分：A：一般技术参数完全满足，得22分；B：一般技术参数不满足1-8项区间时，每不满足一条参数扣1.1分；C：一般技术参数不满足9-21项区间时，每不满足一条参数扣0.6分； D：一般技术参数不满足22-39项区间时， 每不满足一条参数扣0.3分。最低得0分，漏报技术条款视为不满足。注：上述1-8项、9-21项、22-39项与参数的不满足条款数量相关，不涉及参数所对应序号。示例：如负偏离15项，投标人扣分=8项×1.1分+（15项-8项）×0.6分=8×1.1+7×0.6=13分，得分=22分-13分=9分。</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腹腔镜系统（一）</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高清腹腔镜镜子</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98600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腹腔镜系统（三）</w:t>
            </w:r>
          </w:p>
        </w:tc>
        <w:tc>
          <w:tcPr>
            <w:tcW w:type="dxa" w:w="639"/>
          </w:tcPr>
          <w:p>
            <w:pPr>
              <w:pStyle w:val="null3"/>
              <w:jc w:val="left"/>
            </w:pPr>
            <w:r>
              <w:rPr>
                <w:rFonts w:ascii="仿宋_GB2312" w:hAnsi="仿宋_GB2312" w:cs="仿宋_GB2312" w:eastAsia="仿宋_GB2312"/>
              </w:rPr>
              <w:t xml:space="preserve"> 3.00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腹腔镜系统（四）</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腹腔镜系统（五）</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2160000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腹腔镜系统（六）</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腹腔镜系统（七）</w:t>
            </w:r>
          </w:p>
        </w:tc>
        <w:tc>
          <w:tcPr>
            <w:tcW w:type="dxa" w:w="639"/>
          </w:tcPr>
          <w:p>
            <w:pPr>
              <w:pStyle w:val="null3"/>
              <w:jc w:val="left"/>
            </w:pPr>
            <w:r>
              <w:rPr>
                <w:rFonts w:ascii="仿宋_GB2312" w:hAnsi="仿宋_GB2312" w:cs="仿宋_GB2312" w:eastAsia="仿宋_GB2312"/>
              </w:rPr>
              <w:t xml:space="preserve"> 2.00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5200000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腹腔镜系统（八）</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腹腔镜系统（九）</w:t>
            </w:r>
          </w:p>
        </w:tc>
        <w:tc>
          <w:tcPr>
            <w:tcW w:type="dxa" w:w="639"/>
          </w:tcPr>
          <w:p>
            <w:pPr>
              <w:pStyle w:val="null3"/>
              <w:jc w:val="left"/>
            </w:pPr>
            <w:r>
              <w:rPr>
                <w:rFonts w:ascii="仿宋_GB2312" w:hAnsi="仿宋_GB2312" w:cs="仿宋_GB2312" w:eastAsia="仿宋_GB2312"/>
              </w:rPr>
              <w:t xml:space="preserve"> 2.00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5200000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腹腔镜系统（十）</w:t>
            </w:r>
          </w:p>
        </w:tc>
        <w:tc>
          <w:tcPr>
            <w:tcW w:type="dxa" w:w="639"/>
          </w:tcPr>
          <w:p>
            <w:pPr>
              <w:pStyle w:val="null3"/>
              <w:jc w:val="left"/>
            </w:pPr>
            <w:r>
              <w:rPr>
                <w:rFonts w:ascii="仿宋_GB2312" w:hAnsi="仿宋_GB2312" w:cs="仿宋_GB2312" w:eastAsia="仿宋_GB2312"/>
              </w:rPr>
              <w:t xml:space="preserve"> 3.00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7800000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腹腔镜系统（十一）</w:t>
            </w:r>
          </w:p>
        </w:tc>
        <w:tc>
          <w:tcPr>
            <w:tcW w:type="dxa" w:w="639"/>
          </w:tcPr>
          <w:p>
            <w:pPr>
              <w:pStyle w:val="null3"/>
              <w:jc w:val="left"/>
            </w:pPr>
            <w:r>
              <w:rPr>
                <w:rFonts w:ascii="仿宋_GB2312" w:hAnsi="仿宋_GB2312" w:cs="仿宋_GB2312" w:eastAsia="仿宋_GB2312"/>
              </w:rPr>
              <w:t xml:space="preserve"> 2.00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6000000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