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C2C83">
      <w:pPr>
        <w:widowControl w:val="0"/>
        <w:kinsoku/>
        <w:spacing w:line="360" w:lineRule="auto"/>
        <w:rPr>
          <w:rFonts w:ascii="华文仿宋" w:hAnsi="华文仿宋" w:eastAsia="华文仿宋"/>
          <w:b/>
          <w:color w:val="0000CC"/>
          <w:sz w:val="30"/>
          <w:szCs w:val="30"/>
        </w:rPr>
      </w:pPr>
    </w:p>
    <w:p w14:paraId="78ECF864">
      <w:pPr>
        <w:widowControl w:val="0"/>
        <w:kinsoku/>
        <w:spacing w:line="360" w:lineRule="auto"/>
        <w:jc w:val="center"/>
        <w:rPr>
          <w:rFonts w:ascii="华文仿宋" w:hAnsi="华文仿宋" w:eastAsia="华文仿宋"/>
          <w:b/>
          <w:sz w:val="72"/>
          <w:szCs w:val="72"/>
        </w:rPr>
      </w:pPr>
      <w:r>
        <w:rPr>
          <w:rFonts w:hint="eastAsia" w:ascii="华文仿宋" w:hAnsi="华文仿宋" w:eastAsia="华文仿宋"/>
          <w:b/>
          <w:sz w:val="72"/>
          <w:szCs w:val="72"/>
        </w:rPr>
        <w:t>海南大学服务采购项目</w:t>
      </w:r>
    </w:p>
    <w:p w14:paraId="751A5481">
      <w:pPr>
        <w:widowControl w:val="0"/>
        <w:kinsoku/>
        <w:spacing w:line="360" w:lineRule="auto"/>
        <w:jc w:val="center"/>
        <w:rPr>
          <w:rFonts w:ascii="华文仿宋" w:hAnsi="华文仿宋" w:eastAsia="华文仿宋"/>
          <w:b/>
          <w:sz w:val="110"/>
          <w:szCs w:val="110"/>
        </w:rPr>
      </w:pPr>
      <w:r>
        <w:rPr>
          <w:rFonts w:hint="eastAsia" w:ascii="华文仿宋" w:hAnsi="华文仿宋" w:eastAsia="华文仿宋"/>
          <w:b/>
          <w:sz w:val="110"/>
          <w:szCs w:val="110"/>
        </w:rPr>
        <w:t>合 同 书</w:t>
      </w:r>
    </w:p>
    <w:p w14:paraId="6B4D4FFB">
      <w:pPr>
        <w:widowControl w:val="0"/>
        <w:tabs>
          <w:tab w:val="left" w:pos="1260"/>
          <w:tab w:val="left" w:pos="1620"/>
          <w:tab w:val="left" w:pos="6840"/>
          <w:tab w:val="left" w:pos="7020"/>
          <w:tab w:val="left" w:pos="7200"/>
        </w:tabs>
        <w:kinsoku/>
        <w:spacing w:line="432" w:lineRule="auto"/>
        <w:jc w:val="center"/>
        <w:rPr>
          <w:rFonts w:ascii="华文仿宋" w:hAnsi="华文仿宋" w:eastAsia="华文仿宋"/>
          <w:b/>
          <w:sz w:val="32"/>
          <w:szCs w:val="32"/>
          <w:u w:val="single"/>
        </w:rPr>
      </w:pPr>
      <w:r>
        <w:rPr>
          <w:rFonts w:hint="eastAsia" w:ascii="华文仿宋" w:hAnsi="华文仿宋" w:eastAsia="华文仿宋"/>
          <w:b/>
          <w:sz w:val="32"/>
          <w:szCs w:val="32"/>
        </w:rPr>
        <w:t>包号：</w:t>
      </w:r>
      <w:r>
        <w:rPr>
          <w:rFonts w:hint="eastAsia" w:ascii="华文仿宋" w:hAnsi="华文仿宋" w:eastAsia="华文仿宋"/>
          <w:b/>
          <w:sz w:val="32"/>
          <w:szCs w:val="32"/>
          <w:u w:val="single"/>
        </w:rPr>
        <w:t xml:space="preserve">  1</w:t>
      </w:r>
      <w:r>
        <w:rPr>
          <w:rFonts w:ascii="华文仿宋" w:hAnsi="华文仿宋" w:eastAsia="华文仿宋"/>
          <w:b/>
          <w:sz w:val="32"/>
          <w:szCs w:val="32"/>
          <w:u w:val="single"/>
        </w:rPr>
        <w:t xml:space="preserve"> </w:t>
      </w:r>
      <w:r>
        <w:rPr>
          <w:rFonts w:hint="eastAsia" w:ascii="华文仿宋" w:hAnsi="华文仿宋" w:eastAsia="华文仿宋"/>
          <w:b/>
          <w:sz w:val="32"/>
          <w:szCs w:val="32"/>
          <w:u w:val="single"/>
        </w:rPr>
        <w:t xml:space="preserve">包 </w:t>
      </w:r>
    </w:p>
    <w:p w14:paraId="2DDCE10F">
      <w:pPr>
        <w:widowControl w:val="0"/>
        <w:tabs>
          <w:tab w:val="left" w:pos="1260"/>
          <w:tab w:val="left" w:pos="1620"/>
          <w:tab w:val="left" w:pos="6840"/>
          <w:tab w:val="left" w:pos="7020"/>
          <w:tab w:val="left" w:pos="7200"/>
        </w:tabs>
        <w:kinsoku/>
        <w:spacing w:line="276" w:lineRule="auto"/>
        <w:rPr>
          <w:rFonts w:ascii="华文仿宋" w:hAnsi="华文仿宋" w:eastAsia="华文仿宋"/>
          <w:b/>
          <w:sz w:val="24"/>
          <w:szCs w:val="24"/>
        </w:rPr>
      </w:pPr>
    </w:p>
    <w:p w14:paraId="471937CD">
      <w:pPr>
        <w:widowControl w:val="0"/>
        <w:tabs>
          <w:tab w:val="left" w:pos="1260"/>
          <w:tab w:val="left" w:pos="1620"/>
          <w:tab w:val="left" w:pos="6840"/>
          <w:tab w:val="left" w:pos="7020"/>
          <w:tab w:val="left" w:pos="7200"/>
        </w:tabs>
        <w:kinsoku/>
        <w:spacing w:line="432" w:lineRule="auto"/>
        <w:jc w:val="center"/>
        <w:rPr>
          <w:rFonts w:ascii="华文仿宋" w:hAnsi="华文仿宋" w:eastAsia="华文仿宋"/>
          <w:b/>
          <w:sz w:val="32"/>
          <w:szCs w:val="32"/>
        </w:rPr>
      </w:pPr>
      <w:r>
        <w:rPr>
          <w:rFonts w:hint="eastAsia" w:ascii="华文仿宋" w:hAnsi="华文仿宋" w:eastAsia="华文仿宋"/>
          <w:b/>
          <w:sz w:val="32"/>
          <w:szCs w:val="32"/>
        </w:rPr>
        <w:t>采购与招标中心</w:t>
      </w:r>
    </w:p>
    <w:p w14:paraId="3EEC2263">
      <w:pPr>
        <w:widowControl w:val="0"/>
        <w:tabs>
          <w:tab w:val="left" w:pos="1260"/>
          <w:tab w:val="left" w:pos="1620"/>
          <w:tab w:val="left" w:pos="6840"/>
          <w:tab w:val="left" w:pos="7020"/>
          <w:tab w:val="left" w:pos="7200"/>
        </w:tabs>
        <w:kinsoku/>
        <w:spacing w:line="432" w:lineRule="auto"/>
        <w:ind w:firstLine="1446" w:firstLineChars="600"/>
        <w:rPr>
          <w:rFonts w:ascii="华文仿宋" w:hAnsi="华文仿宋" w:eastAsia="华文仿宋"/>
          <w:b/>
          <w:sz w:val="24"/>
          <w:szCs w:val="24"/>
        </w:rPr>
      </w:pPr>
    </w:p>
    <w:p w14:paraId="0E133D15">
      <w:pPr>
        <w:widowControl w:val="0"/>
        <w:tabs>
          <w:tab w:val="left" w:pos="1260"/>
          <w:tab w:val="left" w:pos="1620"/>
          <w:tab w:val="left" w:pos="6840"/>
          <w:tab w:val="left" w:pos="7020"/>
          <w:tab w:val="left" w:pos="7200"/>
        </w:tabs>
        <w:kinsoku/>
        <w:spacing w:line="432" w:lineRule="auto"/>
        <w:rPr>
          <w:rFonts w:ascii="华文仿宋" w:hAnsi="华文仿宋" w:eastAsia="华文仿宋"/>
          <w:b/>
          <w:sz w:val="32"/>
          <w:szCs w:val="32"/>
          <w:u w:val="single"/>
        </w:rPr>
      </w:pPr>
      <w:r>
        <w:rPr>
          <w:rFonts w:hint="eastAsia" w:ascii="华文仿宋" w:hAnsi="华文仿宋" w:eastAsia="华文仿宋"/>
          <w:b/>
          <w:sz w:val="32"/>
          <w:szCs w:val="32"/>
        </w:rPr>
        <w:t>项目名称：</w:t>
      </w:r>
      <w:r>
        <w:rPr>
          <w:rFonts w:hint="eastAsia" w:ascii="华文仿宋" w:hAnsi="华文仿宋" w:eastAsia="华文仿宋"/>
          <w:b/>
          <w:sz w:val="32"/>
          <w:szCs w:val="32"/>
          <w:u w:val="single"/>
        </w:rPr>
        <w:t>海南大学图书馆</w:t>
      </w:r>
      <w:r>
        <w:rPr>
          <w:rFonts w:ascii="华文仿宋" w:hAnsi="华文仿宋" w:eastAsia="华文仿宋"/>
          <w:b/>
          <w:sz w:val="32"/>
          <w:szCs w:val="32"/>
          <w:u w:val="single"/>
        </w:rPr>
        <w:t>2025</w:t>
      </w:r>
      <w:r>
        <w:rPr>
          <w:rFonts w:hint="eastAsia" w:ascii="华文仿宋" w:hAnsi="华文仿宋" w:eastAsia="华文仿宋"/>
          <w:b/>
          <w:sz w:val="32"/>
          <w:szCs w:val="32"/>
          <w:u w:val="single"/>
        </w:rPr>
        <w:t>年</w:t>
      </w:r>
      <w:r>
        <w:rPr>
          <w:rFonts w:ascii="华文仿宋" w:hAnsi="华文仿宋" w:eastAsia="华文仿宋"/>
          <w:b/>
          <w:sz w:val="32"/>
          <w:szCs w:val="32"/>
          <w:u w:val="single"/>
        </w:rPr>
        <w:t>Science Direct</w:t>
      </w:r>
    </w:p>
    <w:p w14:paraId="2FCBA651">
      <w:pPr>
        <w:widowControl w:val="0"/>
        <w:tabs>
          <w:tab w:val="left" w:pos="1260"/>
          <w:tab w:val="left" w:pos="1620"/>
          <w:tab w:val="left" w:pos="6840"/>
          <w:tab w:val="left" w:pos="7020"/>
          <w:tab w:val="left" w:pos="7200"/>
        </w:tabs>
        <w:kinsoku/>
        <w:spacing w:line="432" w:lineRule="auto"/>
        <w:ind w:firstLine="1606" w:firstLineChars="500"/>
        <w:rPr>
          <w:rFonts w:ascii="华文仿宋" w:hAnsi="华文仿宋" w:eastAsia="华文仿宋"/>
          <w:b/>
          <w:sz w:val="32"/>
          <w:szCs w:val="32"/>
          <w:u w:val="single"/>
        </w:rPr>
      </w:pPr>
      <w:r>
        <w:rPr>
          <w:rFonts w:hint="eastAsia" w:ascii="华文仿宋" w:hAnsi="华文仿宋" w:eastAsia="华文仿宋"/>
          <w:b/>
          <w:sz w:val="32"/>
          <w:szCs w:val="32"/>
          <w:u w:val="single"/>
        </w:rPr>
        <w:t>数据库采购项目</w:t>
      </w:r>
    </w:p>
    <w:p w14:paraId="2B4902D7">
      <w:pPr>
        <w:widowControl w:val="0"/>
        <w:tabs>
          <w:tab w:val="left" w:pos="1260"/>
          <w:tab w:val="left" w:pos="1620"/>
          <w:tab w:val="left" w:pos="6840"/>
          <w:tab w:val="left" w:pos="7020"/>
          <w:tab w:val="left" w:pos="7200"/>
        </w:tabs>
        <w:kinsoku/>
        <w:spacing w:line="432" w:lineRule="auto"/>
        <w:rPr>
          <w:rFonts w:ascii="华文仿宋" w:hAnsi="华文仿宋" w:eastAsia="华文仿宋"/>
          <w:b/>
          <w:sz w:val="32"/>
          <w:szCs w:val="32"/>
          <w:u w:val="single"/>
        </w:rPr>
      </w:pPr>
      <w:r>
        <w:rPr>
          <w:rFonts w:hint="eastAsia" w:ascii="华文仿宋" w:hAnsi="华文仿宋" w:eastAsia="华文仿宋"/>
          <w:b/>
          <w:sz w:val="32"/>
          <w:szCs w:val="32"/>
        </w:rPr>
        <w:t>项目编号：</w:t>
      </w:r>
      <w:r>
        <w:rPr>
          <w:rFonts w:hint="eastAsia" w:ascii="华文仿宋" w:hAnsi="华文仿宋" w:eastAsia="华文仿宋"/>
          <w:b/>
          <w:sz w:val="32"/>
          <w:szCs w:val="32"/>
          <w:u w:val="single"/>
        </w:rPr>
        <w:t xml:space="preserve">      </w:t>
      </w:r>
      <w:r>
        <w:rPr>
          <w:rFonts w:ascii="华文仿宋" w:hAnsi="华文仿宋" w:eastAsia="华文仿宋"/>
          <w:b/>
          <w:sz w:val="32"/>
          <w:szCs w:val="32"/>
          <w:u w:val="single"/>
        </w:rPr>
        <w:t>HD2025-3-16</w:t>
      </w:r>
      <w:r>
        <w:rPr>
          <w:rFonts w:hint="eastAsia" w:ascii="华文仿宋" w:hAnsi="华文仿宋" w:eastAsia="华文仿宋"/>
          <w:b/>
          <w:sz w:val="32"/>
          <w:szCs w:val="32"/>
          <w:u w:val="single"/>
        </w:rPr>
        <w:t xml:space="preserve">    </w:t>
      </w:r>
    </w:p>
    <w:p w14:paraId="5B545D24">
      <w:pPr>
        <w:widowControl w:val="0"/>
        <w:tabs>
          <w:tab w:val="left" w:pos="1260"/>
          <w:tab w:val="left" w:pos="1620"/>
          <w:tab w:val="left" w:pos="6840"/>
          <w:tab w:val="left" w:pos="7020"/>
          <w:tab w:val="left" w:pos="7200"/>
        </w:tabs>
        <w:kinsoku/>
        <w:spacing w:line="432" w:lineRule="auto"/>
        <w:rPr>
          <w:rFonts w:ascii="华文仿宋" w:hAnsi="华文仿宋" w:eastAsia="华文仿宋"/>
          <w:b/>
          <w:sz w:val="32"/>
          <w:szCs w:val="32"/>
        </w:rPr>
      </w:pPr>
      <w:r>
        <w:rPr>
          <w:rFonts w:hint="eastAsia" w:ascii="华文仿宋" w:hAnsi="华文仿宋" w:eastAsia="华文仿宋"/>
          <w:b/>
          <w:sz w:val="32"/>
          <w:szCs w:val="32"/>
        </w:rPr>
        <w:t>甲    方：</w:t>
      </w:r>
      <w:r>
        <w:rPr>
          <w:rFonts w:hint="eastAsia" w:ascii="华文仿宋" w:hAnsi="华文仿宋" w:eastAsia="华文仿宋"/>
          <w:b/>
          <w:sz w:val="32"/>
          <w:szCs w:val="32"/>
          <w:u w:val="single"/>
        </w:rPr>
        <w:t xml:space="preserve">     海 南 大 学 </w:t>
      </w:r>
      <w:r>
        <w:rPr>
          <w:rFonts w:ascii="华文仿宋" w:hAnsi="华文仿宋" w:eastAsia="华文仿宋"/>
          <w:b/>
          <w:sz w:val="32"/>
          <w:szCs w:val="32"/>
          <w:u w:val="single"/>
        </w:rPr>
        <w:t xml:space="preserve">               </w:t>
      </w:r>
      <w:r>
        <w:rPr>
          <w:rFonts w:hint="eastAsia" w:ascii="华文仿宋" w:hAnsi="华文仿宋" w:eastAsia="华文仿宋"/>
          <w:b/>
          <w:sz w:val="32"/>
          <w:szCs w:val="32"/>
          <w:u w:val="single"/>
        </w:rPr>
        <w:t xml:space="preserve">    </w:t>
      </w:r>
    </w:p>
    <w:p w14:paraId="446DDB62">
      <w:pPr>
        <w:widowControl w:val="0"/>
        <w:tabs>
          <w:tab w:val="left" w:pos="1260"/>
          <w:tab w:val="left" w:pos="1620"/>
          <w:tab w:val="left" w:pos="6840"/>
          <w:tab w:val="left" w:pos="7020"/>
          <w:tab w:val="left" w:pos="7200"/>
        </w:tabs>
        <w:kinsoku/>
        <w:spacing w:line="432" w:lineRule="auto"/>
        <w:rPr>
          <w:rFonts w:ascii="华文仿宋" w:hAnsi="华文仿宋" w:eastAsia="华文仿宋"/>
          <w:b/>
          <w:sz w:val="32"/>
          <w:szCs w:val="32"/>
          <w:u w:val="single"/>
        </w:rPr>
      </w:pPr>
      <w:r>
        <w:rPr>
          <w:rFonts w:hint="eastAsia" w:ascii="华文仿宋" w:hAnsi="华文仿宋" w:eastAsia="华文仿宋"/>
          <w:b/>
          <w:sz w:val="32"/>
          <w:szCs w:val="32"/>
        </w:rPr>
        <w:t>乙    方：</w:t>
      </w:r>
      <w:r>
        <w:rPr>
          <w:rFonts w:hint="eastAsia" w:ascii="华文仿宋" w:hAnsi="华文仿宋" w:eastAsia="华文仿宋"/>
          <w:b/>
          <w:sz w:val="32"/>
          <w:szCs w:val="32"/>
          <w:u w:val="single"/>
        </w:rPr>
        <w:t xml:space="preserve">   中国图书进出口（集团）有限公司</w:t>
      </w:r>
      <w:r>
        <w:rPr>
          <w:rFonts w:ascii="华文仿宋" w:hAnsi="华文仿宋" w:eastAsia="华文仿宋"/>
          <w:b/>
          <w:sz w:val="32"/>
          <w:szCs w:val="32"/>
          <w:u w:val="single"/>
        </w:rPr>
        <w:t xml:space="preserve"> </w:t>
      </w:r>
      <w:r>
        <w:rPr>
          <w:rFonts w:hint="eastAsia" w:ascii="华文仿宋" w:hAnsi="华文仿宋" w:eastAsia="华文仿宋"/>
          <w:b/>
          <w:sz w:val="32"/>
          <w:szCs w:val="32"/>
          <w:u w:val="single"/>
        </w:rPr>
        <w:t xml:space="preserve"> </w:t>
      </w:r>
    </w:p>
    <w:p w14:paraId="0E20C508">
      <w:pPr>
        <w:widowControl w:val="0"/>
        <w:tabs>
          <w:tab w:val="left" w:pos="1260"/>
          <w:tab w:val="left" w:pos="1620"/>
          <w:tab w:val="left" w:pos="6840"/>
          <w:tab w:val="left" w:pos="7020"/>
          <w:tab w:val="left" w:pos="7200"/>
        </w:tabs>
        <w:kinsoku/>
        <w:spacing w:line="432" w:lineRule="auto"/>
        <w:rPr>
          <w:rFonts w:ascii="华文仿宋" w:hAnsi="华文仿宋" w:eastAsia="华文仿宋"/>
          <w:b/>
          <w:sz w:val="32"/>
          <w:szCs w:val="32"/>
          <w:u w:val="single"/>
        </w:rPr>
      </w:pPr>
      <w:r>
        <w:rPr>
          <w:rFonts w:hint="eastAsia" w:ascii="华文仿宋" w:hAnsi="华文仿宋" w:eastAsia="华文仿宋"/>
          <w:b/>
          <w:sz w:val="32"/>
          <w:szCs w:val="32"/>
        </w:rPr>
        <w:t>招标代理：</w:t>
      </w:r>
      <w:r>
        <w:rPr>
          <w:rFonts w:hint="eastAsia" w:ascii="华文仿宋" w:hAnsi="华文仿宋" w:eastAsia="华文仿宋"/>
          <w:b/>
          <w:sz w:val="32"/>
          <w:szCs w:val="32"/>
          <w:u w:val="single"/>
        </w:rPr>
        <w:t xml:space="preserve"> 海南省教学仪器设备招标中心有限公司 </w:t>
      </w:r>
    </w:p>
    <w:p w14:paraId="744380FA">
      <w:pPr>
        <w:widowControl w:val="0"/>
        <w:tabs>
          <w:tab w:val="left" w:pos="1260"/>
          <w:tab w:val="left" w:pos="1620"/>
          <w:tab w:val="left" w:pos="6840"/>
          <w:tab w:val="left" w:pos="7020"/>
          <w:tab w:val="left" w:pos="7200"/>
        </w:tabs>
        <w:kinsoku/>
        <w:spacing w:line="432" w:lineRule="auto"/>
        <w:rPr>
          <w:rFonts w:ascii="华文仿宋" w:hAnsi="华文仿宋" w:eastAsia="华文仿宋"/>
          <w:b/>
          <w:sz w:val="32"/>
          <w:szCs w:val="32"/>
        </w:rPr>
      </w:pPr>
      <w:r>
        <w:rPr>
          <w:rFonts w:hint="eastAsia" w:ascii="华文仿宋" w:hAnsi="华文仿宋" w:eastAsia="华文仿宋"/>
          <w:b/>
          <w:sz w:val="32"/>
          <w:szCs w:val="32"/>
        </w:rPr>
        <w:t xml:space="preserve">签订日期：   </w:t>
      </w:r>
      <w:r>
        <w:rPr>
          <w:rFonts w:ascii="华文仿宋" w:hAnsi="华文仿宋" w:eastAsia="华文仿宋"/>
          <w:b/>
          <w:sz w:val="32"/>
          <w:szCs w:val="32"/>
        </w:rPr>
        <w:t xml:space="preserve">  </w:t>
      </w:r>
      <w:r>
        <w:rPr>
          <w:rFonts w:hint="eastAsia" w:ascii="华文仿宋" w:hAnsi="华文仿宋" w:eastAsia="华文仿宋"/>
          <w:b/>
          <w:sz w:val="32"/>
          <w:szCs w:val="32"/>
        </w:rPr>
        <w:t xml:space="preserve"> 年 </w:t>
      </w:r>
      <w:r>
        <w:rPr>
          <w:rFonts w:ascii="华文仿宋" w:hAnsi="华文仿宋" w:eastAsia="华文仿宋"/>
          <w:b/>
          <w:sz w:val="32"/>
          <w:szCs w:val="32"/>
        </w:rPr>
        <w:t xml:space="preserve">  </w:t>
      </w:r>
      <w:r>
        <w:rPr>
          <w:rFonts w:hint="eastAsia" w:ascii="华文仿宋" w:hAnsi="华文仿宋" w:eastAsia="华文仿宋"/>
          <w:b/>
          <w:sz w:val="32"/>
          <w:szCs w:val="32"/>
        </w:rPr>
        <w:t xml:space="preserve">  月 </w:t>
      </w:r>
      <w:r>
        <w:rPr>
          <w:rFonts w:ascii="华文仿宋" w:hAnsi="华文仿宋" w:eastAsia="华文仿宋"/>
          <w:b/>
          <w:sz w:val="32"/>
          <w:szCs w:val="32"/>
        </w:rPr>
        <w:t xml:space="preserve">  </w:t>
      </w:r>
      <w:r>
        <w:rPr>
          <w:rFonts w:hint="eastAsia" w:ascii="华文仿宋" w:hAnsi="华文仿宋" w:eastAsia="华文仿宋"/>
          <w:b/>
          <w:sz w:val="32"/>
          <w:szCs w:val="32"/>
        </w:rPr>
        <w:t xml:space="preserve"> 日</w:t>
      </w:r>
    </w:p>
    <w:p w14:paraId="15976E2F">
      <w:pPr>
        <w:kinsoku/>
        <w:autoSpaceDE/>
        <w:autoSpaceDN/>
        <w:adjustRightInd/>
        <w:snapToGrid/>
        <w:textAlignment w:val="auto"/>
        <w:rPr>
          <w:rFonts w:ascii="华文仿宋" w:hAnsi="华文仿宋" w:eastAsia="华文仿宋" w:cs="宋体"/>
          <w:sz w:val="24"/>
        </w:rPr>
      </w:pPr>
      <w:r>
        <w:rPr>
          <w:rFonts w:ascii="华文仿宋" w:hAnsi="华文仿宋" w:eastAsia="华文仿宋" w:cs="宋体"/>
          <w:sz w:val="24"/>
        </w:rPr>
        <w:br w:type="page"/>
      </w:r>
    </w:p>
    <w:p w14:paraId="76D664B0">
      <w:pPr>
        <w:widowControl w:val="0"/>
        <w:kinsoku/>
        <w:ind w:firstLine="480" w:firstLineChars="200"/>
        <w:jc w:val="both"/>
        <w:rPr>
          <w:rFonts w:ascii="华文仿宋" w:hAnsi="华文仿宋" w:eastAsia="华文仿宋" w:cs="宋体"/>
          <w:sz w:val="24"/>
        </w:rPr>
      </w:pPr>
      <w:r>
        <w:rPr>
          <w:rFonts w:hint="eastAsia" w:ascii="华文仿宋" w:hAnsi="华文仿宋" w:eastAsia="华文仿宋" w:cs="宋体"/>
          <w:sz w:val="24"/>
          <w:u w:val="single"/>
        </w:rPr>
        <w:t>海南大学</w:t>
      </w:r>
      <w:r>
        <w:rPr>
          <w:rFonts w:hint="eastAsia" w:ascii="华文仿宋" w:hAnsi="华文仿宋" w:eastAsia="华文仿宋" w:cs="宋体"/>
          <w:sz w:val="24"/>
        </w:rPr>
        <w:t xml:space="preserve">（采购单位）以 </w:t>
      </w:r>
      <w:r>
        <w:rPr>
          <w:rFonts w:hint="eastAsia" w:ascii="华文仿宋" w:hAnsi="华文仿宋" w:eastAsia="华文仿宋" w:cs="宋体"/>
          <w:sz w:val="24"/>
          <w:u w:val="single"/>
        </w:rPr>
        <w:t xml:space="preserve">  单一来源采购方式  </w:t>
      </w:r>
      <w:r>
        <w:rPr>
          <w:rFonts w:hint="eastAsia" w:ascii="华文仿宋" w:hAnsi="华文仿宋" w:eastAsia="华文仿宋" w:cs="宋体"/>
          <w:sz w:val="24"/>
        </w:rPr>
        <w:t>对项目（项目编号：</w:t>
      </w:r>
      <w:r>
        <w:rPr>
          <w:rFonts w:hint="eastAsia" w:ascii="华文仿宋" w:hAnsi="华文仿宋" w:eastAsia="华文仿宋" w:cs="宋体"/>
          <w:sz w:val="24"/>
          <w:u w:val="single"/>
        </w:rPr>
        <w:t>_</w:t>
      </w:r>
      <w:r>
        <w:rPr>
          <w:rFonts w:ascii="华文仿宋" w:hAnsi="华文仿宋" w:eastAsia="华文仿宋" w:cs="宋体"/>
          <w:sz w:val="24"/>
          <w:u w:val="single"/>
        </w:rPr>
        <w:t>HD2025-3-16</w:t>
      </w:r>
      <w:r>
        <w:rPr>
          <w:rFonts w:hint="eastAsia" w:ascii="华文仿宋" w:hAnsi="华文仿宋" w:eastAsia="华文仿宋" w:cs="宋体"/>
          <w:sz w:val="24"/>
          <w:u w:val="single"/>
        </w:rPr>
        <w:t>_</w:t>
      </w:r>
      <w:r>
        <w:rPr>
          <w:rFonts w:hint="eastAsia" w:ascii="华文仿宋" w:hAnsi="华文仿宋" w:eastAsia="华文仿宋" w:cs="宋体"/>
          <w:sz w:val="24"/>
        </w:rPr>
        <w:t>）进行了采购，</w:t>
      </w:r>
      <w:r>
        <w:rPr>
          <w:rFonts w:hint="eastAsia" w:ascii="华文仿宋" w:hAnsi="华文仿宋" w:eastAsia="华文仿宋" w:cs="宋体"/>
          <w:sz w:val="24"/>
          <w:u w:val="single"/>
        </w:rPr>
        <w:t xml:space="preserve"> 中国图书进出口（集团）有限公司</w:t>
      </w:r>
      <w:r>
        <w:rPr>
          <w:rFonts w:ascii="华文仿宋" w:hAnsi="华文仿宋" w:eastAsia="华文仿宋" w:cs="宋体"/>
          <w:sz w:val="24"/>
          <w:u w:val="single"/>
        </w:rPr>
        <w:t xml:space="preserve"> </w:t>
      </w:r>
      <w:r>
        <w:rPr>
          <w:rFonts w:hint="eastAsia" w:ascii="华文仿宋" w:hAnsi="华文仿宋" w:eastAsia="华文仿宋" w:cs="宋体"/>
          <w:sz w:val="24"/>
        </w:rPr>
        <w:t>为该项目供应商。</w:t>
      </w:r>
    </w:p>
    <w:p w14:paraId="586F649C">
      <w:pPr>
        <w:widowControl w:val="0"/>
        <w:kinsoku/>
        <w:ind w:firstLine="480" w:firstLineChars="200"/>
        <w:jc w:val="both"/>
        <w:rPr>
          <w:rFonts w:ascii="华文仿宋" w:hAnsi="华文仿宋" w:eastAsia="华文仿宋" w:cs="宋体"/>
          <w:sz w:val="24"/>
        </w:rPr>
      </w:pPr>
      <w:r>
        <w:rPr>
          <w:rFonts w:hint="eastAsia" w:ascii="华文仿宋" w:hAnsi="华文仿宋" w:eastAsia="华文仿宋" w:cs="宋体"/>
          <w:sz w:val="24"/>
          <w:u w:val="single"/>
        </w:rPr>
        <w:t xml:space="preserve">海南大学 </w:t>
      </w:r>
      <w:r>
        <w:rPr>
          <w:rFonts w:hint="eastAsia" w:ascii="华文仿宋" w:hAnsi="华文仿宋" w:eastAsia="华文仿宋" w:cs="宋体"/>
          <w:sz w:val="24"/>
          <w:lang w:val="zh-CN"/>
        </w:rPr>
        <w:t>(以下简称甲方）</w:t>
      </w:r>
      <w:r>
        <w:rPr>
          <w:rFonts w:hint="eastAsia" w:ascii="华文仿宋" w:hAnsi="华文仿宋" w:eastAsia="华文仿宋" w:cs="宋体"/>
          <w:sz w:val="24"/>
        </w:rPr>
        <w:t xml:space="preserve">和 </w:t>
      </w:r>
      <w:r>
        <w:rPr>
          <w:rFonts w:hint="eastAsia" w:ascii="华文仿宋" w:hAnsi="华文仿宋" w:eastAsia="华文仿宋" w:cs="宋体"/>
          <w:sz w:val="24"/>
          <w:u w:val="single"/>
        </w:rPr>
        <w:t>_中国图书进出口（集团）有限公司_</w:t>
      </w:r>
      <w:r>
        <w:rPr>
          <w:rFonts w:hint="eastAsia" w:ascii="华文仿宋" w:hAnsi="华文仿宋" w:eastAsia="华文仿宋" w:cs="宋体"/>
          <w:sz w:val="24"/>
          <w:lang w:val="zh-CN"/>
        </w:rPr>
        <w:t xml:space="preserve"> （以下简称乙方）</w:t>
      </w:r>
      <w:r>
        <w:rPr>
          <w:rFonts w:hint="eastAsia" w:ascii="华文仿宋" w:hAnsi="华文仿宋" w:eastAsia="华文仿宋" w:cs="宋体"/>
          <w:sz w:val="24"/>
        </w:rPr>
        <w:t>根据《中华人民共和国民法典》《中华人民共和国政府采购法》</w:t>
      </w:r>
      <w:r>
        <w:rPr>
          <w:rFonts w:hint="eastAsia" w:ascii="华文仿宋" w:hAnsi="华文仿宋" w:eastAsia="华文仿宋" w:cs="宋体"/>
          <w:sz w:val="24"/>
          <w:lang w:val="zh-CN"/>
        </w:rPr>
        <w:t>等相</w:t>
      </w:r>
      <w:r>
        <w:rPr>
          <w:rFonts w:hint="eastAsia" w:ascii="华文仿宋" w:hAnsi="华文仿宋" w:eastAsia="华文仿宋" w:cs="宋体"/>
          <w:sz w:val="24"/>
        </w:rPr>
        <w:t>关法律法规，遵循平等、自愿、公平和诚实信用原则，同意按照以下条款订立本合同，共同信守。</w:t>
      </w:r>
    </w:p>
    <w:p w14:paraId="46ACADC6">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一、订购内容</w:t>
      </w:r>
    </w:p>
    <w:p w14:paraId="03CF80D6">
      <w:pPr>
        <w:widowControl w:val="0"/>
        <w:kinsoku/>
        <w:spacing w:line="360" w:lineRule="auto"/>
        <w:ind w:firstLine="480" w:firstLineChars="200"/>
        <w:jc w:val="both"/>
        <w:rPr>
          <w:rFonts w:ascii="华文仿宋" w:hAnsi="华文仿宋" w:eastAsia="华文仿宋" w:cs="宋体"/>
          <w:sz w:val="24"/>
        </w:rPr>
      </w:pPr>
      <w:r>
        <w:rPr>
          <w:rFonts w:hint="eastAsia" w:ascii="华文仿宋" w:hAnsi="华文仿宋" w:eastAsia="华文仿宋" w:cs="宋体"/>
          <w:sz w:val="24"/>
        </w:rPr>
        <w:t>基于《</w:t>
      </w:r>
      <w:r>
        <w:rPr>
          <w:rFonts w:ascii="华文仿宋" w:hAnsi="华文仿宋" w:eastAsia="华文仿宋" w:cs="宋体"/>
          <w:b/>
          <w:bCs/>
          <w:sz w:val="24"/>
        </w:rPr>
        <w:t>Elsevier ScienceDirect</w:t>
      </w:r>
      <w:r>
        <w:rPr>
          <w:rFonts w:hint="eastAsia" w:ascii="华文仿宋" w:hAnsi="华文仿宋" w:eastAsia="华文仿宋" w:cs="宋体"/>
          <w:b/>
          <w:bCs/>
          <w:sz w:val="24"/>
        </w:rPr>
        <w:t>数据库据库DRAA集团采购方案（2</w:t>
      </w:r>
      <w:r>
        <w:rPr>
          <w:rFonts w:ascii="华文仿宋" w:hAnsi="华文仿宋" w:eastAsia="华文仿宋" w:cs="宋体"/>
          <w:b/>
          <w:bCs/>
          <w:sz w:val="24"/>
        </w:rPr>
        <w:t>02</w:t>
      </w:r>
      <w:r>
        <w:rPr>
          <w:rFonts w:hint="eastAsia" w:ascii="华文仿宋" w:hAnsi="华文仿宋" w:eastAsia="华文仿宋" w:cs="宋体"/>
          <w:b/>
          <w:bCs/>
          <w:sz w:val="24"/>
        </w:rPr>
        <w:t>5</w:t>
      </w:r>
      <w:r>
        <w:rPr>
          <w:rFonts w:ascii="华文仿宋" w:hAnsi="华文仿宋" w:eastAsia="华文仿宋" w:cs="宋体"/>
          <w:b/>
          <w:bCs/>
          <w:sz w:val="24"/>
        </w:rPr>
        <w:t>.</w:t>
      </w:r>
      <w:r>
        <w:rPr>
          <w:rFonts w:hint="eastAsia" w:ascii="华文仿宋" w:hAnsi="华文仿宋" w:eastAsia="华文仿宋" w:cs="宋体"/>
          <w:b/>
          <w:bCs/>
          <w:sz w:val="24"/>
        </w:rPr>
        <w:t>1</w:t>
      </w:r>
      <w:r>
        <w:rPr>
          <w:rFonts w:ascii="华文仿宋" w:hAnsi="华文仿宋" w:eastAsia="华文仿宋" w:cs="宋体"/>
          <w:b/>
          <w:bCs/>
          <w:sz w:val="24"/>
        </w:rPr>
        <w:t>.</w:t>
      </w:r>
      <w:r>
        <w:rPr>
          <w:rFonts w:hint="eastAsia" w:ascii="华文仿宋" w:hAnsi="华文仿宋" w:eastAsia="华文仿宋" w:cs="宋体"/>
          <w:b/>
          <w:bCs/>
          <w:sz w:val="24"/>
        </w:rPr>
        <w:t>1</w:t>
      </w:r>
      <w:r>
        <w:rPr>
          <w:rFonts w:ascii="华文仿宋" w:hAnsi="华文仿宋" w:eastAsia="华文仿宋" w:cs="宋体"/>
          <w:b/>
          <w:bCs/>
          <w:sz w:val="24"/>
        </w:rPr>
        <w:t>-202</w:t>
      </w:r>
      <w:r>
        <w:rPr>
          <w:rFonts w:hint="eastAsia" w:ascii="华文仿宋" w:hAnsi="华文仿宋" w:eastAsia="华文仿宋" w:cs="宋体"/>
          <w:b/>
          <w:bCs/>
          <w:sz w:val="24"/>
        </w:rPr>
        <w:t>7</w:t>
      </w:r>
      <w:r>
        <w:rPr>
          <w:rFonts w:ascii="华文仿宋" w:hAnsi="华文仿宋" w:eastAsia="华文仿宋" w:cs="宋体"/>
          <w:b/>
          <w:bCs/>
          <w:sz w:val="24"/>
        </w:rPr>
        <w:t>.</w:t>
      </w:r>
      <w:r>
        <w:rPr>
          <w:rFonts w:hint="eastAsia" w:ascii="华文仿宋" w:hAnsi="华文仿宋" w:eastAsia="华文仿宋" w:cs="宋体"/>
          <w:b/>
          <w:bCs/>
          <w:sz w:val="24"/>
        </w:rPr>
        <w:t>12</w:t>
      </w:r>
      <w:r>
        <w:rPr>
          <w:rFonts w:ascii="华文仿宋" w:hAnsi="华文仿宋" w:eastAsia="华文仿宋" w:cs="宋体"/>
          <w:b/>
          <w:bCs/>
          <w:sz w:val="24"/>
        </w:rPr>
        <w:t>.</w:t>
      </w:r>
      <w:r>
        <w:rPr>
          <w:rFonts w:hint="eastAsia" w:ascii="华文仿宋" w:hAnsi="华文仿宋" w:eastAsia="华文仿宋" w:cs="宋体"/>
          <w:b/>
          <w:bCs/>
          <w:sz w:val="24"/>
        </w:rPr>
        <w:t>31）</w:t>
      </w:r>
      <w:r>
        <w:rPr>
          <w:rFonts w:hint="eastAsia" w:ascii="华文仿宋" w:hAnsi="华文仿宋" w:eastAsia="华文仿宋" w:cs="宋体"/>
          <w:sz w:val="24"/>
        </w:rPr>
        <w:t>》，经友好协商，甲方委托乙方购买</w:t>
      </w:r>
      <w:r>
        <w:rPr>
          <w:rFonts w:ascii="华文仿宋" w:hAnsi="华文仿宋" w:eastAsia="华文仿宋" w:cs="宋体"/>
          <w:sz w:val="24"/>
        </w:rPr>
        <w:t>_</w:t>
      </w:r>
      <w:r>
        <w:rPr>
          <w:rFonts w:ascii="华文仿宋" w:hAnsi="华文仿宋" w:eastAsia="华文仿宋" w:cs="宋体"/>
          <w:sz w:val="24"/>
          <w:u w:val="single"/>
        </w:rPr>
        <w:t>Science Direct_</w:t>
      </w:r>
      <w:r>
        <w:rPr>
          <w:rFonts w:hint="eastAsia" w:ascii="华文仿宋" w:hAnsi="华文仿宋" w:eastAsia="华文仿宋" w:cs="宋体"/>
          <w:sz w:val="24"/>
          <w:u w:val="single"/>
        </w:rPr>
        <w:t>数据库</w:t>
      </w:r>
      <w:r>
        <w:rPr>
          <w:rFonts w:hint="eastAsia" w:ascii="华文仿宋" w:hAnsi="华文仿宋" w:eastAsia="华文仿宋" w:cs="宋体"/>
          <w:i/>
          <w:iCs/>
          <w:sz w:val="24"/>
        </w:rPr>
        <w:t>（外文数据库名称）</w:t>
      </w:r>
      <w:r>
        <w:rPr>
          <w:rFonts w:hint="eastAsia" w:ascii="华文仿宋" w:hAnsi="华文仿宋" w:eastAsia="华文仿宋" w:cs="宋体"/>
          <w:sz w:val="24"/>
        </w:rPr>
        <w:t>。该数据库产品内容应符合《出版管理条例》规定。甲方购买的本数据库及相关服务价格如下：</w:t>
      </w:r>
    </w:p>
    <w:tbl>
      <w:tblPr>
        <w:tblStyle w:val="15"/>
        <w:tblpPr w:leftFromText="180" w:rightFromText="180" w:vertAnchor="text" w:horzAnchor="margin" w:tblpX="-294" w:tblpY="58"/>
        <w:tblOverlap w:val="never"/>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985"/>
        <w:gridCol w:w="2268"/>
        <w:gridCol w:w="977"/>
        <w:gridCol w:w="724"/>
        <w:gridCol w:w="1134"/>
        <w:gridCol w:w="1134"/>
        <w:gridCol w:w="1276"/>
      </w:tblGrid>
      <w:tr w14:paraId="7F72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25" w:type="dxa"/>
            <w:vAlign w:val="center"/>
          </w:tcPr>
          <w:p w14:paraId="294B3D21">
            <w:pPr>
              <w:widowControl w:val="0"/>
              <w:kinsoku/>
              <w:spacing w:line="360" w:lineRule="exact"/>
              <w:jc w:val="both"/>
              <w:rPr>
                <w:rFonts w:ascii="华文仿宋" w:hAnsi="华文仿宋" w:eastAsia="华文仿宋"/>
                <w:sz w:val="24"/>
              </w:rPr>
            </w:pPr>
            <w:r>
              <w:rPr>
                <w:rFonts w:hint="eastAsia" w:ascii="华文仿宋" w:hAnsi="华文仿宋" w:eastAsia="华文仿宋"/>
                <w:b/>
                <w:bCs/>
              </w:rPr>
              <w:t>序号</w:t>
            </w:r>
          </w:p>
        </w:tc>
        <w:tc>
          <w:tcPr>
            <w:tcW w:w="1985" w:type="dxa"/>
            <w:vAlign w:val="center"/>
          </w:tcPr>
          <w:p w14:paraId="0A9CB7FE">
            <w:pPr>
              <w:widowControl w:val="0"/>
              <w:kinsoku/>
              <w:spacing w:line="360" w:lineRule="exact"/>
              <w:jc w:val="both"/>
              <w:rPr>
                <w:rFonts w:ascii="华文仿宋" w:hAnsi="华文仿宋" w:eastAsia="华文仿宋"/>
                <w:b/>
                <w:bCs/>
              </w:rPr>
            </w:pPr>
            <w:r>
              <w:rPr>
                <w:rFonts w:hint="eastAsia" w:ascii="华文仿宋" w:hAnsi="华文仿宋" w:eastAsia="华文仿宋"/>
                <w:b/>
                <w:bCs/>
              </w:rPr>
              <w:t>数据库名称</w:t>
            </w:r>
          </w:p>
        </w:tc>
        <w:tc>
          <w:tcPr>
            <w:tcW w:w="2268" w:type="dxa"/>
            <w:vAlign w:val="center"/>
          </w:tcPr>
          <w:p w14:paraId="0A1DA1AE">
            <w:pPr>
              <w:widowControl w:val="0"/>
              <w:kinsoku/>
              <w:spacing w:line="360" w:lineRule="exact"/>
              <w:jc w:val="both"/>
              <w:rPr>
                <w:rFonts w:ascii="华文仿宋" w:hAnsi="华文仿宋" w:eastAsia="华文仿宋"/>
                <w:b/>
                <w:bCs/>
              </w:rPr>
            </w:pPr>
            <w:r>
              <w:rPr>
                <w:rFonts w:hint="eastAsia" w:ascii="华文仿宋" w:hAnsi="华文仿宋" w:eastAsia="华文仿宋"/>
                <w:b/>
                <w:bCs/>
              </w:rPr>
              <w:t>使用期限</w:t>
            </w:r>
          </w:p>
        </w:tc>
        <w:tc>
          <w:tcPr>
            <w:tcW w:w="977" w:type="dxa"/>
            <w:vAlign w:val="center"/>
          </w:tcPr>
          <w:p w14:paraId="00B5076F">
            <w:pPr>
              <w:widowControl w:val="0"/>
              <w:kinsoku/>
              <w:spacing w:line="360" w:lineRule="exact"/>
              <w:jc w:val="both"/>
              <w:rPr>
                <w:rFonts w:ascii="华文仿宋" w:hAnsi="华文仿宋" w:eastAsia="华文仿宋"/>
                <w:b/>
                <w:bCs/>
              </w:rPr>
            </w:pPr>
            <w:r>
              <w:rPr>
                <w:rFonts w:hint="eastAsia" w:ascii="华文仿宋" w:hAnsi="华文仿宋" w:eastAsia="华文仿宋"/>
                <w:b/>
                <w:bCs/>
              </w:rPr>
              <w:t>外币价</w:t>
            </w:r>
          </w:p>
        </w:tc>
        <w:tc>
          <w:tcPr>
            <w:tcW w:w="724" w:type="dxa"/>
            <w:vAlign w:val="center"/>
          </w:tcPr>
          <w:p w14:paraId="3B8139DE">
            <w:pPr>
              <w:widowControl w:val="0"/>
              <w:kinsoku/>
              <w:spacing w:line="360" w:lineRule="exact"/>
              <w:jc w:val="both"/>
              <w:rPr>
                <w:rFonts w:ascii="华文仿宋" w:hAnsi="华文仿宋" w:eastAsia="华文仿宋"/>
                <w:b/>
                <w:bCs/>
              </w:rPr>
            </w:pPr>
            <w:r>
              <w:rPr>
                <w:rFonts w:hint="eastAsia" w:ascii="华文仿宋" w:hAnsi="华文仿宋" w:eastAsia="华文仿宋"/>
                <w:b/>
                <w:bCs/>
              </w:rPr>
              <w:t>币制</w:t>
            </w:r>
          </w:p>
        </w:tc>
        <w:tc>
          <w:tcPr>
            <w:tcW w:w="1134" w:type="dxa"/>
            <w:vAlign w:val="center"/>
          </w:tcPr>
          <w:p w14:paraId="597F597D">
            <w:pPr>
              <w:widowControl w:val="0"/>
              <w:kinsoku/>
              <w:spacing w:line="360" w:lineRule="exact"/>
              <w:jc w:val="both"/>
              <w:rPr>
                <w:rFonts w:ascii="华文仿宋" w:hAnsi="华文仿宋" w:eastAsia="华文仿宋"/>
                <w:b/>
                <w:bCs/>
              </w:rPr>
            </w:pPr>
            <w:r>
              <w:rPr>
                <w:rFonts w:hint="eastAsia" w:ascii="华文仿宋" w:hAnsi="华文仿宋" w:eastAsia="华文仿宋"/>
                <w:b/>
                <w:bCs/>
              </w:rPr>
              <w:t>成交当日汇率</w:t>
            </w:r>
          </w:p>
        </w:tc>
        <w:tc>
          <w:tcPr>
            <w:tcW w:w="1134" w:type="dxa"/>
            <w:vAlign w:val="center"/>
          </w:tcPr>
          <w:p w14:paraId="4003E6ED">
            <w:pPr>
              <w:widowControl w:val="0"/>
              <w:kinsoku/>
              <w:spacing w:line="360" w:lineRule="exact"/>
              <w:jc w:val="both"/>
              <w:rPr>
                <w:rFonts w:ascii="华文仿宋" w:hAnsi="华文仿宋" w:eastAsia="华文仿宋"/>
                <w:b/>
                <w:bCs/>
              </w:rPr>
            </w:pPr>
            <w:r>
              <w:rPr>
                <w:rFonts w:hint="eastAsia" w:ascii="华文仿宋" w:hAnsi="华文仿宋" w:eastAsia="华文仿宋"/>
                <w:b/>
                <w:bCs/>
              </w:rPr>
              <w:t>手续费和招标服务费率</w:t>
            </w:r>
          </w:p>
        </w:tc>
        <w:tc>
          <w:tcPr>
            <w:tcW w:w="1276" w:type="dxa"/>
            <w:vAlign w:val="center"/>
          </w:tcPr>
          <w:p w14:paraId="18A8456A">
            <w:pPr>
              <w:widowControl w:val="0"/>
              <w:kinsoku/>
              <w:spacing w:line="360" w:lineRule="exact"/>
              <w:jc w:val="both"/>
              <w:rPr>
                <w:rFonts w:ascii="华文仿宋" w:hAnsi="华文仿宋" w:eastAsia="华文仿宋"/>
                <w:b/>
                <w:bCs/>
              </w:rPr>
            </w:pPr>
            <w:r>
              <w:rPr>
                <w:rFonts w:ascii="华文仿宋" w:hAnsi="华文仿宋" w:eastAsia="华文仿宋"/>
                <w:b/>
                <w:bCs/>
              </w:rPr>
              <w:t>人民币价</w:t>
            </w:r>
            <w:r>
              <w:rPr>
                <w:rFonts w:hint="eastAsia" w:ascii="华文仿宋" w:hAnsi="华文仿宋" w:eastAsia="华文仿宋"/>
                <w:b/>
                <w:bCs/>
              </w:rPr>
              <w:t>（元）</w:t>
            </w:r>
          </w:p>
        </w:tc>
      </w:tr>
      <w:tr w14:paraId="5F13A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25" w:type="dxa"/>
            <w:vAlign w:val="center"/>
          </w:tcPr>
          <w:p w14:paraId="06F4BA45">
            <w:pPr>
              <w:widowControl w:val="0"/>
              <w:kinsoku/>
              <w:spacing w:line="360" w:lineRule="exact"/>
              <w:jc w:val="both"/>
              <w:rPr>
                <w:rFonts w:ascii="华文仿宋" w:hAnsi="华文仿宋" w:eastAsia="华文仿宋"/>
              </w:rPr>
            </w:pPr>
            <w:r>
              <w:rPr>
                <w:rFonts w:hint="eastAsia" w:ascii="华文仿宋" w:hAnsi="华文仿宋" w:eastAsia="华文仿宋"/>
              </w:rPr>
              <w:t>1</w:t>
            </w:r>
          </w:p>
        </w:tc>
        <w:tc>
          <w:tcPr>
            <w:tcW w:w="1985" w:type="dxa"/>
            <w:vAlign w:val="center"/>
          </w:tcPr>
          <w:p w14:paraId="14C2D659">
            <w:pPr>
              <w:widowControl w:val="0"/>
              <w:kinsoku/>
              <w:spacing w:line="360" w:lineRule="exact"/>
              <w:jc w:val="both"/>
              <w:rPr>
                <w:rFonts w:ascii="华文仿宋" w:hAnsi="华文仿宋" w:eastAsia="华文仿宋"/>
              </w:rPr>
            </w:pPr>
            <w:r>
              <w:rPr>
                <w:rFonts w:ascii="华文仿宋" w:hAnsi="华文仿宋" w:eastAsia="华文仿宋"/>
              </w:rPr>
              <w:t>Science Direct</w:t>
            </w:r>
            <w:r>
              <w:rPr>
                <w:rFonts w:hint="eastAsia" w:ascii="华文仿宋" w:hAnsi="华文仿宋" w:eastAsia="华文仿宋"/>
              </w:rPr>
              <w:t>数据库</w:t>
            </w:r>
          </w:p>
        </w:tc>
        <w:tc>
          <w:tcPr>
            <w:tcW w:w="2268" w:type="dxa"/>
            <w:vAlign w:val="center"/>
          </w:tcPr>
          <w:p w14:paraId="726D7F6A">
            <w:pPr>
              <w:widowControl w:val="0"/>
              <w:kinsoku/>
              <w:spacing w:line="360" w:lineRule="exact"/>
              <w:jc w:val="both"/>
              <w:rPr>
                <w:rFonts w:ascii="华文仿宋" w:hAnsi="华文仿宋" w:eastAsia="华文仿宋"/>
              </w:rPr>
            </w:pPr>
            <w:r>
              <w:rPr>
                <w:rFonts w:hint="eastAsia" w:ascii="华文仿宋" w:hAnsi="华文仿宋" w:eastAsia="华文仿宋"/>
              </w:rPr>
              <w:t>2025.1.1-2025.12.31</w:t>
            </w:r>
          </w:p>
        </w:tc>
        <w:tc>
          <w:tcPr>
            <w:tcW w:w="977" w:type="dxa"/>
            <w:vAlign w:val="center"/>
          </w:tcPr>
          <w:p w14:paraId="25257534">
            <w:pPr>
              <w:widowControl w:val="0"/>
              <w:kinsoku/>
              <w:spacing w:line="360" w:lineRule="exact"/>
              <w:jc w:val="both"/>
              <w:rPr>
                <w:rFonts w:ascii="华文仿宋" w:hAnsi="华文仿宋" w:eastAsia="华文仿宋"/>
              </w:rPr>
            </w:pPr>
            <w:r>
              <w:rPr>
                <w:rFonts w:hint="eastAsia" w:ascii="华文仿宋" w:hAnsi="华文仿宋" w:eastAsia="华文仿宋"/>
              </w:rPr>
              <w:t>/</w:t>
            </w:r>
          </w:p>
        </w:tc>
        <w:tc>
          <w:tcPr>
            <w:tcW w:w="724" w:type="dxa"/>
            <w:vAlign w:val="center"/>
          </w:tcPr>
          <w:p w14:paraId="284BA8C7">
            <w:pPr>
              <w:widowControl w:val="0"/>
              <w:kinsoku/>
              <w:spacing w:line="360" w:lineRule="exact"/>
              <w:jc w:val="both"/>
              <w:rPr>
                <w:rFonts w:ascii="华文仿宋" w:hAnsi="华文仿宋" w:eastAsia="华文仿宋"/>
              </w:rPr>
            </w:pPr>
            <w:r>
              <w:rPr>
                <w:rFonts w:hint="eastAsia" w:ascii="华文仿宋" w:hAnsi="华文仿宋" w:eastAsia="华文仿宋"/>
              </w:rPr>
              <w:t>/</w:t>
            </w:r>
          </w:p>
        </w:tc>
        <w:tc>
          <w:tcPr>
            <w:tcW w:w="1134" w:type="dxa"/>
            <w:vAlign w:val="center"/>
          </w:tcPr>
          <w:p w14:paraId="46059D91">
            <w:pPr>
              <w:widowControl w:val="0"/>
              <w:kinsoku/>
              <w:spacing w:line="360" w:lineRule="exact"/>
              <w:jc w:val="both"/>
              <w:rPr>
                <w:rFonts w:ascii="华文仿宋" w:hAnsi="华文仿宋" w:eastAsia="华文仿宋"/>
              </w:rPr>
            </w:pPr>
            <w:r>
              <w:rPr>
                <w:rFonts w:hint="eastAsia" w:ascii="华文仿宋" w:hAnsi="华文仿宋" w:eastAsia="华文仿宋"/>
              </w:rPr>
              <w:t>/</w:t>
            </w:r>
          </w:p>
        </w:tc>
        <w:tc>
          <w:tcPr>
            <w:tcW w:w="1134" w:type="dxa"/>
            <w:vAlign w:val="center"/>
          </w:tcPr>
          <w:p w14:paraId="507BFEAD">
            <w:pPr>
              <w:widowControl w:val="0"/>
              <w:kinsoku/>
              <w:spacing w:line="360" w:lineRule="exact"/>
              <w:jc w:val="both"/>
              <w:rPr>
                <w:rFonts w:ascii="华文仿宋" w:hAnsi="华文仿宋" w:eastAsia="华文仿宋"/>
              </w:rPr>
            </w:pPr>
            <w:r>
              <w:rPr>
                <w:rFonts w:hint="eastAsia" w:ascii="华文仿宋" w:hAnsi="华文仿宋" w:eastAsia="华文仿宋"/>
              </w:rPr>
              <w:t>/</w:t>
            </w:r>
          </w:p>
        </w:tc>
        <w:tc>
          <w:tcPr>
            <w:tcW w:w="1276" w:type="dxa"/>
            <w:vAlign w:val="center"/>
          </w:tcPr>
          <w:p w14:paraId="590FBC0F">
            <w:pPr>
              <w:widowControl w:val="0"/>
              <w:kinsoku/>
              <w:spacing w:line="360" w:lineRule="exact"/>
              <w:jc w:val="both"/>
              <w:rPr>
                <w:rFonts w:ascii="华文仿宋" w:hAnsi="华文仿宋" w:eastAsia="华文仿宋"/>
              </w:rPr>
            </w:pPr>
          </w:p>
        </w:tc>
      </w:tr>
      <w:tr w14:paraId="0F114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9923" w:type="dxa"/>
            <w:gridSpan w:val="8"/>
          </w:tcPr>
          <w:p w14:paraId="23C2EA5C">
            <w:pPr>
              <w:widowControl w:val="0"/>
              <w:kinsoku/>
              <w:spacing w:line="360" w:lineRule="exact"/>
              <w:jc w:val="both"/>
              <w:rPr>
                <w:rFonts w:ascii="华文仿宋" w:hAnsi="华文仿宋" w:eastAsia="华文仿宋"/>
                <w:b/>
                <w:bCs/>
              </w:rPr>
            </w:pPr>
            <w:r>
              <w:rPr>
                <w:rFonts w:hint="eastAsia" w:ascii="华文仿宋" w:hAnsi="华文仿宋" w:eastAsia="华文仿宋"/>
                <w:b/>
                <w:bCs/>
              </w:rPr>
              <w:t>合计</w:t>
            </w:r>
          </w:p>
          <w:p w14:paraId="5D43DD8C">
            <w:pPr>
              <w:widowControl w:val="0"/>
              <w:kinsoku/>
              <w:spacing w:line="360" w:lineRule="exact"/>
              <w:jc w:val="both"/>
              <w:rPr>
                <w:rFonts w:ascii="华文仿宋" w:hAnsi="华文仿宋" w:eastAsia="华文仿宋"/>
                <w:b/>
                <w:bCs/>
              </w:rPr>
            </w:pPr>
            <w:r>
              <w:rPr>
                <w:rFonts w:ascii="华文仿宋" w:hAnsi="华文仿宋" w:eastAsia="华文仿宋"/>
                <w:b/>
                <w:bCs/>
              </w:rPr>
              <w:t>小写</w:t>
            </w:r>
            <w:r>
              <w:rPr>
                <w:rFonts w:hint="eastAsia" w:ascii="华文仿宋" w:hAnsi="华文仿宋" w:eastAsia="华文仿宋"/>
                <w:b/>
                <w:bCs/>
              </w:rPr>
              <w:t>：￥</w:t>
            </w:r>
            <w:r>
              <w:rPr>
                <w:rFonts w:hint="eastAsia" w:ascii="华文仿宋" w:hAnsi="华文仿宋" w:eastAsia="华文仿宋"/>
              </w:rPr>
              <w:t xml:space="preserve">  </w:t>
            </w:r>
            <w:r>
              <w:rPr>
                <w:rFonts w:ascii="华文仿宋" w:hAnsi="华文仿宋" w:eastAsia="华文仿宋"/>
              </w:rPr>
              <w:t xml:space="preserve">           </w:t>
            </w:r>
            <w:r>
              <w:rPr>
                <w:rFonts w:ascii="华文仿宋" w:hAnsi="华文仿宋" w:eastAsia="华文仿宋"/>
                <w:b/>
                <w:bCs/>
              </w:rPr>
              <w:t>大写</w:t>
            </w:r>
            <w:r>
              <w:rPr>
                <w:rFonts w:hint="eastAsia" w:ascii="华文仿宋" w:hAnsi="华文仿宋" w:eastAsia="华文仿宋"/>
                <w:b/>
                <w:bCs/>
              </w:rPr>
              <w:t>：      元整</w:t>
            </w:r>
            <w:r>
              <w:rPr>
                <w:rFonts w:ascii="华文仿宋" w:hAnsi="华文仿宋" w:eastAsia="华文仿宋"/>
                <w:b/>
                <w:bCs/>
              </w:rPr>
              <w:t xml:space="preserve"> </w:t>
            </w:r>
          </w:p>
        </w:tc>
      </w:tr>
    </w:tbl>
    <w:p w14:paraId="689F8270">
      <w:pPr>
        <w:widowControl w:val="0"/>
        <w:kinsoku/>
        <w:spacing w:line="360" w:lineRule="auto"/>
        <w:jc w:val="both"/>
        <w:rPr>
          <w:rFonts w:ascii="华文仿宋" w:hAnsi="华文仿宋" w:eastAsia="华文仿宋"/>
        </w:rPr>
      </w:pPr>
      <w:r>
        <w:rPr>
          <w:rFonts w:hint="eastAsia" w:ascii="华文仿宋" w:hAnsi="华文仿宋" w:eastAsia="华文仿宋"/>
        </w:rPr>
        <w:t>注：（1）数据库订购期满是否续订，以甲方再次采购招标签订服务合同为准，甲方不以口头或书面形式承诺续订，如乙方继续保持开通，则视为免费提供给甲方使用。</w:t>
      </w:r>
    </w:p>
    <w:p w14:paraId="03E9F38B">
      <w:pPr>
        <w:widowControl w:val="0"/>
        <w:kinsoku/>
        <w:spacing w:line="360" w:lineRule="auto"/>
        <w:ind w:firstLine="210" w:firstLineChars="100"/>
        <w:jc w:val="both"/>
        <w:rPr>
          <w:rFonts w:ascii="华文仿宋" w:hAnsi="华文仿宋" w:eastAsia="华文仿宋"/>
        </w:rPr>
      </w:pPr>
      <w:r>
        <w:rPr>
          <w:rFonts w:hint="eastAsia" w:ascii="华文仿宋" w:hAnsi="华文仿宋" w:eastAsia="华文仿宋"/>
        </w:rPr>
        <w:t>（2）人民币价格以外币报价按单一来源协商时中国银行即时汇率加上手续费和招标服务费折算。</w:t>
      </w:r>
    </w:p>
    <w:p w14:paraId="22A8D3F8">
      <w:pPr>
        <w:pStyle w:val="10"/>
        <w:jc w:val="both"/>
        <w:rPr>
          <w:rFonts w:ascii="华文仿宋" w:hAnsi="华文仿宋" w:eastAsia="华文仿宋"/>
        </w:rPr>
      </w:pPr>
    </w:p>
    <w:p w14:paraId="38F805C5">
      <w:pPr>
        <w:widowControl w:val="0"/>
        <w:kinsoku/>
        <w:spacing w:line="360" w:lineRule="auto"/>
        <w:jc w:val="both"/>
        <w:rPr>
          <w:rFonts w:ascii="华文仿宋" w:hAnsi="华文仿宋" w:eastAsia="华文仿宋" w:cs="仿宋"/>
          <w:b/>
          <w:bCs/>
          <w:sz w:val="24"/>
          <w:lang w:bidi="ar"/>
        </w:rPr>
      </w:pPr>
      <w:r>
        <w:rPr>
          <w:rFonts w:hint="eastAsia" w:ascii="华文仿宋" w:hAnsi="华文仿宋" w:eastAsia="华文仿宋" w:cs="仿宋"/>
          <w:b/>
          <w:bCs/>
          <w:sz w:val="24"/>
          <w:lang w:bidi="ar"/>
        </w:rPr>
        <w:t>1.数据库资源及相关服务：</w:t>
      </w:r>
    </w:p>
    <w:p w14:paraId="4CCDE942">
      <w:pPr>
        <w:widowControl w:val="0"/>
        <w:kinsoku/>
        <w:spacing w:line="360" w:lineRule="auto"/>
        <w:jc w:val="both"/>
        <w:rPr>
          <w:rFonts w:ascii="华文仿宋" w:hAnsi="华文仿宋" w:eastAsia="华文仿宋" w:cs="仿宋"/>
          <w:sz w:val="24"/>
          <w:lang w:bidi="ar"/>
        </w:rPr>
      </w:pPr>
      <w:r>
        <w:rPr>
          <w:rFonts w:hint="eastAsia" w:ascii="华文仿宋" w:hAnsi="华文仿宋" w:eastAsia="华文仿宋" w:cs="仿宋"/>
          <w:sz w:val="24"/>
          <w:lang w:bidi="ar"/>
        </w:rPr>
        <w:t xml:space="preserve">（1）资源简介： </w:t>
      </w:r>
    </w:p>
    <w:p w14:paraId="40BF5CFA">
      <w:pPr>
        <w:ind w:firstLine="480" w:firstLineChars="200"/>
        <w:rPr>
          <w:rFonts w:ascii="华文仿宋" w:hAnsi="华文仿宋" w:eastAsia="华文仿宋" w:cs="仿宋"/>
          <w:sz w:val="24"/>
          <w:lang w:bidi="ar"/>
        </w:rPr>
      </w:pPr>
      <w:r>
        <w:rPr>
          <w:rFonts w:ascii="华文仿宋" w:hAnsi="华文仿宋" w:eastAsia="华文仿宋" w:cs="仿宋"/>
          <w:sz w:val="24"/>
          <w:lang w:bidi="ar"/>
        </w:rPr>
        <w:t>Elsevier ScienceDirect（简称SD）数据库，提供优质学术研究文章。全球研究人员、教师、学生、医疗和信息工作者均可利用SD数据库来增进其检索、发现、阅读、理解和分享学术研究的方法。</w:t>
      </w:r>
      <w:r>
        <w:rPr>
          <w:rFonts w:hint="eastAsia" w:ascii="华文仿宋" w:hAnsi="华文仿宋" w:eastAsia="华文仿宋" w:cs="仿宋"/>
          <w:sz w:val="24"/>
          <w:lang w:bidi="ar"/>
        </w:rPr>
        <w:t>爱思唯尔秉承严格的出版标准，遵循国际同行评议制度，为全球研究人员提供</w:t>
      </w:r>
      <w:r>
        <w:rPr>
          <w:rFonts w:ascii="华文仿宋" w:hAnsi="华文仿宋" w:eastAsia="华文仿宋" w:cs="仿宋"/>
          <w:sz w:val="24"/>
          <w:lang w:bidi="ar"/>
        </w:rPr>
        <w:t>2000</w:t>
      </w:r>
      <w:r>
        <w:rPr>
          <w:rFonts w:hint="eastAsia" w:ascii="华文仿宋" w:hAnsi="华文仿宋" w:eastAsia="华文仿宋" w:cs="仿宋"/>
          <w:sz w:val="24"/>
          <w:lang w:bidi="ar"/>
        </w:rPr>
        <w:t>余种同行评审期刊，含数十个研究领域的顶级期刊，其中涵盖</w:t>
      </w:r>
      <w:r>
        <w:rPr>
          <w:rFonts w:ascii="华文仿宋" w:hAnsi="华文仿宋" w:eastAsia="华文仿宋" w:cs="仿宋"/>
          <w:sz w:val="24"/>
          <w:lang w:bidi="ar"/>
        </w:rPr>
        <w:t>200</w:t>
      </w:r>
      <w:r>
        <w:rPr>
          <w:rFonts w:hint="eastAsia" w:ascii="华文仿宋" w:hAnsi="华文仿宋" w:eastAsia="华文仿宋" w:cs="仿宋"/>
          <w:sz w:val="24"/>
          <w:lang w:bidi="ar"/>
        </w:rPr>
        <w:t>余位诺贝尔奖获得者的研究成果。除此之外，在</w:t>
      </w:r>
      <w:r>
        <w:rPr>
          <w:rFonts w:ascii="华文仿宋" w:hAnsi="华文仿宋" w:eastAsia="华文仿宋" w:cs="仿宋"/>
          <w:sz w:val="24"/>
          <w:lang w:bidi="ar"/>
        </w:rPr>
        <w:t>SD</w:t>
      </w:r>
      <w:r>
        <w:rPr>
          <w:rFonts w:hint="eastAsia" w:ascii="华文仿宋" w:hAnsi="华文仿宋" w:eastAsia="华文仿宋" w:cs="仿宋"/>
          <w:sz w:val="24"/>
          <w:lang w:bidi="ar"/>
        </w:rPr>
        <w:t>平台提供8</w:t>
      </w:r>
      <w:r>
        <w:rPr>
          <w:rFonts w:ascii="华文仿宋" w:hAnsi="华文仿宋" w:eastAsia="华文仿宋" w:cs="仿宋"/>
          <w:sz w:val="24"/>
          <w:lang w:bidi="ar"/>
        </w:rPr>
        <w:t>00</w:t>
      </w:r>
      <w:r>
        <w:rPr>
          <w:rFonts w:hint="eastAsia" w:ascii="华文仿宋" w:hAnsi="华文仿宋" w:eastAsia="华文仿宋" w:cs="仿宋"/>
          <w:sz w:val="24"/>
          <w:lang w:bidi="ar"/>
        </w:rPr>
        <w:t>余种金色</w:t>
      </w:r>
      <w:r>
        <w:rPr>
          <w:rFonts w:ascii="华文仿宋" w:hAnsi="华文仿宋" w:eastAsia="华文仿宋" w:cs="仿宋"/>
          <w:sz w:val="24"/>
          <w:lang w:bidi="ar"/>
        </w:rPr>
        <w:t>OA</w:t>
      </w:r>
      <w:r>
        <w:rPr>
          <w:rFonts w:hint="eastAsia" w:ascii="华文仿宋" w:hAnsi="华文仿宋" w:eastAsia="华文仿宋" w:cs="仿宋"/>
          <w:sz w:val="24"/>
          <w:lang w:bidi="ar"/>
        </w:rPr>
        <w:t>期刊，供全球科研人员免费阅读</w:t>
      </w:r>
      <w:r>
        <w:rPr>
          <w:rFonts w:ascii="华文仿宋" w:hAnsi="华文仿宋" w:eastAsia="华文仿宋" w:cs="仿宋"/>
          <w:sz w:val="24"/>
          <w:lang w:bidi="ar"/>
        </w:rPr>
        <w:t>。</w:t>
      </w:r>
    </w:p>
    <w:p w14:paraId="76F7BDE6">
      <w:pPr>
        <w:pStyle w:val="21"/>
        <w:widowControl w:val="0"/>
        <w:kinsoku/>
        <w:adjustRightInd w:val="0"/>
        <w:snapToGrid w:val="0"/>
        <w:spacing w:before="120"/>
        <w:ind w:firstLine="480"/>
        <w:jc w:val="both"/>
        <w:rPr>
          <w:rFonts w:hint="eastAsia" w:ascii="华文仿宋" w:hAnsi="华文仿宋" w:eastAsia="华文仿宋" w:cs="仿宋"/>
          <w:snapToGrid w:val="0"/>
          <w:color w:val="000000"/>
          <w:kern w:val="0"/>
          <w:sz w:val="24"/>
          <w:szCs w:val="21"/>
          <w:lang w:bidi="ar"/>
        </w:rPr>
      </w:pPr>
      <w:r>
        <w:rPr>
          <w:rFonts w:hint="eastAsia" w:ascii="华文仿宋" w:hAnsi="华文仿宋" w:eastAsia="华文仿宋" w:cs="仿宋"/>
          <w:snapToGrid w:val="0"/>
          <w:color w:val="000000"/>
          <w:kern w:val="0"/>
          <w:sz w:val="24"/>
          <w:szCs w:val="21"/>
          <w:lang w:bidi="ar"/>
        </w:rPr>
        <w:t>SD数据库包括如下23个学科包：化学工程、化学、计算机科学、地球与行星学、工程、能源、材料科学、数学、物理学与天文学、农业与生物学、生物化学/遗传学和分子生物学、环境科学、免疫学和微生物学、神经科学、医学、护理与健康、药理学/毒理学和药物学、兽医科学与兽医学、商业/管理和财会、决策科学、经济学/计量经济学和金融、心理学、社会科学。</w:t>
      </w:r>
    </w:p>
    <w:p w14:paraId="18BEB9A3">
      <w:pPr>
        <w:widowControl w:val="0"/>
        <w:kinsoku/>
        <w:spacing w:line="360" w:lineRule="auto"/>
        <w:jc w:val="both"/>
        <w:rPr>
          <w:rFonts w:ascii="华文仿宋" w:hAnsi="华文仿宋" w:eastAsia="华文仿宋" w:cs="仿宋"/>
          <w:sz w:val="24"/>
          <w:lang w:bidi="ar"/>
        </w:rPr>
      </w:pPr>
      <w:r>
        <w:rPr>
          <w:rFonts w:hint="eastAsia" w:ascii="华文仿宋" w:hAnsi="华文仿宋" w:eastAsia="华文仿宋" w:cs="仿宋"/>
          <w:sz w:val="24"/>
          <w:lang w:bidi="ar"/>
        </w:rPr>
        <w:t xml:space="preserve">（2）访问权限： </w:t>
      </w:r>
    </w:p>
    <w:p w14:paraId="1AB68F5E">
      <w:pPr>
        <w:pStyle w:val="21"/>
        <w:widowControl w:val="0"/>
        <w:kinsoku/>
        <w:adjustRightInd w:val="0"/>
        <w:snapToGrid w:val="0"/>
        <w:spacing w:before="120"/>
        <w:ind w:firstLine="480"/>
        <w:jc w:val="both"/>
        <w:rPr>
          <w:rFonts w:ascii="华文仿宋" w:hAnsi="华文仿宋" w:eastAsia="华文仿宋" w:cs="仿宋"/>
          <w:snapToGrid w:val="0"/>
          <w:color w:val="000000"/>
          <w:kern w:val="0"/>
          <w:sz w:val="24"/>
          <w:szCs w:val="21"/>
          <w:lang w:bidi="ar"/>
        </w:rPr>
      </w:pPr>
      <w:r>
        <w:rPr>
          <w:rFonts w:ascii="华文仿宋" w:hAnsi="华文仿宋" w:eastAsia="华文仿宋" w:cs="仿宋"/>
          <w:snapToGrid w:val="0"/>
          <w:color w:val="000000"/>
          <w:kern w:val="0"/>
          <w:sz w:val="24"/>
          <w:szCs w:val="21"/>
          <w:lang w:bidi="ar"/>
        </w:rPr>
        <w:t>1)</w:t>
      </w:r>
      <w:r>
        <w:rPr>
          <w:rFonts w:ascii="华文仿宋" w:hAnsi="华文仿宋" w:eastAsia="华文仿宋" w:cs="仿宋"/>
          <w:snapToGrid w:val="0"/>
          <w:color w:val="000000"/>
          <w:kern w:val="0"/>
          <w:sz w:val="24"/>
          <w:szCs w:val="21"/>
          <w:lang w:bidi="ar"/>
        </w:rPr>
        <w:tab/>
      </w:r>
      <w:r>
        <w:rPr>
          <w:rFonts w:ascii="华文仿宋" w:hAnsi="华文仿宋" w:eastAsia="华文仿宋" w:cs="仿宋"/>
          <w:snapToGrid w:val="0"/>
          <w:color w:val="000000"/>
          <w:kern w:val="0"/>
          <w:sz w:val="24"/>
          <w:szCs w:val="21"/>
          <w:lang w:bidi="ar"/>
        </w:rPr>
        <w:t>ScienceDirect</w:t>
      </w:r>
      <w:r>
        <w:rPr>
          <w:rFonts w:hint="eastAsia" w:ascii="华文仿宋" w:hAnsi="华文仿宋" w:eastAsia="华文仿宋" w:cs="仿宋"/>
          <w:snapToGrid w:val="0"/>
          <w:color w:val="000000"/>
          <w:kern w:val="0"/>
          <w:sz w:val="24"/>
          <w:szCs w:val="21"/>
          <w:lang w:bidi="ar"/>
        </w:rPr>
        <w:t>数据库作为自然年付费订阅的数据库内容，对于成员馆选订年度的永久存档权限期刊，提供永久使用权限。对于非永久存档的期刊，停订后不能使用全文。</w:t>
      </w:r>
    </w:p>
    <w:p w14:paraId="1B0DD538">
      <w:pPr>
        <w:pStyle w:val="21"/>
        <w:widowControl w:val="0"/>
        <w:kinsoku/>
        <w:adjustRightInd w:val="0"/>
        <w:snapToGrid w:val="0"/>
        <w:spacing w:before="120"/>
        <w:ind w:firstLine="480"/>
        <w:jc w:val="both"/>
        <w:rPr>
          <w:rFonts w:ascii="华文仿宋" w:hAnsi="华文仿宋" w:eastAsia="华文仿宋" w:cs="仿宋"/>
          <w:snapToGrid w:val="0"/>
          <w:color w:val="000000"/>
          <w:kern w:val="0"/>
          <w:sz w:val="24"/>
          <w:szCs w:val="21"/>
          <w:lang w:bidi="ar"/>
        </w:rPr>
      </w:pPr>
      <w:r>
        <w:rPr>
          <w:rFonts w:ascii="华文仿宋" w:hAnsi="华文仿宋" w:eastAsia="华文仿宋" w:cs="仿宋"/>
          <w:snapToGrid w:val="0"/>
          <w:color w:val="000000"/>
          <w:kern w:val="0"/>
          <w:sz w:val="24"/>
          <w:szCs w:val="21"/>
          <w:lang w:bidi="ar"/>
        </w:rPr>
        <w:t>2)</w:t>
      </w:r>
      <w:r>
        <w:rPr>
          <w:rFonts w:ascii="华文仿宋" w:hAnsi="华文仿宋" w:eastAsia="华文仿宋" w:cs="仿宋"/>
          <w:snapToGrid w:val="0"/>
          <w:color w:val="000000"/>
          <w:kern w:val="0"/>
          <w:sz w:val="24"/>
          <w:szCs w:val="21"/>
          <w:lang w:bidi="ar"/>
        </w:rPr>
        <w:tab/>
      </w:r>
      <w:r>
        <w:rPr>
          <w:rFonts w:hint="eastAsia" w:ascii="华文仿宋" w:hAnsi="华文仿宋" w:eastAsia="华文仿宋" w:cs="仿宋"/>
          <w:snapToGrid w:val="0"/>
          <w:color w:val="000000"/>
          <w:kern w:val="0"/>
          <w:sz w:val="24"/>
          <w:szCs w:val="21"/>
          <w:lang w:bidi="ar"/>
        </w:rPr>
        <w:t>成员馆停止订购</w:t>
      </w:r>
      <w:r>
        <w:rPr>
          <w:rFonts w:ascii="华文仿宋" w:hAnsi="华文仿宋" w:eastAsia="华文仿宋" w:cs="仿宋"/>
          <w:snapToGrid w:val="0"/>
          <w:color w:val="000000"/>
          <w:kern w:val="0"/>
          <w:sz w:val="24"/>
          <w:szCs w:val="21"/>
          <w:lang w:bidi="ar"/>
        </w:rPr>
        <w:t>ScienceDirect</w:t>
      </w:r>
      <w:r>
        <w:rPr>
          <w:rFonts w:hint="eastAsia" w:ascii="华文仿宋" w:hAnsi="华文仿宋" w:eastAsia="华文仿宋" w:cs="仿宋"/>
          <w:snapToGrid w:val="0"/>
          <w:color w:val="000000"/>
          <w:kern w:val="0"/>
          <w:sz w:val="24"/>
          <w:szCs w:val="21"/>
          <w:lang w:bidi="ar"/>
        </w:rPr>
        <w:t>数据库后，对拥有永久使用权的期刊，可以通过</w:t>
      </w:r>
      <w:r>
        <w:rPr>
          <w:rFonts w:ascii="华文仿宋" w:hAnsi="华文仿宋" w:eastAsia="华文仿宋" w:cs="仿宋"/>
          <w:snapToGrid w:val="0"/>
          <w:color w:val="000000"/>
          <w:kern w:val="0"/>
          <w:sz w:val="24"/>
          <w:szCs w:val="21"/>
          <w:lang w:bidi="ar"/>
        </w:rPr>
        <w:t>SD</w:t>
      </w:r>
      <w:r>
        <w:rPr>
          <w:rFonts w:hint="eastAsia" w:ascii="华文仿宋" w:hAnsi="华文仿宋" w:eastAsia="华文仿宋" w:cs="仿宋"/>
          <w:snapToGrid w:val="0"/>
          <w:color w:val="000000"/>
          <w:kern w:val="0"/>
          <w:sz w:val="24"/>
          <w:szCs w:val="21"/>
          <w:lang w:bidi="ar"/>
        </w:rPr>
        <w:t>平台访问。如成员馆依然是</w:t>
      </w:r>
      <w:r>
        <w:rPr>
          <w:rFonts w:ascii="华文仿宋" w:hAnsi="华文仿宋" w:eastAsia="华文仿宋" w:cs="仿宋"/>
          <w:snapToGrid w:val="0"/>
          <w:color w:val="000000"/>
          <w:kern w:val="0"/>
          <w:sz w:val="24"/>
          <w:szCs w:val="21"/>
          <w:lang w:bidi="ar"/>
        </w:rPr>
        <w:t>SD</w:t>
      </w:r>
      <w:r>
        <w:rPr>
          <w:rFonts w:hint="eastAsia" w:ascii="华文仿宋" w:hAnsi="华文仿宋" w:eastAsia="华文仿宋" w:cs="仿宋"/>
          <w:snapToGrid w:val="0"/>
          <w:color w:val="000000"/>
          <w:kern w:val="0"/>
          <w:sz w:val="24"/>
          <w:szCs w:val="21"/>
          <w:lang w:bidi="ar"/>
        </w:rPr>
        <w:t>平台其他产品的有效订阅者，则该订阅者可以继续在线访问之前已付款出版年份内的永久使用权限的全文内容，无须支付任何额外费用；否则，需要支付相应的访问费，具体定价按照爱思唯尔当年定价政策执行。</w:t>
      </w:r>
    </w:p>
    <w:p w14:paraId="084D2121">
      <w:pPr>
        <w:widowControl w:val="0"/>
        <w:kinsoku/>
        <w:spacing w:line="360" w:lineRule="auto"/>
        <w:jc w:val="both"/>
        <w:rPr>
          <w:rFonts w:ascii="华文仿宋" w:hAnsi="华文仿宋" w:eastAsia="华文仿宋" w:cs="仿宋"/>
          <w:sz w:val="24"/>
          <w:lang w:bidi="ar"/>
        </w:rPr>
      </w:pPr>
      <w:r>
        <w:rPr>
          <w:rFonts w:ascii="华文仿宋" w:hAnsi="华文仿宋" w:eastAsia="华文仿宋" w:cs="仿宋"/>
          <w:b/>
          <w:bCs/>
          <w:sz w:val="24"/>
          <w:lang w:bidi="ar"/>
        </w:rPr>
        <w:t>2</w:t>
      </w:r>
      <w:r>
        <w:rPr>
          <w:rFonts w:hint="eastAsia" w:ascii="华文仿宋" w:hAnsi="华文仿宋" w:eastAsia="华文仿宋" w:cs="仿宋"/>
          <w:b/>
          <w:bCs/>
          <w:sz w:val="24"/>
          <w:lang w:bidi="ar"/>
        </w:rPr>
        <w:t>.访问方式：</w:t>
      </w:r>
      <w:r>
        <w:rPr>
          <w:rFonts w:hint="eastAsia" w:ascii="华文仿宋" w:hAnsi="华文仿宋" w:eastAsia="华文仿宋" w:cs="仿宋"/>
          <w:sz w:val="24"/>
          <w:lang w:bidi="ar"/>
        </w:rPr>
        <w:t>在线访问，IP控制；校外通过VPN或CARSI访问。</w:t>
      </w:r>
    </w:p>
    <w:p w14:paraId="3B520E2B">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二、合同金额</w:t>
      </w:r>
    </w:p>
    <w:p w14:paraId="7FDD2DAD">
      <w:pPr>
        <w:widowControl w:val="0"/>
        <w:kinsoku/>
        <w:spacing w:after="156" w:afterLines="50" w:line="360" w:lineRule="auto"/>
        <w:ind w:right="210"/>
        <w:rPr>
          <w:rFonts w:ascii="华文仿宋" w:hAnsi="华文仿宋" w:eastAsia="华文仿宋" w:cs="宋体"/>
          <w:sz w:val="24"/>
        </w:rPr>
      </w:pPr>
      <w:r>
        <w:rPr>
          <w:rFonts w:ascii="华文仿宋" w:hAnsi="华文仿宋" w:eastAsia="华文仿宋" w:cs="宋体"/>
          <w:sz w:val="24"/>
        </w:rPr>
        <w:t>1.</w:t>
      </w:r>
      <w:r>
        <w:rPr>
          <w:rFonts w:hint="eastAsia" w:ascii="华文仿宋" w:hAnsi="华文仿宋" w:eastAsia="华文仿宋" w:cs="宋体"/>
          <w:sz w:val="24"/>
        </w:rPr>
        <w:t>经甲乙双方约定，本合同含税总金额为</w:t>
      </w:r>
      <w:r>
        <w:rPr>
          <w:rFonts w:ascii="华文仿宋" w:hAnsi="华文仿宋" w:eastAsia="华文仿宋" w:cs="Calibri"/>
          <w:sz w:val="24"/>
          <w:u w:val="single"/>
        </w:rPr>
        <w:t>¥</w:t>
      </w:r>
      <w:r>
        <w:rPr>
          <w:rFonts w:ascii="华文仿宋" w:hAnsi="华文仿宋" w:eastAsia="华文仿宋" w:cs="宋体"/>
          <w:sz w:val="24"/>
          <w:u w:val="single"/>
        </w:rPr>
        <w:t xml:space="preserve">          </w:t>
      </w:r>
      <w:r>
        <w:rPr>
          <w:rFonts w:hint="eastAsia" w:ascii="华文仿宋" w:hAnsi="华文仿宋" w:eastAsia="华文仿宋" w:cs="宋体"/>
          <w:sz w:val="24"/>
        </w:rPr>
        <w:t>元 （大写：</w:t>
      </w:r>
      <w:r>
        <w:rPr>
          <w:rFonts w:hint="eastAsia" w:ascii="华文仿宋" w:hAnsi="华文仿宋" w:eastAsia="华文仿宋" w:cs="宋体"/>
          <w:sz w:val="24"/>
          <w:u w:val="single"/>
        </w:rPr>
        <w:t xml:space="preserve">人民币 </w:t>
      </w:r>
      <w:r>
        <w:rPr>
          <w:rFonts w:ascii="华文仿宋" w:hAnsi="华文仿宋" w:eastAsia="华文仿宋" w:cs="宋体"/>
          <w:sz w:val="24"/>
          <w:u w:val="single"/>
        </w:rPr>
        <w:t xml:space="preserve">           </w:t>
      </w:r>
      <w:r>
        <w:rPr>
          <w:rFonts w:hint="eastAsia" w:ascii="华文仿宋" w:hAnsi="华文仿宋" w:eastAsia="华文仿宋" w:cs="宋体"/>
          <w:sz w:val="24"/>
        </w:rPr>
        <w:t>元整)。</w:t>
      </w:r>
    </w:p>
    <w:p w14:paraId="6304271B">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w:t>
      </w:r>
      <w:r>
        <w:rPr>
          <w:rFonts w:hint="eastAsia" w:ascii="华文仿宋" w:hAnsi="华文仿宋" w:eastAsia="华文仿宋" w:cs="宋体"/>
          <w:sz w:val="24"/>
        </w:rPr>
        <w:t>合同总额包含所有采购合同服务清单（同投标报价表及采购需求响应表）中所列相关服务（含调试、技术、培训等相关服务）及验收合格交付使用之前的一切费用（含手续费、招标服务费、税费等相关费用），甲方不再另行支付其他费用。</w:t>
      </w:r>
    </w:p>
    <w:p w14:paraId="3575B73C">
      <w:pPr>
        <w:widowControl w:val="0"/>
        <w:kinsoku/>
        <w:spacing w:after="156" w:afterLines="50" w:line="360" w:lineRule="auto"/>
        <w:ind w:right="210"/>
        <w:jc w:val="both"/>
        <w:rPr>
          <w:rFonts w:ascii="华文仿宋" w:hAnsi="华文仿宋" w:eastAsia="华文仿宋" w:cs="宋体"/>
          <w:b/>
          <w:sz w:val="28"/>
          <w:szCs w:val="28"/>
        </w:rPr>
      </w:pPr>
      <w:r>
        <w:rPr>
          <w:rFonts w:hint="eastAsia" w:ascii="华文仿宋" w:hAnsi="华文仿宋" w:eastAsia="华文仿宋" w:cs="宋体"/>
          <w:b/>
          <w:sz w:val="28"/>
          <w:szCs w:val="28"/>
        </w:rPr>
        <w:t>三、产品交付与验收</w:t>
      </w:r>
    </w:p>
    <w:p w14:paraId="0B860B1C">
      <w:pPr>
        <w:widowControl w:val="0"/>
        <w:kinsoku/>
        <w:spacing w:after="156" w:afterLines="50" w:line="360" w:lineRule="auto"/>
        <w:ind w:right="210"/>
        <w:jc w:val="both"/>
        <w:rPr>
          <w:rFonts w:ascii="华文仿宋" w:hAnsi="华文仿宋" w:eastAsia="华文仿宋" w:cs="宋体"/>
          <w:b/>
          <w:bCs/>
          <w:sz w:val="24"/>
        </w:rPr>
      </w:pPr>
      <w:r>
        <w:rPr>
          <w:rFonts w:ascii="华文仿宋" w:hAnsi="华文仿宋" w:eastAsia="华文仿宋" w:cs="宋体"/>
          <w:b/>
          <w:bCs/>
          <w:sz w:val="24"/>
        </w:rPr>
        <w:t>1.</w:t>
      </w:r>
      <w:r>
        <w:rPr>
          <w:rFonts w:hint="eastAsia" w:ascii="华文仿宋" w:hAnsi="华文仿宋" w:eastAsia="华文仿宋" w:cs="宋体"/>
          <w:b/>
          <w:bCs/>
          <w:sz w:val="24"/>
        </w:rPr>
        <w:t>产品交付：</w:t>
      </w:r>
    </w:p>
    <w:p w14:paraId="51185502">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（1）交付时间：</w:t>
      </w:r>
      <w:r>
        <w:rPr>
          <w:rFonts w:ascii="华文仿宋" w:hAnsi="华文仿宋" w:eastAsia="华文仿宋" w:cs="宋体"/>
          <w:color w:val="auto"/>
          <w:sz w:val="24"/>
          <w:szCs w:val="24"/>
        </w:rPr>
        <w:t>乙方在合同约定的使用期限开始之日或在合同约定的使用期限开始之日前，向甲方交付所订购</w:t>
      </w:r>
      <w:r>
        <w:rPr>
          <w:rFonts w:hint="eastAsia" w:ascii="华文仿宋" w:hAnsi="华文仿宋" w:eastAsia="华文仿宋" w:cs="宋体"/>
          <w:color w:val="auto"/>
          <w:sz w:val="24"/>
          <w:szCs w:val="24"/>
        </w:rPr>
        <w:t>的数据库</w:t>
      </w:r>
      <w:r>
        <w:rPr>
          <w:rFonts w:ascii="华文仿宋" w:hAnsi="华文仿宋" w:eastAsia="华文仿宋" w:cs="宋体"/>
          <w:color w:val="auto"/>
          <w:sz w:val="24"/>
          <w:szCs w:val="24"/>
        </w:rPr>
        <w:t>产品。</w:t>
      </w:r>
    </w:p>
    <w:p w14:paraId="132D53DA">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（2）交付地点：甲方指定地点。</w:t>
      </w:r>
    </w:p>
    <w:p w14:paraId="3CCB2158">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（3）</w:t>
      </w:r>
      <w:r>
        <w:rPr>
          <w:rFonts w:ascii="华文仿宋" w:hAnsi="华文仿宋" w:eastAsia="华文仿宋" w:cs="宋体"/>
          <w:sz w:val="24"/>
        </w:rPr>
        <w:t>交付方式：甲方向乙方提供IP地址，乙方按照甲方提供的IP地址</w:t>
      </w:r>
      <w:r>
        <w:rPr>
          <w:rFonts w:hint="eastAsia" w:ascii="华文仿宋" w:hAnsi="华文仿宋" w:eastAsia="华文仿宋" w:cs="宋体"/>
          <w:sz w:val="24"/>
        </w:rPr>
        <w:t>（或账号）</w:t>
      </w:r>
      <w:r>
        <w:rPr>
          <w:rFonts w:ascii="华文仿宋" w:hAnsi="华文仿宋" w:eastAsia="华文仿宋" w:cs="宋体"/>
          <w:sz w:val="24"/>
        </w:rPr>
        <w:t>开通</w:t>
      </w:r>
      <w:r>
        <w:rPr>
          <w:rFonts w:hint="eastAsia" w:ascii="华文仿宋" w:hAnsi="华文仿宋" w:eastAsia="华文仿宋" w:cs="宋体"/>
          <w:sz w:val="24"/>
        </w:rPr>
        <w:t>线上</w:t>
      </w:r>
      <w:r>
        <w:rPr>
          <w:rFonts w:ascii="华文仿宋" w:hAnsi="华文仿宋" w:eastAsia="华文仿宋" w:cs="宋体"/>
          <w:sz w:val="24"/>
        </w:rPr>
        <w:t>服务</w:t>
      </w:r>
      <w:r>
        <w:rPr>
          <w:rFonts w:hint="eastAsia" w:ascii="华文仿宋" w:hAnsi="华文仿宋" w:eastAsia="华文仿宋" w:cs="宋体"/>
          <w:sz w:val="24"/>
        </w:rPr>
        <w:t>，并保证</w:t>
      </w:r>
      <w:r>
        <w:rPr>
          <w:rFonts w:hint="eastAsia" w:ascii="华文仿宋" w:hAnsi="华文仿宋" w:eastAsia="华文仿宋" w:cs="仿宋"/>
          <w:sz w:val="24"/>
          <w:lang w:bidi="ar"/>
        </w:rPr>
        <w:t>校外VPN或CARSI正常访问。</w:t>
      </w:r>
    </w:p>
    <w:p w14:paraId="13D011AA">
      <w:pPr>
        <w:widowControl w:val="0"/>
        <w:kinsoku/>
        <w:spacing w:after="156" w:afterLines="50" w:line="360" w:lineRule="auto"/>
        <w:ind w:right="210"/>
        <w:jc w:val="both"/>
        <w:rPr>
          <w:rFonts w:ascii="华文仿宋" w:hAnsi="华文仿宋" w:eastAsia="华文仿宋" w:cs="宋体"/>
          <w:b/>
          <w:bCs/>
          <w:sz w:val="24"/>
        </w:rPr>
      </w:pPr>
      <w:r>
        <w:rPr>
          <w:rFonts w:hint="eastAsia" w:ascii="华文仿宋" w:hAnsi="华文仿宋" w:eastAsia="华文仿宋" w:cs="宋体"/>
          <w:b/>
          <w:bCs/>
          <w:sz w:val="24"/>
        </w:rPr>
        <w:t>2</w:t>
      </w:r>
      <w:r>
        <w:rPr>
          <w:rFonts w:ascii="华文仿宋" w:hAnsi="华文仿宋" w:eastAsia="华文仿宋" w:cs="宋体"/>
          <w:b/>
          <w:bCs/>
          <w:sz w:val="24"/>
        </w:rPr>
        <w:t>.</w:t>
      </w:r>
      <w:r>
        <w:rPr>
          <w:rFonts w:hint="eastAsia" w:ascii="华文仿宋" w:hAnsi="华文仿宋" w:eastAsia="华文仿宋" w:cs="宋体"/>
          <w:b/>
          <w:bCs/>
          <w:sz w:val="24"/>
        </w:rPr>
        <w:t>质量及知识产权要求：</w:t>
      </w:r>
    </w:p>
    <w:p w14:paraId="5DE04D9D">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（1）乙方保证甲方订购的数据库产品符合国家相关法律法规规定，不存在任何侵犯他人权利或者违法内容。</w:t>
      </w:r>
    </w:p>
    <w:p w14:paraId="7F7D51F9">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（2）乙方保证甲方订购的数据库产品符合国家有关知识产权的规定，</w:t>
      </w:r>
      <w:r>
        <w:rPr>
          <w:rFonts w:ascii="华文仿宋" w:hAnsi="华文仿宋" w:eastAsia="华文仿宋" w:cs="宋体"/>
          <w:sz w:val="24"/>
        </w:rPr>
        <w:t>保证甲方在</w:t>
      </w:r>
      <w:r>
        <w:rPr>
          <w:rFonts w:hint="eastAsia" w:ascii="华文仿宋" w:hAnsi="华文仿宋" w:eastAsia="华文仿宋" w:cs="宋体"/>
          <w:sz w:val="24"/>
        </w:rPr>
        <w:t>合理使用订购产品</w:t>
      </w:r>
      <w:r>
        <w:rPr>
          <w:rFonts w:ascii="华文仿宋" w:hAnsi="华文仿宋" w:eastAsia="华文仿宋" w:cs="宋体"/>
          <w:sz w:val="24"/>
        </w:rPr>
        <w:t>或其任何一部分时免受第三方提出侵犯其专利、商标、版权</w:t>
      </w:r>
      <w:r>
        <w:rPr>
          <w:rFonts w:hint="eastAsia" w:ascii="华文仿宋" w:hAnsi="华文仿宋" w:eastAsia="华文仿宋" w:cs="宋体"/>
          <w:sz w:val="24"/>
        </w:rPr>
        <w:t>、商业秘密</w:t>
      </w:r>
      <w:r>
        <w:rPr>
          <w:rFonts w:ascii="华文仿宋" w:hAnsi="华文仿宋" w:eastAsia="华文仿宋" w:cs="宋体"/>
          <w:sz w:val="24"/>
        </w:rPr>
        <w:t>等知识产权或商品名称及其他权利的起诉及索赔。</w:t>
      </w:r>
      <w:r>
        <w:rPr>
          <w:rFonts w:hint="eastAsia" w:ascii="华文仿宋" w:hAnsi="华文仿宋" w:eastAsia="华文仿宋" w:cs="宋体"/>
          <w:sz w:val="24"/>
        </w:rPr>
        <w:t>若乙方向甲方提供的产品存在所有权或者知识产权纠纷，由乙方负责解决，甲方不承担任何责任。</w:t>
      </w:r>
    </w:p>
    <w:p w14:paraId="30C14396">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（3）乙方保证甲方在合同约定的使用期限和范围内正常使用数据库，并提供完善的售后服务。</w:t>
      </w:r>
    </w:p>
    <w:p w14:paraId="622AC4FA">
      <w:pPr>
        <w:widowControl w:val="0"/>
        <w:kinsoku/>
        <w:spacing w:after="156" w:afterLines="50" w:line="360" w:lineRule="auto"/>
        <w:ind w:right="210"/>
        <w:jc w:val="both"/>
        <w:rPr>
          <w:rFonts w:ascii="华文仿宋" w:hAnsi="华文仿宋" w:eastAsia="华文仿宋" w:cs="宋体"/>
          <w:b/>
          <w:bCs/>
          <w:sz w:val="24"/>
        </w:rPr>
      </w:pPr>
      <w:r>
        <w:rPr>
          <w:rFonts w:ascii="华文仿宋" w:hAnsi="华文仿宋" w:eastAsia="华文仿宋" w:cs="宋体"/>
          <w:b/>
          <w:bCs/>
          <w:sz w:val="24"/>
        </w:rPr>
        <w:t>3.</w:t>
      </w:r>
      <w:r>
        <w:rPr>
          <w:rFonts w:hint="eastAsia" w:ascii="华文仿宋" w:hAnsi="华文仿宋" w:eastAsia="华文仿宋" w:cs="宋体"/>
          <w:b/>
          <w:bCs/>
          <w:sz w:val="24"/>
        </w:rPr>
        <w:t>售后服务：</w:t>
      </w:r>
    </w:p>
    <w:p w14:paraId="15636121">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w:t>
      </w:r>
      <w:r>
        <w:rPr>
          <w:rFonts w:ascii="华文仿宋" w:hAnsi="华文仿宋" w:eastAsia="华文仿宋" w:cs="宋体"/>
          <w:sz w:val="24"/>
        </w:rPr>
        <w:t>服务期内，</w:t>
      </w:r>
      <w:r>
        <w:rPr>
          <w:rFonts w:hint="eastAsia" w:ascii="华文仿宋" w:hAnsi="华文仿宋" w:eastAsia="华文仿宋" w:cs="宋体"/>
          <w:sz w:val="24"/>
        </w:rPr>
        <w:t>乙方</w:t>
      </w:r>
      <w:r>
        <w:rPr>
          <w:rFonts w:ascii="华文仿宋" w:hAnsi="华文仿宋" w:eastAsia="华文仿宋" w:cs="宋体"/>
          <w:sz w:val="24"/>
        </w:rPr>
        <w:t>须根据甲方需求提供</w:t>
      </w:r>
      <w:r>
        <w:rPr>
          <w:rFonts w:hint="eastAsia" w:ascii="华文仿宋" w:hAnsi="华文仿宋" w:eastAsia="华文仿宋" w:cs="宋体"/>
          <w:sz w:val="24"/>
        </w:rPr>
        <w:t>上门调试、</w:t>
      </w:r>
      <w:r>
        <w:rPr>
          <w:rFonts w:ascii="华文仿宋" w:hAnsi="华文仿宋" w:eastAsia="华文仿宋" w:cs="宋体"/>
          <w:sz w:val="24"/>
        </w:rPr>
        <w:t>上门培训、上门回访、数据维护和系统维护等服务</w:t>
      </w:r>
      <w:r>
        <w:rPr>
          <w:rFonts w:hint="eastAsia" w:ascii="华文仿宋" w:hAnsi="华文仿宋" w:eastAsia="华文仿宋" w:cs="宋体"/>
          <w:sz w:val="24"/>
        </w:rPr>
        <w:t>。</w:t>
      </w:r>
    </w:p>
    <w:p w14:paraId="5D25CE11">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服务期内</w:t>
      </w:r>
      <w:r>
        <w:rPr>
          <w:rFonts w:hint="eastAsia" w:ascii="华文仿宋" w:hAnsi="华文仿宋" w:eastAsia="华文仿宋" w:cs="宋体"/>
          <w:sz w:val="24"/>
        </w:rPr>
        <w:t>，乙方</w:t>
      </w:r>
      <w:r>
        <w:rPr>
          <w:rFonts w:ascii="华文仿宋" w:hAnsi="华文仿宋" w:eastAsia="华文仿宋" w:cs="宋体"/>
          <w:sz w:val="24"/>
        </w:rPr>
        <w:t>需向甲方提供技术支持服务，</w:t>
      </w:r>
      <w:r>
        <w:rPr>
          <w:rFonts w:hint="eastAsia" w:ascii="华文仿宋" w:hAnsi="华文仿宋" w:eastAsia="华文仿宋" w:cs="宋体"/>
          <w:sz w:val="24"/>
        </w:rPr>
        <w:t>及时解决甲方在使用数据库所遇到的各种问题，</w:t>
      </w:r>
      <w:r>
        <w:rPr>
          <w:rFonts w:ascii="华文仿宋" w:hAnsi="华文仿宋" w:eastAsia="华文仿宋" w:cs="宋体"/>
          <w:sz w:val="24"/>
        </w:rPr>
        <w:t>安排专人</w:t>
      </w:r>
      <w:r>
        <w:rPr>
          <w:rFonts w:hint="eastAsia" w:ascii="华文仿宋" w:hAnsi="华文仿宋" w:eastAsia="华文仿宋" w:cs="宋体"/>
          <w:sz w:val="24"/>
        </w:rPr>
        <w:t>对接</w:t>
      </w:r>
      <w:r>
        <w:rPr>
          <w:rFonts w:ascii="华文仿宋" w:hAnsi="华文仿宋" w:eastAsia="华文仿宋" w:cs="宋体"/>
          <w:sz w:val="24"/>
        </w:rPr>
        <w:t>甲方</w:t>
      </w:r>
      <w:r>
        <w:rPr>
          <w:rFonts w:hint="eastAsia" w:ascii="华文仿宋" w:hAnsi="华文仿宋" w:eastAsia="华文仿宋" w:cs="宋体"/>
          <w:sz w:val="24"/>
        </w:rPr>
        <w:t>通过</w:t>
      </w:r>
      <w:r>
        <w:rPr>
          <w:rFonts w:ascii="华文仿宋" w:hAnsi="华文仿宋" w:eastAsia="华文仿宋" w:cs="宋体"/>
          <w:sz w:val="24"/>
        </w:rPr>
        <w:t>电话</w:t>
      </w:r>
      <w:r>
        <w:rPr>
          <w:rFonts w:hint="eastAsia" w:ascii="华文仿宋" w:hAnsi="华文仿宋" w:eastAsia="华文仿宋" w:cs="宋体"/>
          <w:sz w:val="24"/>
        </w:rPr>
        <w:t>、邮件等方式的</w:t>
      </w:r>
      <w:r>
        <w:rPr>
          <w:rFonts w:ascii="华文仿宋" w:hAnsi="华文仿宋" w:eastAsia="华文仿宋" w:cs="宋体"/>
          <w:sz w:val="24"/>
        </w:rPr>
        <w:t>技术咨询，</w:t>
      </w:r>
      <w:r>
        <w:rPr>
          <w:rFonts w:hint="eastAsia" w:ascii="华文仿宋" w:hAnsi="华文仿宋" w:eastAsia="华文仿宋" w:cs="宋体"/>
          <w:sz w:val="24"/>
        </w:rPr>
        <w:t>报修</w:t>
      </w:r>
      <w:r>
        <w:rPr>
          <w:rFonts w:ascii="华文仿宋" w:hAnsi="华文仿宋" w:eastAsia="华文仿宋" w:cs="宋体"/>
          <w:sz w:val="24"/>
        </w:rPr>
        <w:t>故障反应时间不超过6小时，故障解决时间</w:t>
      </w:r>
      <w:r>
        <w:rPr>
          <w:rFonts w:hint="eastAsia" w:ascii="华文仿宋" w:hAnsi="华文仿宋" w:eastAsia="华文仿宋" w:cs="宋体"/>
          <w:sz w:val="24"/>
        </w:rPr>
        <w:t>一般</w:t>
      </w:r>
      <w:r>
        <w:rPr>
          <w:rFonts w:ascii="华文仿宋" w:hAnsi="华文仿宋" w:eastAsia="华文仿宋" w:cs="宋体"/>
          <w:sz w:val="24"/>
        </w:rPr>
        <w:t>不超过24小时。如若故障处理完毕时间超过</w:t>
      </w:r>
      <w:r>
        <w:rPr>
          <w:rFonts w:hint="eastAsia" w:ascii="华文仿宋" w:hAnsi="华文仿宋" w:eastAsia="华文仿宋" w:cs="宋体"/>
          <w:sz w:val="24"/>
        </w:rPr>
        <w:t xml:space="preserve">  小时的，应相应顺延甲方使用期限。</w:t>
      </w:r>
    </w:p>
    <w:p w14:paraId="70BD2F67">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（3）乙方须</w:t>
      </w:r>
      <w:r>
        <w:rPr>
          <w:rFonts w:ascii="华文仿宋" w:hAnsi="华文仿宋" w:eastAsia="华文仿宋" w:cs="宋体"/>
          <w:sz w:val="24"/>
        </w:rPr>
        <w:t>在甲方要求的时间内</w:t>
      </w:r>
      <w:r>
        <w:rPr>
          <w:rFonts w:hint="eastAsia" w:ascii="华文仿宋" w:hAnsi="华文仿宋" w:eastAsia="华文仿宋" w:cs="宋体"/>
          <w:sz w:val="24"/>
        </w:rPr>
        <w:t>如实</w:t>
      </w:r>
      <w:r>
        <w:rPr>
          <w:rFonts w:ascii="华文仿宋" w:hAnsi="华文仿宋" w:eastAsia="华文仿宋" w:cs="宋体"/>
          <w:sz w:val="24"/>
        </w:rPr>
        <w:t>提交上年度读者使用报表（按甲方要求汇总）</w:t>
      </w:r>
      <w:r>
        <w:rPr>
          <w:rFonts w:hint="eastAsia" w:ascii="华文仿宋" w:hAnsi="华文仿宋" w:eastAsia="华文仿宋" w:cs="宋体"/>
          <w:sz w:val="24"/>
        </w:rPr>
        <w:t>。</w:t>
      </w:r>
    </w:p>
    <w:p w14:paraId="2C943759">
      <w:pPr>
        <w:widowControl w:val="0"/>
        <w:kinsoku/>
        <w:spacing w:after="156" w:afterLines="50" w:line="360" w:lineRule="auto"/>
        <w:ind w:right="210"/>
        <w:jc w:val="both"/>
        <w:rPr>
          <w:rFonts w:ascii="华文仿宋" w:hAnsi="华文仿宋" w:eastAsia="华文仿宋" w:cs="宋体"/>
          <w:b/>
          <w:bCs/>
          <w:sz w:val="24"/>
        </w:rPr>
      </w:pPr>
      <w:r>
        <w:rPr>
          <w:rFonts w:ascii="华文仿宋" w:hAnsi="华文仿宋" w:eastAsia="华文仿宋" w:cs="宋体"/>
          <w:b/>
          <w:bCs/>
          <w:sz w:val="24"/>
        </w:rPr>
        <w:t>4.</w:t>
      </w:r>
      <w:r>
        <w:rPr>
          <w:rFonts w:hint="eastAsia" w:ascii="华文仿宋" w:hAnsi="华文仿宋" w:eastAsia="华文仿宋" w:cs="宋体"/>
          <w:b/>
          <w:bCs/>
          <w:sz w:val="24"/>
        </w:rPr>
        <w:t>产品验收：</w:t>
      </w:r>
    </w:p>
    <w:p w14:paraId="4203DEE6">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（1）乙方必须保证提供的数据库产品</w:t>
      </w:r>
      <w:r>
        <w:rPr>
          <w:rFonts w:ascii="华文仿宋" w:hAnsi="华文仿宋" w:eastAsia="华文仿宋" w:cs="宋体"/>
          <w:sz w:val="24"/>
        </w:rPr>
        <w:t>必须符合本合同项目所在国家和地区颁发的法律法规、规范、规定、规程、标准、规划和要求，</w:t>
      </w:r>
      <w:r>
        <w:rPr>
          <w:rFonts w:hint="eastAsia" w:ascii="华文仿宋" w:hAnsi="华文仿宋" w:eastAsia="华文仿宋" w:cs="宋体"/>
          <w:sz w:val="24"/>
        </w:rPr>
        <w:t>符合行业标准规定的质量要求，</w:t>
      </w:r>
      <w:r>
        <w:rPr>
          <w:rFonts w:ascii="华文仿宋" w:hAnsi="华文仿宋" w:eastAsia="华文仿宋" w:cs="宋体"/>
          <w:sz w:val="24"/>
        </w:rPr>
        <w:t>符合项目采购需求要求</w:t>
      </w:r>
      <w:r>
        <w:rPr>
          <w:rFonts w:hint="eastAsia" w:ascii="华文仿宋" w:hAnsi="华文仿宋" w:eastAsia="华文仿宋" w:cs="宋体"/>
          <w:sz w:val="24"/>
        </w:rPr>
        <w:t>，保证按本合同约定事项提供产品服务，并根据甲方要求配合做好验收工作。</w:t>
      </w:r>
    </w:p>
    <w:p w14:paraId="072CF403">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甲方收到乙方项目验收</w:t>
      </w:r>
      <w:r>
        <w:rPr>
          <w:rFonts w:hint="eastAsia" w:ascii="华文仿宋" w:hAnsi="华文仿宋" w:eastAsia="华文仿宋" w:cs="宋体"/>
          <w:sz w:val="24"/>
        </w:rPr>
        <w:t>申请</w:t>
      </w:r>
      <w:r>
        <w:rPr>
          <w:rFonts w:ascii="华文仿宋" w:hAnsi="华文仿宋" w:eastAsia="华文仿宋" w:cs="宋体"/>
          <w:sz w:val="24"/>
        </w:rPr>
        <w:t>之日起7个工作日内按照合同的约定对履约情况进行验收，甲方</w:t>
      </w:r>
      <w:r>
        <w:rPr>
          <w:rFonts w:hint="eastAsia" w:ascii="华文仿宋" w:hAnsi="华文仿宋" w:eastAsia="华文仿宋" w:cs="宋体"/>
          <w:sz w:val="24"/>
        </w:rPr>
        <w:t>确认</w:t>
      </w:r>
      <w:r>
        <w:rPr>
          <w:rFonts w:ascii="华文仿宋" w:hAnsi="华文仿宋" w:eastAsia="华文仿宋" w:cs="宋体"/>
          <w:sz w:val="24"/>
        </w:rPr>
        <w:t>可正常访问、检索、浏览、下载所订购产品，</w:t>
      </w:r>
      <w:r>
        <w:rPr>
          <w:rFonts w:hint="eastAsia" w:ascii="华文仿宋" w:hAnsi="华文仿宋" w:eastAsia="华文仿宋" w:cs="宋体"/>
          <w:sz w:val="24"/>
        </w:rPr>
        <w:t>并</w:t>
      </w:r>
      <w:r>
        <w:rPr>
          <w:rFonts w:ascii="华文仿宋" w:hAnsi="华文仿宋" w:eastAsia="华文仿宋" w:cs="宋体"/>
          <w:sz w:val="24"/>
        </w:rPr>
        <w:t>对</w:t>
      </w:r>
      <w:r>
        <w:rPr>
          <w:rFonts w:hint="eastAsia" w:ascii="华文仿宋" w:hAnsi="华文仿宋" w:eastAsia="华文仿宋" w:cs="宋体"/>
          <w:sz w:val="24"/>
        </w:rPr>
        <w:t>产品</w:t>
      </w:r>
      <w:r>
        <w:rPr>
          <w:rFonts w:ascii="华文仿宋" w:hAnsi="华文仿宋" w:eastAsia="华文仿宋" w:cs="宋体"/>
          <w:sz w:val="24"/>
        </w:rPr>
        <w:t>技术、服务、安全标准的履约情况进行确认。</w:t>
      </w:r>
      <w:r>
        <w:rPr>
          <w:rFonts w:hint="eastAsia" w:ascii="华文仿宋" w:hAnsi="华文仿宋" w:eastAsia="华文仿宋" w:cs="宋体"/>
          <w:sz w:val="24"/>
        </w:rPr>
        <w:t>甲方</w:t>
      </w:r>
      <w:r>
        <w:rPr>
          <w:rFonts w:ascii="华文仿宋" w:hAnsi="华文仿宋" w:eastAsia="华文仿宋" w:cs="宋体"/>
          <w:sz w:val="24"/>
        </w:rPr>
        <w:t>对产品质量有任何问题，应及时通知乙方，乙方负责协调解决。</w:t>
      </w:r>
    </w:p>
    <w:p w14:paraId="16EDF199">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四、履约保证金</w:t>
      </w:r>
    </w:p>
    <w:p w14:paraId="346FC746">
      <w:pPr>
        <w:widowControl w:val="0"/>
        <w:tabs>
          <w:tab w:val="left" w:pos="1004"/>
        </w:tabs>
        <w:kinsoku/>
        <w:spacing w:line="360" w:lineRule="auto"/>
        <w:jc w:val="both"/>
        <w:rPr>
          <w:rFonts w:ascii="华文仿宋" w:hAnsi="华文仿宋" w:eastAsia="华文仿宋" w:cs="宋体"/>
          <w:bCs/>
          <w:color w:val="auto"/>
          <w:sz w:val="24"/>
          <w:szCs w:val="24"/>
        </w:rPr>
      </w:pPr>
      <w:r>
        <w:rPr>
          <w:rFonts w:hint="eastAsia" w:ascii="华文仿宋" w:hAnsi="华文仿宋" w:eastAsia="华文仿宋" w:cs="宋体"/>
          <w:bCs/>
          <w:color w:val="auto"/>
          <w:sz w:val="24"/>
          <w:szCs w:val="24"/>
        </w:rPr>
        <w:t>1.乙方须在合同签订前5个工作日内向甲方提交履约保证金，履约保证金金额为合同总金额的</w:t>
      </w:r>
      <w:r>
        <w:rPr>
          <w:rFonts w:ascii="华文仿宋" w:hAnsi="华文仿宋" w:eastAsia="华文仿宋" w:cs="宋体"/>
          <w:bCs/>
          <w:color w:val="auto"/>
          <w:sz w:val="24"/>
          <w:szCs w:val="24"/>
          <w:u w:val="single"/>
        </w:rPr>
        <w:t>3</w:t>
      </w:r>
      <w:r>
        <w:rPr>
          <w:rFonts w:hint="eastAsia" w:ascii="华文仿宋" w:hAnsi="华文仿宋" w:eastAsia="华文仿宋" w:cs="宋体"/>
          <w:bCs/>
          <w:color w:val="auto"/>
          <w:sz w:val="24"/>
          <w:szCs w:val="24"/>
          <w:u w:val="single"/>
        </w:rPr>
        <w:t>%</w:t>
      </w:r>
      <w:r>
        <w:rPr>
          <w:rFonts w:hint="eastAsia" w:ascii="华文仿宋" w:hAnsi="华文仿宋" w:eastAsia="华文仿宋" w:cs="宋体"/>
          <w:bCs/>
          <w:color w:val="auto"/>
          <w:sz w:val="24"/>
          <w:szCs w:val="24"/>
        </w:rPr>
        <w:t>，即人民币</w:t>
      </w:r>
      <w:r>
        <w:rPr>
          <w:rFonts w:ascii="华文仿宋" w:hAnsi="华文仿宋" w:eastAsia="华文仿宋" w:cs="Calibri"/>
          <w:sz w:val="24"/>
          <w:u w:val="single"/>
        </w:rPr>
        <w:t>¥</w:t>
      </w:r>
      <w:r>
        <w:rPr>
          <w:rFonts w:ascii="华文仿宋" w:hAnsi="华文仿宋" w:eastAsia="华文仿宋" w:cs="宋体"/>
          <w:sz w:val="24"/>
          <w:u w:val="single"/>
        </w:rPr>
        <w:t xml:space="preserve">       </w:t>
      </w:r>
      <w:r>
        <w:rPr>
          <w:rFonts w:hint="eastAsia" w:ascii="华文仿宋" w:hAnsi="华文仿宋" w:eastAsia="华文仿宋" w:cs="宋体"/>
          <w:bCs/>
          <w:color w:val="auto"/>
          <w:sz w:val="24"/>
          <w:szCs w:val="24"/>
        </w:rPr>
        <w:t>元。乙方提交履约保证金后方可与甲方签署合同。履约保证金交付相关凭证须附在采购合同附件中。</w:t>
      </w:r>
    </w:p>
    <w:p w14:paraId="08E96C03">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2</w:t>
      </w:r>
      <w:r>
        <w:rPr>
          <w:rFonts w:hint="eastAsia" w:ascii="华文仿宋" w:hAnsi="华文仿宋" w:eastAsia="华文仿宋" w:cs="宋体"/>
          <w:sz w:val="24"/>
        </w:rPr>
        <w:t>.履约保证金以银行转账、支票、汇票、本票或者金融机构、担保机构出具的保函等非现金形式提交。</w:t>
      </w:r>
    </w:p>
    <w:p w14:paraId="1CB0E78E">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开户名称：海南大学</w:t>
      </w:r>
    </w:p>
    <w:p w14:paraId="27D2B29A">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开户银行：</w:t>
      </w:r>
      <w:r>
        <w:rPr>
          <w:rFonts w:hint="eastAsia" w:ascii="华文仿宋" w:hAnsi="华文仿宋" w:eastAsia="华文仿宋" w:cs="仿宋"/>
          <w:color w:val="000000" w:themeColor="text1"/>
          <w:sz w:val="24"/>
          <w14:textFill>
            <w14:solidFill>
              <w14:schemeClr w14:val="tx1"/>
            </w14:solidFill>
          </w14:textFill>
        </w:rPr>
        <w:t>中国农业银行股份有限公司海口海大支行</w:t>
      </w:r>
    </w:p>
    <w:p w14:paraId="66840AC9">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开户账号：</w:t>
      </w:r>
      <w:r>
        <w:rPr>
          <w:rFonts w:hint="eastAsia" w:ascii="华文仿宋" w:hAnsi="华文仿宋" w:eastAsia="华文仿宋" w:cs="仿宋"/>
          <w:color w:val="000000" w:themeColor="text1"/>
          <w:sz w:val="24"/>
          <w14:textFill>
            <w14:solidFill>
              <w14:schemeClr w14:val="tx1"/>
            </w14:solidFill>
          </w14:textFill>
        </w:rPr>
        <w:t>21150001040000040</w:t>
      </w:r>
    </w:p>
    <w:p w14:paraId="582D2288">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用途：（项目编号</w:t>
      </w:r>
      <w:r>
        <w:rPr>
          <w:rFonts w:hint="eastAsia" w:ascii="华文仿宋" w:hAnsi="华文仿宋" w:eastAsia="华文仿宋" w:cs="宋体"/>
          <w:sz w:val="24"/>
          <w:u w:val="single"/>
        </w:rPr>
        <w:t>_HD2025-3-16</w:t>
      </w:r>
      <w:r>
        <w:rPr>
          <w:rFonts w:ascii="华文仿宋" w:hAnsi="华文仿宋" w:eastAsia="华文仿宋" w:cs="宋体"/>
          <w:sz w:val="24"/>
          <w:u w:val="single"/>
        </w:rPr>
        <w:t>_</w:t>
      </w:r>
      <w:r>
        <w:rPr>
          <w:rFonts w:hint="eastAsia" w:ascii="华文仿宋" w:hAnsi="华文仿宋" w:eastAsia="华文仿宋" w:cs="宋体"/>
          <w:sz w:val="24"/>
        </w:rPr>
        <w:t>，包号</w:t>
      </w:r>
      <w:r>
        <w:rPr>
          <w:rFonts w:hint="eastAsia" w:ascii="华文仿宋" w:hAnsi="华文仿宋" w:eastAsia="华文仿宋" w:cs="宋体"/>
          <w:sz w:val="24"/>
          <w:u w:val="single"/>
        </w:rPr>
        <w:t>_</w:t>
      </w:r>
      <w:r>
        <w:rPr>
          <w:rFonts w:ascii="华文仿宋" w:hAnsi="华文仿宋" w:eastAsia="华文仿宋" w:cs="宋体"/>
          <w:sz w:val="24"/>
          <w:u w:val="single"/>
        </w:rPr>
        <w:t>_</w:t>
      </w:r>
      <w:r>
        <w:rPr>
          <w:rFonts w:hint="eastAsia" w:ascii="华文仿宋" w:hAnsi="华文仿宋" w:eastAsia="华文仿宋" w:cs="宋体"/>
          <w:sz w:val="24"/>
          <w:u w:val="single"/>
          <w:lang w:val="en-US" w:eastAsia="zh-CN"/>
        </w:rPr>
        <w:t>1</w:t>
      </w:r>
      <w:r>
        <w:rPr>
          <w:rFonts w:ascii="华文仿宋" w:hAnsi="华文仿宋" w:eastAsia="华文仿宋" w:cs="宋体"/>
          <w:sz w:val="24"/>
          <w:u w:val="single"/>
        </w:rPr>
        <w:t>__</w:t>
      </w:r>
      <w:r>
        <w:rPr>
          <w:rFonts w:hint="eastAsia" w:ascii="华文仿宋" w:hAnsi="华文仿宋" w:eastAsia="华文仿宋" w:cs="宋体"/>
          <w:sz w:val="24"/>
        </w:rPr>
        <w:t>）履约保证金</w:t>
      </w:r>
    </w:p>
    <w:p w14:paraId="60C5E4CC">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3</w:t>
      </w:r>
      <w:r>
        <w:rPr>
          <w:rFonts w:hint="eastAsia" w:ascii="华文仿宋" w:hAnsi="华文仿宋" w:eastAsia="华文仿宋" w:cs="宋体"/>
          <w:sz w:val="24"/>
        </w:rPr>
        <w:t>.以银行保函形式提交履约保证金的，保函有效期应长于合同履行期。如遇特殊情况在有效期内不能完成履约验收的，需提前15天办理保函延期手续。以银行保函形式提交履约保证金的，必</w:t>
      </w:r>
      <w:r>
        <w:rPr>
          <w:rFonts w:hint="eastAsia" w:ascii="华文仿宋" w:hAnsi="华文仿宋" w:eastAsia="华文仿宋" w:cs="宋体"/>
          <w:bCs/>
          <w:color w:val="auto"/>
          <w:sz w:val="24"/>
          <w:szCs w:val="24"/>
        </w:rPr>
        <w:t>须在合同签订前5个工作日</w:t>
      </w:r>
      <w:r>
        <w:rPr>
          <w:rFonts w:hint="eastAsia" w:ascii="华文仿宋" w:hAnsi="华文仿宋" w:eastAsia="华文仿宋" w:cs="宋体"/>
          <w:sz w:val="24"/>
        </w:rPr>
        <w:t>提交保函原件。</w:t>
      </w:r>
    </w:p>
    <w:p w14:paraId="6CBDC9B8">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4</w:t>
      </w:r>
      <w:r>
        <w:rPr>
          <w:rFonts w:hint="eastAsia" w:ascii="华文仿宋" w:hAnsi="华文仿宋" w:eastAsia="华文仿宋" w:cs="宋体"/>
          <w:sz w:val="24"/>
        </w:rPr>
        <w:t>.数据库服务期限结束后，如乙方在服务期内未出现违约现象，由乙方填写《</w:t>
      </w:r>
      <w:bookmarkStart w:id="0" w:name="_Hlk179643746"/>
      <w:r>
        <w:rPr>
          <w:rFonts w:hint="eastAsia" w:ascii="华文仿宋" w:hAnsi="华文仿宋" w:eastAsia="华文仿宋" w:cs="宋体"/>
          <w:sz w:val="24"/>
        </w:rPr>
        <w:t>退还履约保证金申请函</w:t>
      </w:r>
      <w:bookmarkEnd w:id="0"/>
      <w:r>
        <w:rPr>
          <w:rFonts w:hint="eastAsia" w:ascii="华文仿宋" w:hAnsi="华文仿宋" w:eastAsia="华文仿宋" w:cs="宋体"/>
          <w:sz w:val="24"/>
        </w:rPr>
        <w:t>》，并经甲方采购单位签字、盖章确认。甲方收到乙方退款申请之日起十五个工作日内一次性无息退还。</w:t>
      </w:r>
    </w:p>
    <w:p w14:paraId="6472ACA8">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5</w:t>
      </w:r>
      <w:r>
        <w:rPr>
          <w:rFonts w:ascii="华文仿宋" w:hAnsi="华文仿宋" w:eastAsia="华文仿宋" w:cs="宋体"/>
          <w:sz w:val="24"/>
        </w:rPr>
        <w:t>.</w:t>
      </w:r>
      <w:r>
        <w:rPr>
          <w:rFonts w:hint="eastAsia" w:ascii="华文仿宋" w:hAnsi="华文仿宋" w:eastAsia="华文仿宋" w:cs="宋体"/>
          <w:sz w:val="24"/>
        </w:rPr>
        <w:t>发生以下情况之一，履约保证金将不予退还或依保函追索：</w:t>
      </w:r>
    </w:p>
    <w:p w14:paraId="38E0FF2C">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乙方在投标活动中有违反法律、违反政策规定行为的，如提供虚假材料谋取中标、成交的；与甲方（业务代表、委托代理人、联系人等）、其他投标人或者采购代理机构串通的；向甲方（业务代表、委托代理人、联系人等）、采购代理机构、评标委员会成员行贿或者提供其他不正当利益的；</w:t>
      </w:r>
    </w:p>
    <w:p w14:paraId="248745D7">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w:t>
      </w:r>
      <w:r>
        <w:rPr>
          <w:rFonts w:ascii="华文仿宋" w:hAnsi="华文仿宋" w:eastAsia="华文仿宋" w:cs="宋体"/>
          <w:sz w:val="24"/>
        </w:rPr>
        <w:t>2</w:t>
      </w:r>
      <w:r>
        <w:rPr>
          <w:rFonts w:hint="eastAsia" w:ascii="华文仿宋" w:hAnsi="华文仿宋" w:eastAsia="华文仿宋" w:cs="宋体"/>
          <w:sz w:val="24"/>
        </w:rPr>
        <w:t xml:space="preserve">）未按照合同约定确保服务期内数据库资源正常使用的； </w:t>
      </w:r>
    </w:p>
    <w:p w14:paraId="5D7FC9F7">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w:t>
      </w:r>
      <w:r>
        <w:rPr>
          <w:rFonts w:ascii="华文仿宋" w:hAnsi="华文仿宋" w:eastAsia="华文仿宋" w:cs="宋体"/>
          <w:sz w:val="24"/>
        </w:rPr>
        <w:t>3</w:t>
      </w:r>
      <w:r>
        <w:rPr>
          <w:rFonts w:hint="eastAsia" w:ascii="华文仿宋" w:hAnsi="华文仿宋" w:eastAsia="华文仿宋" w:cs="宋体"/>
          <w:sz w:val="24"/>
        </w:rPr>
        <w:t>）采购合同规定的其他情形。</w:t>
      </w:r>
    </w:p>
    <w:p w14:paraId="243FD993">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五、合同款项支付</w:t>
      </w:r>
    </w:p>
    <w:p w14:paraId="66201BDE">
      <w:pPr>
        <w:widowControl w:val="0"/>
        <w:tabs>
          <w:tab w:val="left" w:pos="1004"/>
        </w:tabs>
        <w:kinsoku/>
        <w:spacing w:line="360" w:lineRule="auto"/>
        <w:jc w:val="both"/>
        <w:rPr>
          <w:rFonts w:ascii="华文仿宋" w:hAnsi="华文仿宋" w:eastAsia="华文仿宋" w:cs="宋体"/>
          <w:b/>
          <w:bCs/>
          <w:sz w:val="24"/>
        </w:rPr>
      </w:pPr>
      <w:r>
        <w:rPr>
          <w:rFonts w:hint="eastAsia" w:ascii="华文仿宋" w:hAnsi="华文仿宋" w:eastAsia="华文仿宋" w:cs="宋体"/>
          <w:b/>
          <w:bCs/>
          <w:sz w:val="24"/>
        </w:rPr>
        <w:t>1</w:t>
      </w:r>
      <w:r>
        <w:rPr>
          <w:rFonts w:ascii="华文仿宋" w:hAnsi="华文仿宋" w:eastAsia="华文仿宋" w:cs="宋体"/>
          <w:b/>
          <w:bCs/>
          <w:sz w:val="24"/>
        </w:rPr>
        <w:t>.</w:t>
      </w:r>
      <w:r>
        <w:rPr>
          <w:rFonts w:hint="eastAsia" w:ascii="华文仿宋" w:hAnsi="华文仿宋" w:eastAsia="华文仿宋" w:cs="宋体"/>
          <w:b/>
          <w:bCs/>
          <w:sz w:val="24"/>
        </w:rPr>
        <w:t>支付时间：</w:t>
      </w:r>
    </w:p>
    <w:p w14:paraId="43676DF8">
      <w:pPr>
        <w:widowControl w:val="0"/>
        <w:tabs>
          <w:tab w:val="left" w:pos="1004"/>
        </w:tabs>
        <w:kinsoku/>
        <w:spacing w:line="360" w:lineRule="auto"/>
        <w:jc w:val="both"/>
        <w:rPr>
          <w:rFonts w:ascii="华文仿宋" w:hAnsi="华文仿宋" w:eastAsia="华文仿宋" w:cs="宋体"/>
          <w:sz w:val="24"/>
        </w:rPr>
      </w:pPr>
      <w:r>
        <w:rPr>
          <w:rFonts w:hint="eastAsia" w:ascii="华文仿宋" w:hAnsi="华文仿宋" w:eastAsia="华文仿宋" w:cs="宋体"/>
          <w:sz w:val="24"/>
        </w:rPr>
        <w:t>（1）合同签订后，乙方按照合同约定提供合同标的数据库服务并经甲方确认验收合格、甲方收到乙方开具等额合法有效的发票</w:t>
      </w:r>
      <w:r>
        <w:rPr>
          <w:rFonts w:hint="eastAsia" w:ascii="华文仿宋" w:hAnsi="华文仿宋" w:eastAsia="华文仿宋" w:cs="宋体"/>
          <w:b/>
          <w:bCs/>
          <w:sz w:val="24"/>
          <w:u w:val="single"/>
        </w:rPr>
        <w:t>（备注项目编号HD2025-3-16及包号</w:t>
      </w:r>
      <w:r>
        <w:rPr>
          <w:rFonts w:hint="eastAsia" w:ascii="华文仿宋" w:hAnsi="华文仿宋" w:eastAsia="华文仿宋" w:cs="宋体"/>
          <w:b/>
          <w:bCs/>
          <w:sz w:val="24"/>
          <w:u w:val="single"/>
          <w:lang w:val="en-US" w:eastAsia="zh-CN"/>
        </w:rPr>
        <w:t>1</w:t>
      </w:r>
      <w:r>
        <w:rPr>
          <w:rFonts w:hint="eastAsia" w:ascii="华文仿宋" w:hAnsi="华文仿宋" w:eastAsia="华文仿宋" w:cs="宋体"/>
          <w:b/>
          <w:bCs/>
          <w:sz w:val="24"/>
          <w:u w:val="single"/>
        </w:rPr>
        <w:t>）</w:t>
      </w:r>
      <w:r>
        <w:rPr>
          <w:rFonts w:hint="eastAsia" w:ascii="华文仿宋" w:hAnsi="华文仿宋" w:eastAsia="华文仿宋" w:cs="宋体"/>
          <w:sz w:val="24"/>
        </w:rPr>
        <w:t>后，甲方在</w:t>
      </w:r>
      <w:r>
        <w:rPr>
          <w:rFonts w:ascii="华文仿宋" w:hAnsi="华文仿宋" w:eastAsia="华文仿宋" w:cs="宋体"/>
          <w:sz w:val="24"/>
          <w:u w:val="single"/>
        </w:rPr>
        <w:t xml:space="preserve">     </w:t>
      </w:r>
      <w:r>
        <w:rPr>
          <w:rFonts w:hint="eastAsia" w:ascii="华文仿宋" w:hAnsi="华文仿宋" w:eastAsia="华文仿宋" w:cs="宋体"/>
          <w:sz w:val="24"/>
          <w:u w:val="single"/>
        </w:rPr>
        <w:t>年</w:t>
      </w:r>
      <w:r>
        <w:rPr>
          <w:rFonts w:ascii="华文仿宋" w:hAnsi="华文仿宋" w:eastAsia="华文仿宋" w:cs="宋体"/>
          <w:sz w:val="24"/>
          <w:u w:val="single"/>
        </w:rPr>
        <w:t xml:space="preserve">   </w:t>
      </w:r>
      <w:r>
        <w:rPr>
          <w:rFonts w:hint="eastAsia" w:ascii="华文仿宋" w:hAnsi="华文仿宋" w:eastAsia="华文仿宋" w:cs="宋体"/>
          <w:sz w:val="24"/>
          <w:u w:val="single"/>
        </w:rPr>
        <w:t>月</w:t>
      </w:r>
      <w:r>
        <w:rPr>
          <w:rFonts w:ascii="华文仿宋" w:hAnsi="华文仿宋" w:eastAsia="华文仿宋" w:cs="宋体"/>
          <w:sz w:val="24"/>
          <w:u w:val="single"/>
        </w:rPr>
        <w:t xml:space="preserve">  </w:t>
      </w:r>
      <w:r>
        <w:rPr>
          <w:rFonts w:hint="eastAsia" w:ascii="华文仿宋" w:hAnsi="华文仿宋" w:eastAsia="华文仿宋" w:cs="宋体"/>
          <w:sz w:val="24"/>
          <w:u w:val="single"/>
        </w:rPr>
        <w:t>日</w:t>
      </w:r>
      <w:r>
        <w:rPr>
          <w:rFonts w:hint="eastAsia" w:ascii="华文仿宋" w:hAnsi="华文仿宋" w:eastAsia="华文仿宋" w:cs="宋体"/>
          <w:sz w:val="24"/>
        </w:rPr>
        <w:t>之前完成付款（如遇寒暑假、财政资金未及时到位或财政指标相关调整等情况，支付时限相应顺延）。</w:t>
      </w:r>
    </w:p>
    <w:p w14:paraId="7810BF5A">
      <w:pPr>
        <w:widowControl w:val="0"/>
        <w:tabs>
          <w:tab w:val="left" w:pos="1004"/>
        </w:tabs>
        <w:kinsoku/>
        <w:spacing w:line="360" w:lineRule="auto"/>
        <w:jc w:val="both"/>
        <w:rPr>
          <w:rFonts w:ascii="华文仿宋" w:hAnsi="华文仿宋" w:eastAsia="华文仿宋" w:cs="宋体"/>
          <w:sz w:val="24"/>
        </w:rPr>
      </w:pPr>
      <w:r>
        <w:rPr>
          <w:rFonts w:hint="eastAsia" w:ascii="华文仿宋" w:hAnsi="华文仿宋" w:eastAsia="华文仿宋" w:cs="宋体"/>
          <w:sz w:val="24"/>
        </w:rPr>
        <w:t>（</w:t>
      </w:r>
      <w:r>
        <w:rPr>
          <w:rFonts w:ascii="华文仿宋" w:hAnsi="华文仿宋" w:eastAsia="华文仿宋" w:cs="宋体"/>
          <w:sz w:val="24"/>
        </w:rPr>
        <w:t>2</w:t>
      </w:r>
      <w:r>
        <w:rPr>
          <w:rFonts w:hint="eastAsia" w:ascii="华文仿宋" w:hAnsi="华文仿宋" w:eastAsia="华文仿宋" w:cs="宋体"/>
          <w:sz w:val="24"/>
        </w:rPr>
        <w:t>）如因乙方延期提供发票或提供发票不符合要求等导致甲方无法在本条约定期限内办理款项支付的，不视为甲方逾期违约支付。</w:t>
      </w:r>
    </w:p>
    <w:p w14:paraId="65042DA9">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b/>
          <w:bCs/>
          <w:sz w:val="24"/>
        </w:rPr>
        <w:t>2</w:t>
      </w:r>
      <w:r>
        <w:rPr>
          <w:rFonts w:hint="eastAsia" w:ascii="华文仿宋" w:hAnsi="华文仿宋" w:eastAsia="华文仿宋" w:cs="宋体"/>
          <w:b/>
          <w:bCs/>
          <w:sz w:val="24"/>
        </w:rPr>
        <w:t>.付款方式：</w:t>
      </w:r>
      <w:r>
        <w:rPr>
          <w:rFonts w:hint="eastAsia" w:ascii="华文仿宋" w:hAnsi="华文仿宋" w:eastAsia="华文仿宋" w:cs="宋体"/>
          <w:sz w:val="24"/>
        </w:rPr>
        <w:t>银行转账</w:t>
      </w:r>
    </w:p>
    <w:p w14:paraId="3EE32FD6">
      <w:pPr>
        <w:widowControl w:val="0"/>
        <w:kinsoku/>
        <w:spacing w:after="156" w:afterLines="50" w:line="360" w:lineRule="auto"/>
        <w:ind w:right="210" w:firstLine="420"/>
        <w:jc w:val="both"/>
        <w:rPr>
          <w:rFonts w:hint="default" w:ascii="华文仿宋" w:hAnsi="华文仿宋" w:eastAsia="华文仿宋" w:cs="宋体"/>
          <w:sz w:val="24"/>
          <w:lang w:val="en-US" w:eastAsia="zh-CN"/>
        </w:rPr>
      </w:pPr>
      <w:r>
        <w:rPr>
          <w:rFonts w:hint="eastAsia" w:ascii="华文仿宋" w:hAnsi="华文仿宋" w:eastAsia="华文仿宋" w:cs="宋体"/>
          <w:sz w:val="24"/>
        </w:rPr>
        <w:t>银行账号名称：</w:t>
      </w:r>
      <w:r>
        <w:rPr>
          <w:rFonts w:ascii="华文仿宋" w:hAnsi="华文仿宋" w:eastAsia="华文仿宋" w:cs="宋体"/>
          <w:sz w:val="24"/>
        </w:rPr>
        <w:t xml:space="preserve"> </w:t>
      </w:r>
      <w:r>
        <w:rPr>
          <w:rFonts w:hint="eastAsia" w:ascii="华文仿宋" w:hAnsi="华文仿宋" w:eastAsia="华文仿宋" w:cs="宋体"/>
          <w:sz w:val="24"/>
          <w:lang w:val="en-US" w:eastAsia="zh-CN"/>
        </w:rPr>
        <w:t>中国图书进出口（集团）有限公司</w:t>
      </w:r>
    </w:p>
    <w:p w14:paraId="72B88DB4">
      <w:pPr>
        <w:widowControl w:val="0"/>
        <w:kinsoku/>
        <w:spacing w:after="156" w:afterLines="50" w:line="360" w:lineRule="auto"/>
        <w:ind w:right="210" w:firstLine="420"/>
        <w:jc w:val="both"/>
        <w:rPr>
          <w:rFonts w:hint="default" w:ascii="华文仿宋" w:hAnsi="华文仿宋" w:eastAsia="华文仿宋" w:cs="宋体"/>
          <w:sz w:val="24"/>
          <w:lang w:val="en-US" w:eastAsia="zh-CN"/>
        </w:rPr>
      </w:pPr>
      <w:r>
        <w:rPr>
          <w:rFonts w:hint="eastAsia" w:ascii="华文仿宋" w:hAnsi="华文仿宋" w:eastAsia="华文仿宋" w:cs="宋体"/>
          <w:sz w:val="24"/>
        </w:rPr>
        <w:t>开户银行：</w:t>
      </w:r>
      <w:r>
        <w:rPr>
          <w:rFonts w:hint="eastAsia" w:ascii="华文仿宋" w:hAnsi="华文仿宋" w:eastAsia="华文仿宋" w:cs="宋体"/>
          <w:sz w:val="24"/>
          <w:lang w:val="en-US" w:eastAsia="zh-CN"/>
        </w:rPr>
        <w:t>中信银行北京东大桥支行</w:t>
      </w:r>
    </w:p>
    <w:p w14:paraId="470CC838">
      <w:pPr>
        <w:widowControl w:val="0"/>
        <w:kinsoku/>
        <w:spacing w:after="156" w:afterLines="50" w:line="360" w:lineRule="auto"/>
        <w:ind w:right="210" w:firstLine="420"/>
        <w:jc w:val="both"/>
        <w:rPr>
          <w:rFonts w:hint="default" w:ascii="华文仿宋" w:hAnsi="华文仿宋" w:eastAsia="华文仿宋" w:cs="宋体"/>
          <w:sz w:val="24"/>
          <w:lang w:val="en-US" w:eastAsia="zh-CN"/>
        </w:rPr>
      </w:pPr>
      <w:r>
        <w:rPr>
          <w:rFonts w:hint="eastAsia" w:ascii="华文仿宋" w:hAnsi="华文仿宋" w:eastAsia="华文仿宋" w:cs="宋体"/>
          <w:sz w:val="24"/>
        </w:rPr>
        <w:t>开户行行号：</w:t>
      </w:r>
      <w:r>
        <w:rPr>
          <w:rFonts w:hint="eastAsia" w:ascii="华文仿宋" w:hAnsi="华文仿宋" w:eastAsia="华文仿宋" w:cs="宋体"/>
          <w:sz w:val="24"/>
          <w:lang w:val="en-US" w:eastAsia="zh-CN"/>
        </w:rPr>
        <w:t>302100011163</w:t>
      </w:r>
    </w:p>
    <w:p w14:paraId="78E4648B">
      <w:pPr>
        <w:widowControl w:val="0"/>
        <w:kinsoku/>
        <w:spacing w:after="156" w:afterLines="50" w:line="360" w:lineRule="auto"/>
        <w:ind w:right="210" w:firstLine="420"/>
        <w:jc w:val="both"/>
        <w:rPr>
          <w:rFonts w:hint="default" w:ascii="华文仿宋" w:hAnsi="华文仿宋" w:eastAsia="华文仿宋" w:cs="宋体"/>
          <w:sz w:val="24"/>
          <w:lang w:val="en-US" w:eastAsia="zh-CN"/>
        </w:rPr>
      </w:pPr>
      <w:r>
        <w:rPr>
          <w:rFonts w:hint="eastAsia" w:ascii="华文仿宋" w:hAnsi="华文仿宋" w:eastAsia="华文仿宋" w:cs="宋体"/>
          <w:sz w:val="24"/>
        </w:rPr>
        <w:t>银行账号：</w:t>
      </w:r>
      <w:r>
        <w:rPr>
          <w:rFonts w:hint="eastAsia" w:ascii="华文仿宋" w:hAnsi="华文仿宋" w:eastAsia="华文仿宋" w:cs="宋体"/>
          <w:sz w:val="24"/>
          <w:lang w:val="en-US" w:eastAsia="zh-CN"/>
        </w:rPr>
        <w:t>7111610182600016876</w:t>
      </w:r>
    </w:p>
    <w:p w14:paraId="5637141A">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六、</w:t>
      </w:r>
      <w:r>
        <w:rPr>
          <w:rFonts w:ascii="华文仿宋" w:hAnsi="华文仿宋" w:eastAsia="华文仿宋" w:cs="宋体"/>
          <w:b/>
          <w:sz w:val="28"/>
          <w:szCs w:val="28"/>
        </w:rPr>
        <w:t>知识产权</w:t>
      </w:r>
    </w:p>
    <w:p w14:paraId="0B5CBC4E">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1.乙方</w:t>
      </w:r>
      <w:r>
        <w:rPr>
          <w:rFonts w:hint="eastAsia" w:ascii="华文仿宋" w:hAnsi="华文仿宋" w:eastAsia="华文仿宋" w:cs="宋体"/>
          <w:sz w:val="24"/>
        </w:rPr>
        <w:t>需依法负责甲方订购的数据库产品的版权问题</w:t>
      </w:r>
      <w:r>
        <w:rPr>
          <w:rFonts w:ascii="华文仿宋" w:hAnsi="华文仿宋" w:eastAsia="华文仿宋" w:cs="宋体"/>
          <w:sz w:val="24"/>
        </w:rPr>
        <w:t>，保证所提供的</w:t>
      </w:r>
      <w:r>
        <w:rPr>
          <w:rFonts w:hint="eastAsia" w:ascii="华文仿宋" w:hAnsi="华文仿宋" w:eastAsia="华文仿宋" w:cs="宋体"/>
          <w:sz w:val="24"/>
        </w:rPr>
        <w:t>数据库甲方</w:t>
      </w:r>
      <w:r>
        <w:rPr>
          <w:rFonts w:ascii="华文仿宋" w:hAnsi="华文仿宋" w:eastAsia="华文仿宋" w:cs="宋体"/>
          <w:sz w:val="24"/>
        </w:rPr>
        <w:t>可以合法使用。数据库</w:t>
      </w:r>
      <w:r>
        <w:rPr>
          <w:rFonts w:hint="eastAsia" w:ascii="华文仿宋" w:hAnsi="华文仿宋" w:eastAsia="华文仿宋" w:cs="宋体"/>
          <w:sz w:val="24"/>
        </w:rPr>
        <w:t>合法</w:t>
      </w:r>
      <w:r>
        <w:rPr>
          <w:rFonts w:ascii="华文仿宋" w:hAnsi="华文仿宋" w:eastAsia="华文仿宋" w:cs="宋体"/>
          <w:sz w:val="24"/>
        </w:rPr>
        <w:t>使用过程中出现关于版权的相关问题与甲方无关。</w:t>
      </w:r>
    </w:p>
    <w:p w14:paraId="6486650F">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2.乙方应保证甲方在</w:t>
      </w:r>
      <w:r>
        <w:rPr>
          <w:rFonts w:hint="eastAsia" w:ascii="华文仿宋" w:hAnsi="华文仿宋" w:eastAsia="华文仿宋" w:cs="宋体"/>
          <w:sz w:val="24"/>
        </w:rPr>
        <w:t>合理使用数据库</w:t>
      </w:r>
      <w:r>
        <w:rPr>
          <w:rFonts w:ascii="华文仿宋" w:hAnsi="华文仿宋" w:eastAsia="华文仿宋" w:cs="宋体"/>
          <w:sz w:val="24"/>
        </w:rPr>
        <w:t>或其任何一部分时免受第三方提出侵犯其专利、商标、版权</w:t>
      </w:r>
      <w:r>
        <w:rPr>
          <w:rFonts w:hint="eastAsia" w:ascii="华文仿宋" w:hAnsi="华文仿宋" w:eastAsia="华文仿宋" w:cs="宋体"/>
          <w:sz w:val="24"/>
        </w:rPr>
        <w:t>、商业秘密</w:t>
      </w:r>
      <w:r>
        <w:rPr>
          <w:rFonts w:ascii="华文仿宋" w:hAnsi="华文仿宋" w:eastAsia="华文仿宋" w:cs="宋体"/>
          <w:sz w:val="24"/>
        </w:rPr>
        <w:t>等知识产权或商品名称及其他权利的起诉及索赔。若甲方因</w:t>
      </w:r>
      <w:r>
        <w:rPr>
          <w:rFonts w:hint="eastAsia" w:ascii="华文仿宋" w:hAnsi="华文仿宋" w:eastAsia="华文仿宋" w:cs="宋体"/>
          <w:sz w:val="24"/>
        </w:rPr>
        <w:t>此</w:t>
      </w:r>
      <w:r>
        <w:rPr>
          <w:rFonts w:ascii="华文仿宋" w:hAnsi="华文仿宋" w:eastAsia="华文仿宋" w:cs="宋体"/>
          <w:sz w:val="24"/>
        </w:rPr>
        <w:t>被第三方起诉或以</w:t>
      </w:r>
      <w:r>
        <w:rPr>
          <w:rFonts w:hint="eastAsia" w:ascii="华文仿宋" w:hAnsi="华文仿宋" w:eastAsia="华文仿宋" w:cs="宋体"/>
          <w:sz w:val="24"/>
        </w:rPr>
        <w:t>其他</w:t>
      </w:r>
      <w:r>
        <w:rPr>
          <w:rFonts w:ascii="华文仿宋" w:hAnsi="华文仿宋" w:eastAsia="华文仿宋" w:cs="宋体"/>
          <w:sz w:val="24"/>
        </w:rPr>
        <w:t>方式追究责任，</w:t>
      </w:r>
      <w:r>
        <w:rPr>
          <w:rFonts w:hint="eastAsia" w:ascii="华文仿宋" w:hAnsi="华文仿宋" w:eastAsia="华文仿宋" w:cs="宋体"/>
          <w:sz w:val="24"/>
        </w:rPr>
        <w:t>乙方承担所有责任，</w:t>
      </w:r>
      <w:r>
        <w:rPr>
          <w:rFonts w:ascii="华文仿宋" w:hAnsi="华文仿宋" w:eastAsia="华文仿宋" w:cs="宋体"/>
          <w:sz w:val="24"/>
        </w:rPr>
        <w:t>赔偿因甲方被第三方索赔所引起的</w:t>
      </w:r>
      <w:r>
        <w:rPr>
          <w:rFonts w:hint="eastAsia" w:ascii="华文仿宋" w:hAnsi="华文仿宋" w:eastAsia="华文仿宋" w:cs="宋体"/>
          <w:sz w:val="24"/>
        </w:rPr>
        <w:t>一切</w:t>
      </w:r>
      <w:r>
        <w:rPr>
          <w:rFonts w:ascii="华文仿宋" w:hAnsi="华文仿宋" w:eastAsia="华文仿宋" w:cs="宋体"/>
          <w:sz w:val="24"/>
        </w:rPr>
        <w:t>损失，包括但不限于甲方所支付的侵权损害赔偿费、律师费、诉讼费、仲裁费、</w:t>
      </w:r>
      <w:r>
        <w:rPr>
          <w:rFonts w:hint="eastAsia" w:ascii="华文仿宋" w:hAnsi="华文仿宋" w:eastAsia="华文仿宋" w:cs="宋体"/>
          <w:sz w:val="24"/>
        </w:rPr>
        <w:t>公证费、</w:t>
      </w:r>
      <w:r>
        <w:rPr>
          <w:rFonts w:ascii="华文仿宋" w:hAnsi="华文仿宋" w:eastAsia="华文仿宋" w:cs="宋体"/>
          <w:sz w:val="24"/>
        </w:rPr>
        <w:t>办案差旅费等因应诉、沟通协调所发</w:t>
      </w:r>
      <w:r>
        <w:rPr>
          <w:rFonts w:hint="eastAsia" w:ascii="华文仿宋" w:hAnsi="华文仿宋" w:eastAsia="华文仿宋" w:cs="宋体"/>
          <w:sz w:val="24"/>
        </w:rPr>
        <w:t>生</w:t>
      </w:r>
      <w:r>
        <w:rPr>
          <w:rFonts w:ascii="华文仿宋" w:hAnsi="华文仿宋" w:eastAsia="华文仿宋" w:cs="宋体"/>
          <w:sz w:val="24"/>
        </w:rPr>
        <w:t>的</w:t>
      </w:r>
      <w:r>
        <w:rPr>
          <w:rFonts w:hint="eastAsia" w:ascii="华文仿宋" w:hAnsi="华文仿宋" w:eastAsia="华文仿宋" w:cs="宋体"/>
          <w:sz w:val="24"/>
        </w:rPr>
        <w:t>一切</w:t>
      </w:r>
      <w:r>
        <w:rPr>
          <w:rFonts w:ascii="华文仿宋" w:hAnsi="华文仿宋" w:eastAsia="华文仿宋" w:cs="宋体"/>
          <w:sz w:val="24"/>
        </w:rPr>
        <w:t>费用</w:t>
      </w:r>
      <w:r>
        <w:rPr>
          <w:rFonts w:hint="eastAsia" w:ascii="华文仿宋" w:hAnsi="华文仿宋" w:eastAsia="华文仿宋" w:cs="宋体"/>
          <w:sz w:val="24"/>
        </w:rPr>
        <w:t>，并消除所有不良影响。</w:t>
      </w:r>
    </w:p>
    <w:p w14:paraId="5E48D932">
      <w:pPr>
        <w:widowControl w:val="0"/>
        <w:kinsoku/>
        <w:spacing w:before="156" w:beforeLines="50" w:after="156" w:afterLines="50" w:line="360" w:lineRule="auto"/>
        <w:jc w:val="both"/>
        <w:outlineLvl w:val="0"/>
        <w:rPr>
          <w:rFonts w:ascii="华文仿宋" w:hAnsi="华文仿宋" w:eastAsia="华文仿宋" w:cs="宋体"/>
          <w:b/>
          <w:snapToGrid/>
          <w:color w:val="auto"/>
          <w:sz w:val="28"/>
          <w:szCs w:val="28"/>
        </w:rPr>
      </w:pPr>
      <w:r>
        <w:rPr>
          <w:rFonts w:hint="eastAsia" w:ascii="华文仿宋" w:hAnsi="华文仿宋" w:eastAsia="华文仿宋" w:cs="宋体"/>
          <w:b/>
          <w:sz w:val="28"/>
          <w:szCs w:val="28"/>
        </w:rPr>
        <w:t>七、违约责任</w:t>
      </w:r>
    </w:p>
    <w:p w14:paraId="52898400">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合同生效后，合同双方应严格遵守合同条款，全面履行合同约定的义务，任何一方不得擅自变更或解除合同。任何一方无法履行本合同约定，或者履行本合同不符合约定的，视为违约。</w:t>
      </w:r>
    </w:p>
    <w:p w14:paraId="68EFA549">
      <w:pPr>
        <w:widowControl w:val="0"/>
        <w:kinsoku/>
        <w:spacing w:after="156" w:afterLines="50" w:line="360" w:lineRule="auto"/>
        <w:ind w:right="210"/>
        <w:jc w:val="both"/>
        <w:rPr>
          <w:rFonts w:ascii="华文仿宋" w:hAnsi="华文仿宋" w:eastAsia="华文仿宋" w:cs="宋体"/>
          <w:sz w:val="24"/>
        </w:rPr>
      </w:pPr>
      <w:bookmarkStart w:id="1" w:name="_Hlk181282477"/>
      <w:r>
        <w:rPr>
          <w:rFonts w:hint="eastAsia" w:ascii="华文仿宋" w:hAnsi="华文仿宋" w:eastAsia="华文仿宋" w:cs="宋体"/>
          <w:sz w:val="24"/>
        </w:rPr>
        <w:t>1</w:t>
      </w:r>
      <w:r>
        <w:rPr>
          <w:rFonts w:ascii="华文仿宋" w:hAnsi="华文仿宋" w:eastAsia="华文仿宋" w:cs="宋体"/>
          <w:sz w:val="24"/>
        </w:rPr>
        <w:t>.</w:t>
      </w:r>
      <w:r>
        <w:rPr>
          <w:rFonts w:hint="eastAsia" w:ascii="华文仿宋" w:hAnsi="华文仿宋" w:eastAsia="华文仿宋" w:cs="宋体"/>
          <w:sz w:val="24"/>
        </w:rPr>
        <w:t>如甲方逾期付款，应自合同约定付款日期起算，按合同金额的</w:t>
      </w:r>
      <w:r>
        <w:rPr>
          <w:rFonts w:ascii="华文仿宋" w:hAnsi="华文仿宋" w:eastAsia="华文仿宋" w:cs="宋体"/>
          <w:sz w:val="24"/>
        </w:rPr>
        <w:t>1</w:t>
      </w:r>
      <w:r>
        <w:rPr>
          <w:rFonts w:hint="eastAsia" w:ascii="华文仿宋" w:hAnsi="华文仿宋" w:eastAsia="华文仿宋" w:cs="宋体"/>
          <w:sz w:val="24"/>
        </w:rPr>
        <w:t>‰/天向乙方支付滞纳金；逾期超过2个月，乙方有权中止甲方使用权限，并要求甲方继续全额支付订购款。如遇寒暑假、财政资金未及时到位或财政指标相关调整等情况，支付时限相应顺延，顺延时间不计入逾期时间。</w:t>
      </w:r>
    </w:p>
    <w:p w14:paraId="43CAFBC8">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2.如乙方逾期交付数据库产品，应按合同金额</w:t>
      </w:r>
      <w:r>
        <w:rPr>
          <w:rFonts w:ascii="华文仿宋" w:hAnsi="华文仿宋" w:eastAsia="华文仿宋" w:cs="宋体"/>
          <w:sz w:val="24"/>
        </w:rPr>
        <w:t>1</w:t>
      </w:r>
      <w:r>
        <w:rPr>
          <w:rFonts w:hint="eastAsia" w:ascii="华文仿宋" w:hAnsi="华文仿宋" w:eastAsia="华文仿宋" w:cs="宋体"/>
          <w:sz w:val="24"/>
        </w:rPr>
        <w:t>‰/天向甲方支付违约金；逾期超过2个月，甲方有权拒付订购款，并要求终止合同。</w:t>
      </w:r>
    </w:p>
    <w:bookmarkEnd w:id="1"/>
    <w:p w14:paraId="0FAEACCF">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3.</w:t>
      </w:r>
      <w:r>
        <w:rPr>
          <w:rFonts w:ascii="华文仿宋" w:hAnsi="华文仿宋" w:eastAsia="华文仿宋" w:cs="宋体"/>
          <w:sz w:val="24"/>
        </w:rPr>
        <w:t xml:space="preserve"> </w:t>
      </w:r>
      <w:r>
        <w:rPr>
          <w:rFonts w:hint="eastAsia" w:ascii="华文仿宋" w:hAnsi="华文仿宋" w:eastAsia="华文仿宋" w:cs="宋体"/>
          <w:sz w:val="24"/>
        </w:rPr>
        <w:t>乙方保证其在本合同项下向甲方提供的服务及成果均合法、合规，且不侵犯任何第三方的合法权益，否则乙方应自行处理并承担由此产生的全部不利后果，甲方不对此承担任何责任；如乙方交付的产品存在知识产权问题导致甲方被第三方索赔的，甲方有权要求乙方赔偿经济损失，并要求乙方按合同金额的20%支付违约金，退还甲方已支付的全部款项，同时甲方有权解除本合同。</w:t>
      </w:r>
    </w:p>
    <w:p w14:paraId="2D8C3A42">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4.</w:t>
      </w:r>
      <w:r>
        <w:rPr>
          <w:rFonts w:hint="eastAsia" w:ascii="华文仿宋" w:hAnsi="华文仿宋" w:eastAsia="华文仿宋" w:cs="宋体"/>
          <w:sz w:val="24"/>
        </w:rPr>
        <w:t>乙方违反合同约定的其他义务或未按甲方要求完成提供售后服务的（除本合同另有约定外），经甲方催告后5日内仍拒不改正或改正后仍不符合要求的，乙方应向甲方支付合同总额20%的违约金，同时甲方有权解除本合同。</w:t>
      </w:r>
    </w:p>
    <w:p w14:paraId="239064CD">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5</w:t>
      </w:r>
      <w:r>
        <w:rPr>
          <w:rFonts w:hint="eastAsia" w:ascii="华文仿宋" w:hAnsi="华文仿宋" w:eastAsia="华文仿宋" w:cs="宋体"/>
          <w:sz w:val="24"/>
        </w:rPr>
        <w:t>.乙方违反本合同项下保证义务、违反保密或知识产权条款的，应按项向甲方支付合同总额20%的违约金，同时甲方有权解除本合同。</w:t>
      </w:r>
    </w:p>
    <w:p w14:paraId="38D7DB4A">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6.</w:t>
      </w:r>
      <w:r>
        <w:rPr>
          <w:rFonts w:hint="eastAsia" w:ascii="华文仿宋" w:hAnsi="华文仿宋" w:eastAsia="华文仿宋" w:cs="宋体"/>
          <w:sz w:val="24"/>
        </w:rPr>
        <w:t>甲乙双方如因违反国家法律法规和有关政府采购规定导致合同无效的，责任由过错方承担。</w:t>
      </w:r>
    </w:p>
    <w:p w14:paraId="0DDCAE20">
      <w:pPr>
        <w:widowControl w:val="0"/>
        <w:kinsoku/>
        <w:spacing w:after="156" w:afterLines="50" w:line="360" w:lineRule="auto"/>
        <w:ind w:right="210"/>
        <w:jc w:val="both"/>
        <w:rPr>
          <w:rFonts w:ascii="华文仿宋" w:hAnsi="华文仿宋" w:eastAsia="华文仿宋" w:cs="宋体"/>
          <w:snapToGrid/>
          <w:sz w:val="24"/>
        </w:rPr>
      </w:pPr>
      <w:r>
        <w:rPr>
          <w:rFonts w:ascii="华文仿宋" w:hAnsi="华文仿宋" w:eastAsia="华文仿宋" w:cs="宋体"/>
          <w:sz w:val="24"/>
        </w:rPr>
        <w:t>7.</w:t>
      </w:r>
      <w:r>
        <w:rPr>
          <w:rFonts w:hint="eastAsia" w:ascii="华文仿宋" w:hAnsi="华文仿宋" w:eastAsia="华文仿宋" w:cs="宋体"/>
          <w:sz w:val="24"/>
        </w:rPr>
        <w:t xml:space="preserve"> 除本合同另有约定外，甲乙双方任何一方无正当理由提前终止本合同，违约方向另一方支付合同总金额20%的违约金，赔偿因违约造成的全部损失，包括但不限于直接损失、维权费用、维权所支出的律师费等，同时退还尚未实际发生或尚未履行服务的合同费用。守约方有权无条件终止或解除本合同。</w:t>
      </w:r>
      <w:r>
        <w:rPr>
          <w:rFonts w:ascii="华文仿宋" w:hAnsi="华文仿宋" w:eastAsia="华文仿宋" w:cs="宋体"/>
          <w:sz w:val="24"/>
        </w:rPr>
        <w:t>如双方均有过失，根据实际情况，由双方分别承担</w:t>
      </w:r>
      <w:r>
        <w:rPr>
          <w:rFonts w:hint="eastAsia" w:ascii="华文仿宋" w:hAnsi="华文仿宋" w:eastAsia="华文仿宋" w:cs="宋体"/>
          <w:sz w:val="24"/>
        </w:rPr>
        <w:t>各自应负的违约责任并</w:t>
      </w:r>
      <w:r>
        <w:rPr>
          <w:rFonts w:ascii="华文仿宋" w:hAnsi="华文仿宋" w:eastAsia="华文仿宋" w:cs="宋体"/>
          <w:sz w:val="24"/>
        </w:rPr>
        <w:t>向对方赔偿实际损失，遇有不可抗力的情形除外。</w:t>
      </w:r>
    </w:p>
    <w:p w14:paraId="0993EA46">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8</w:t>
      </w:r>
      <w:r>
        <w:rPr>
          <w:rFonts w:hint="eastAsia" w:ascii="华文仿宋" w:hAnsi="华文仿宋" w:eastAsia="华文仿宋" w:cs="宋体"/>
          <w:sz w:val="24"/>
        </w:rPr>
        <w:t>.如遇有不可抗力的情形，导致合同一方无法部分或全部履行的，可以部分或全部免除违约责任。</w:t>
      </w:r>
    </w:p>
    <w:p w14:paraId="7D2810AD">
      <w:pPr>
        <w:widowControl w:val="0"/>
        <w:kinsoku/>
        <w:spacing w:before="156" w:beforeLines="50" w:after="156" w:afterLines="50" w:line="360" w:lineRule="auto"/>
        <w:jc w:val="both"/>
        <w:outlineLvl w:val="0"/>
        <w:rPr>
          <w:rFonts w:ascii="华文仿宋" w:hAnsi="华文仿宋" w:eastAsia="华文仿宋" w:cs="宋体"/>
          <w:b/>
          <w:snapToGrid/>
          <w:color w:val="auto"/>
          <w:sz w:val="28"/>
          <w:szCs w:val="28"/>
        </w:rPr>
      </w:pPr>
      <w:r>
        <w:rPr>
          <w:rFonts w:hint="eastAsia" w:ascii="华文仿宋" w:hAnsi="华文仿宋" w:eastAsia="华文仿宋" w:cs="宋体"/>
          <w:b/>
          <w:sz w:val="28"/>
          <w:szCs w:val="28"/>
        </w:rPr>
        <w:t>八、不可抗力</w:t>
      </w:r>
    </w:p>
    <w:p w14:paraId="74D24A95">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不可抗力是指本合同的双方或一方无法控制、无法预见或虽然可以预见但无法避免且在本合同签订之日后发生并使任何一方无法全部或部分履行本合同的任何事件。不可抗力包括但不限于罢工、爆炸、火灾、洪水、地震、飓风及/或其他自然灾害及战争、民众骚乱、故意破坏、征收、没收、政府主权行为、法律变化以及其他重大事件或突发事件的发生。</w:t>
      </w:r>
    </w:p>
    <w:p w14:paraId="3560A9B6">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w:t>
      </w:r>
      <w:r>
        <w:rPr>
          <w:rFonts w:hint="eastAsia" w:ascii="华文仿宋" w:hAnsi="华文仿宋" w:eastAsia="华文仿宋" w:cs="宋体"/>
          <w:sz w:val="24"/>
        </w:rPr>
        <w:t>如发生不可抗力，双方可依据不可抗力事件对合同履行的影响程度并通过协商决定是否修改或解除本合同。</w:t>
      </w:r>
    </w:p>
    <w:p w14:paraId="30D3D30C">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3.</w:t>
      </w:r>
      <w:r>
        <w:rPr>
          <w:rFonts w:hint="eastAsia" w:ascii="华文仿宋" w:hAnsi="华文仿宋" w:eastAsia="华文仿宋" w:cs="宋体"/>
          <w:sz w:val="24"/>
        </w:rPr>
        <w:t>因不可抗力因素导致的合同延迟履行或不能履行的，遇有不可抗力的一方不承担责任，但应在条件允许的情况下采取一切必要的补救措施，以减少因不可抗力造成的损失，否则须就损失扩大的部分承担赔偿责任。同时，遇有不可抗力的一方应在明确或预见事件可能发生7日内将不可抗力的情况以书面形式通知另一方，并且在事件发生后10日内向另一方提交相关部门关于不可抗力情况的证明文件。不可抗力持续时间超过30日，双方应通过友好协商在合理的时间内达成进一步变更合同或解除合同的书面协议。</w:t>
      </w:r>
    </w:p>
    <w:p w14:paraId="3357CB7A">
      <w:pPr>
        <w:widowControl w:val="0"/>
        <w:kinsoku/>
        <w:spacing w:before="156" w:beforeLines="50" w:after="156" w:afterLines="50" w:line="360" w:lineRule="auto"/>
        <w:jc w:val="both"/>
        <w:outlineLvl w:val="0"/>
        <w:rPr>
          <w:rFonts w:ascii="华文仿宋" w:hAnsi="华文仿宋" w:eastAsia="华文仿宋" w:cs="宋体"/>
          <w:b/>
          <w:snapToGrid/>
          <w:color w:val="auto"/>
          <w:sz w:val="28"/>
          <w:szCs w:val="28"/>
        </w:rPr>
      </w:pPr>
      <w:r>
        <w:rPr>
          <w:rFonts w:hint="eastAsia" w:ascii="华文仿宋" w:hAnsi="华文仿宋" w:eastAsia="华文仿宋" w:cs="宋体"/>
          <w:b/>
          <w:sz w:val="28"/>
          <w:szCs w:val="28"/>
        </w:rPr>
        <w:t>九、争议的解决</w:t>
      </w:r>
    </w:p>
    <w:p w14:paraId="5DFB0A00">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w:t>
      </w:r>
      <w:r>
        <w:rPr>
          <w:rFonts w:ascii="华文仿宋" w:hAnsi="华文仿宋" w:eastAsia="华文仿宋" w:cs="宋体"/>
          <w:sz w:val="24"/>
        </w:rPr>
        <w:t>.本合同的签订、解释受中华人民共和国现行有效的</w:t>
      </w:r>
      <w:r>
        <w:rPr>
          <w:rFonts w:hint="eastAsia" w:ascii="华文仿宋" w:hAnsi="华文仿宋" w:eastAsia="华文仿宋" w:cs="宋体"/>
          <w:sz w:val="24"/>
        </w:rPr>
        <w:t>法律法规</w:t>
      </w:r>
      <w:r>
        <w:rPr>
          <w:rFonts w:ascii="华文仿宋" w:hAnsi="华文仿宋" w:eastAsia="华文仿宋" w:cs="宋体"/>
          <w:sz w:val="24"/>
        </w:rPr>
        <w:t>、规范性文件等约束。</w:t>
      </w:r>
    </w:p>
    <w:p w14:paraId="55229FA7">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w:t>
      </w:r>
      <w:r>
        <w:rPr>
          <w:rFonts w:hint="eastAsia" w:ascii="华文仿宋" w:hAnsi="华文仿宋" w:eastAsia="华文仿宋" w:cs="宋体"/>
          <w:sz w:val="24"/>
        </w:rPr>
        <w:t>本合同履行过程中发生的任何争议，甲乙应通过友好协商，协调解决。如协商解决不成，双方约定选择下列第</w:t>
      </w:r>
      <w:r>
        <w:rPr>
          <w:rFonts w:hint="eastAsia" w:ascii="华文仿宋" w:hAnsi="华文仿宋" w:eastAsia="华文仿宋" w:cs="宋体"/>
          <w:sz w:val="24"/>
          <w:u w:val="single"/>
        </w:rPr>
        <w:t>（2）</w:t>
      </w:r>
      <w:r>
        <w:rPr>
          <w:rFonts w:hint="eastAsia" w:ascii="华文仿宋" w:hAnsi="华文仿宋" w:eastAsia="华文仿宋" w:cs="宋体"/>
          <w:sz w:val="24"/>
        </w:rPr>
        <w:t>种方式解决：</w:t>
      </w:r>
    </w:p>
    <w:p w14:paraId="563459BC">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（1）将争议提交海南仲裁委员会依申请仲裁时其现行有效的仲裁规则裁决；</w:t>
      </w:r>
    </w:p>
    <w:p w14:paraId="5836BEEE">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（2）向</w:t>
      </w:r>
      <w:r>
        <w:rPr>
          <w:rFonts w:hint="eastAsia" w:ascii="华文仿宋" w:hAnsi="华文仿宋" w:eastAsia="华文仿宋" w:cs="宋体"/>
          <w:sz w:val="24"/>
          <w:u w:val="single"/>
        </w:rPr>
        <w:t>甲方所在地</w:t>
      </w:r>
      <w:r>
        <w:rPr>
          <w:rFonts w:hint="eastAsia" w:ascii="华文仿宋" w:hAnsi="华文仿宋" w:eastAsia="华文仿宋" w:cs="宋体"/>
          <w:sz w:val="24"/>
        </w:rPr>
        <w:t>人民法院起诉。</w:t>
      </w:r>
    </w:p>
    <w:p w14:paraId="6E24CF45">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3</w:t>
      </w:r>
      <w:r>
        <w:rPr>
          <w:rFonts w:ascii="华文仿宋" w:hAnsi="华文仿宋" w:eastAsia="华文仿宋" w:cs="宋体"/>
          <w:sz w:val="24"/>
        </w:rPr>
        <w:t>.协商、调解或仲裁期间，除</w:t>
      </w:r>
      <w:r>
        <w:rPr>
          <w:rFonts w:hint="eastAsia" w:ascii="华文仿宋" w:hAnsi="华文仿宋" w:eastAsia="华文仿宋" w:cs="宋体"/>
          <w:sz w:val="24"/>
        </w:rPr>
        <w:t>有</w:t>
      </w:r>
      <w:r>
        <w:rPr>
          <w:rFonts w:ascii="华文仿宋" w:hAnsi="华文仿宋" w:eastAsia="华文仿宋" w:cs="宋体"/>
          <w:sz w:val="24"/>
        </w:rPr>
        <w:t>争议</w:t>
      </w:r>
      <w:r>
        <w:rPr>
          <w:rFonts w:hint="eastAsia" w:ascii="华文仿宋" w:hAnsi="华文仿宋" w:eastAsia="华文仿宋" w:cs="宋体"/>
          <w:sz w:val="24"/>
        </w:rPr>
        <w:t>的事项</w:t>
      </w:r>
      <w:r>
        <w:rPr>
          <w:rFonts w:ascii="华文仿宋" w:hAnsi="华文仿宋" w:eastAsia="华文仿宋" w:cs="宋体"/>
          <w:sz w:val="24"/>
        </w:rPr>
        <w:t>外，</w:t>
      </w:r>
      <w:r>
        <w:rPr>
          <w:rFonts w:hint="eastAsia" w:ascii="华文仿宋" w:hAnsi="华文仿宋" w:eastAsia="华文仿宋" w:cs="宋体"/>
          <w:sz w:val="24"/>
        </w:rPr>
        <w:t>本合同其他条款应继续履行</w:t>
      </w:r>
      <w:r>
        <w:rPr>
          <w:rFonts w:ascii="华文仿宋" w:hAnsi="华文仿宋" w:eastAsia="华文仿宋" w:cs="宋体"/>
          <w:sz w:val="24"/>
        </w:rPr>
        <w:t>。</w:t>
      </w:r>
    </w:p>
    <w:p w14:paraId="6FD283E1">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十、</w:t>
      </w:r>
      <w:r>
        <w:rPr>
          <w:rFonts w:ascii="华文仿宋" w:hAnsi="华文仿宋" w:eastAsia="华文仿宋" w:cs="宋体"/>
          <w:b/>
          <w:sz w:val="28"/>
          <w:szCs w:val="28"/>
        </w:rPr>
        <w:t>保密条款</w:t>
      </w:r>
    </w:p>
    <w:p w14:paraId="665F3E99">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1</w:t>
      </w:r>
      <w:r>
        <w:rPr>
          <w:rFonts w:ascii="华文仿宋" w:hAnsi="华文仿宋" w:eastAsia="华文仿宋" w:cs="宋体"/>
          <w:sz w:val="24"/>
        </w:rPr>
        <w:t>.乙方遵守国家的经济、技术工作保密规定和甲方的保密工作条例，对标的技术实施期间在甲方了解的各种情况、获取的全部信息资料严格保密，不得泄露。对甲方有特殊保密要求的资料或要求特定人员接触的情况，如果乙方不具备相关条件，则提出具体的技术要求，委托甲方办理。</w:t>
      </w:r>
    </w:p>
    <w:p w14:paraId="044FE423">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.甲乙双方</w:t>
      </w:r>
      <w:r>
        <w:rPr>
          <w:rFonts w:hint="eastAsia" w:ascii="华文仿宋" w:hAnsi="华文仿宋" w:eastAsia="华文仿宋" w:cs="宋体"/>
          <w:sz w:val="24"/>
        </w:rPr>
        <w:t>应当对本</w:t>
      </w:r>
      <w:r>
        <w:rPr>
          <w:rFonts w:ascii="华文仿宋" w:hAnsi="华文仿宋" w:eastAsia="华文仿宋" w:cs="宋体"/>
          <w:sz w:val="24"/>
        </w:rPr>
        <w:t>合同内容保密，不透露给任何第三方，如有违约应承担相应的法律责任及赔偿责任。</w:t>
      </w:r>
    </w:p>
    <w:p w14:paraId="54545CF0">
      <w:pPr>
        <w:widowControl w:val="0"/>
        <w:kinsoku/>
        <w:spacing w:before="156" w:beforeLines="50" w:after="156" w:afterLines="50" w:line="360" w:lineRule="auto"/>
        <w:jc w:val="both"/>
        <w:outlineLvl w:val="0"/>
        <w:rPr>
          <w:rFonts w:ascii="华文仿宋" w:hAnsi="华文仿宋" w:eastAsia="华文仿宋" w:cs="宋体"/>
          <w:b/>
          <w:snapToGrid/>
          <w:color w:val="auto"/>
          <w:sz w:val="28"/>
          <w:szCs w:val="28"/>
        </w:rPr>
      </w:pPr>
      <w:r>
        <w:rPr>
          <w:rFonts w:hint="eastAsia" w:ascii="华文仿宋" w:hAnsi="华文仿宋" w:eastAsia="华文仿宋" w:cs="宋体"/>
          <w:b/>
          <w:sz w:val="28"/>
          <w:szCs w:val="28"/>
        </w:rPr>
        <w:t>十一、其他约定</w:t>
      </w:r>
    </w:p>
    <w:p w14:paraId="53BD1A93">
      <w:pPr>
        <w:widowControl w:val="0"/>
        <w:kinsoku/>
        <w:spacing w:after="156" w:afterLines="50" w:line="360" w:lineRule="auto"/>
        <w:ind w:right="210"/>
        <w:jc w:val="both"/>
        <w:rPr>
          <w:rFonts w:ascii="华文仿宋" w:hAnsi="华文仿宋" w:eastAsia="华文仿宋" w:cs="宋体"/>
          <w:sz w:val="24"/>
        </w:rPr>
      </w:pPr>
      <w:r>
        <w:rPr>
          <w:rFonts w:ascii="华文仿宋" w:hAnsi="华文仿宋" w:eastAsia="华文仿宋" w:cs="宋体"/>
          <w:sz w:val="24"/>
        </w:rPr>
        <w:t>1.</w:t>
      </w:r>
      <w:r>
        <w:rPr>
          <w:rFonts w:hint="eastAsia" w:ascii="华文仿宋" w:hAnsi="华文仿宋" w:eastAsia="华文仿宋" w:cs="宋体"/>
          <w:sz w:val="24"/>
        </w:rPr>
        <w:t>本合同未尽事宜，</w:t>
      </w:r>
      <w:r>
        <w:rPr>
          <w:rFonts w:ascii="华文仿宋" w:hAnsi="华文仿宋" w:eastAsia="华文仿宋" w:cs="宋体"/>
          <w:sz w:val="24"/>
        </w:rPr>
        <w:t>经双方协商一致后</w:t>
      </w:r>
      <w:r>
        <w:rPr>
          <w:rFonts w:hint="eastAsia" w:ascii="华文仿宋" w:hAnsi="华文仿宋" w:eastAsia="华文仿宋" w:cs="宋体"/>
          <w:sz w:val="24"/>
        </w:rPr>
        <w:t>，可以增加条款或补充协议的形式进行补充，但增加或补充协议的条款不得对本合同约定的内容作实质性修改。补充协议与本合同具有相同的法律效力。</w:t>
      </w:r>
      <w:r>
        <w:rPr>
          <w:rFonts w:ascii="华文仿宋" w:hAnsi="华文仿宋" w:eastAsia="华文仿宋" w:cs="宋体"/>
          <w:sz w:val="24"/>
        </w:rPr>
        <w:t>招标文件、投标文件具有同等的法律效力。最终解释权在甲方。</w:t>
      </w:r>
    </w:p>
    <w:p w14:paraId="1AE90A79">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2.本合同经甲乙双方及采购代理机构三方签字、盖章后生效。</w:t>
      </w:r>
    </w:p>
    <w:p w14:paraId="4B23AE3D">
      <w:pPr>
        <w:widowControl w:val="0"/>
        <w:kinsoku/>
        <w:spacing w:after="156" w:afterLines="50" w:line="360" w:lineRule="auto"/>
        <w:ind w:right="210"/>
        <w:jc w:val="both"/>
        <w:rPr>
          <w:rFonts w:ascii="华文仿宋" w:hAnsi="华文仿宋" w:eastAsia="华文仿宋" w:cs="宋体"/>
          <w:sz w:val="24"/>
        </w:rPr>
      </w:pPr>
      <w:r>
        <w:rPr>
          <w:rFonts w:hint="eastAsia" w:ascii="华文仿宋" w:hAnsi="华文仿宋" w:eastAsia="华文仿宋" w:cs="宋体"/>
          <w:sz w:val="24"/>
        </w:rPr>
        <w:t>3.合同一式</w:t>
      </w:r>
      <w:r>
        <w:rPr>
          <w:rFonts w:hint="eastAsia" w:ascii="华文仿宋" w:hAnsi="华文仿宋" w:eastAsia="华文仿宋" w:cs="宋体"/>
          <w:b/>
          <w:bCs/>
          <w:sz w:val="24"/>
          <w:u w:val="single"/>
        </w:rPr>
        <w:t>玖</w:t>
      </w:r>
      <w:r>
        <w:rPr>
          <w:rFonts w:hint="eastAsia" w:ascii="华文仿宋" w:hAnsi="华文仿宋" w:eastAsia="华文仿宋" w:cs="宋体"/>
          <w:sz w:val="24"/>
        </w:rPr>
        <w:t>份，甲方执</w:t>
      </w:r>
      <w:r>
        <w:rPr>
          <w:rFonts w:hint="eastAsia" w:ascii="华文仿宋" w:hAnsi="华文仿宋" w:eastAsia="华文仿宋" w:cs="宋体"/>
          <w:b/>
          <w:bCs/>
          <w:sz w:val="24"/>
          <w:u w:val="single"/>
        </w:rPr>
        <w:t>伍</w:t>
      </w:r>
      <w:r>
        <w:rPr>
          <w:rFonts w:hint="eastAsia" w:ascii="华文仿宋" w:hAnsi="华文仿宋" w:eastAsia="华文仿宋" w:cs="宋体"/>
          <w:sz w:val="24"/>
        </w:rPr>
        <w:t>份、乙方执</w:t>
      </w:r>
      <w:r>
        <w:rPr>
          <w:rFonts w:hint="eastAsia" w:ascii="华文仿宋" w:hAnsi="华文仿宋" w:eastAsia="华文仿宋" w:cs="宋体"/>
          <w:b/>
          <w:bCs/>
          <w:sz w:val="24"/>
          <w:u w:val="single"/>
        </w:rPr>
        <w:t>贰</w:t>
      </w:r>
      <w:r>
        <w:rPr>
          <w:rFonts w:hint="eastAsia" w:ascii="华文仿宋" w:hAnsi="华文仿宋" w:eastAsia="华文仿宋" w:cs="宋体"/>
          <w:sz w:val="24"/>
        </w:rPr>
        <w:t>份、招标机构及财政采购监管部门各执</w:t>
      </w:r>
      <w:r>
        <w:rPr>
          <w:rFonts w:hint="eastAsia" w:ascii="华文仿宋" w:hAnsi="华文仿宋" w:eastAsia="华文仿宋" w:cs="宋体"/>
          <w:b/>
          <w:bCs/>
          <w:sz w:val="24"/>
          <w:u w:val="single"/>
        </w:rPr>
        <w:t>壹</w:t>
      </w:r>
      <w:r>
        <w:rPr>
          <w:rFonts w:hint="eastAsia" w:ascii="华文仿宋" w:hAnsi="华文仿宋" w:eastAsia="华文仿宋" w:cs="宋体"/>
          <w:sz w:val="24"/>
        </w:rPr>
        <w:t>份，具有同等法律效力。</w:t>
      </w:r>
    </w:p>
    <w:p w14:paraId="2D90B9EA">
      <w:pPr>
        <w:widowControl w:val="0"/>
        <w:kinsoku/>
        <w:spacing w:before="156" w:beforeLines="50" w:after="156" w:afterLines="50" w:line="360" w:lineRule="auto"/>
        <w:jc w:val="both"/>
        <w:outlineLvl w:val="0"/>
        <w:rPr>
          <w:rFonts w:ascii="华文仿宋" w:hAnsi="华文仿宋" w:eastAsia="华文仿宋" w:cs="宋体"/>
          <w:b/>
          <w:sz w:val="28"/>
          <w:szCs w:val="28"/>
        </w:rPr>
      </w:pPr>
      <w:r>
        <w:rPr>
          <w:rFonts w:hint="eastAsia" w:ascii="华文仿宋" w:hAnsi="华文仿宋" w:eastAsia="华文仿宋" w:cs="宋体"/>
          <w:b/>
          <w:sz w:val="28"/>
          <w:szCs w:val="28"/>
        </w:rPr>
        <w:t>十二、合同文件</w:t>
      </w:r>
    </w:p>
    <w:p w14:paraId="01C6A57D">
      <w:pPr>
        <w:widowControl w:val="0"/>
        <w:kinsoku/>
        <w:spacing w:after="156" w:afterLines="50" w:line="360" w:lineRule="auto"/>
        <w:ind w:right="210" w:firstLine="480" w:firstLineChars="200"/>
        <w:jc w:val="both"/>
        <w:rPr>
          <w:rFonts w:ascii="华文仿宋" w:hAnsi="华文仿宋" w:eastAsia="华文仿宋" w:cs="宋体"/>
          <w:sz w:val="24"/>
        </w:rPr>
      </w:pPr>
      <w:r>
        <w:rPr>
          <w:rFonts w:hint="eastAsia" w:ascii="华文仿宋" w:hAnsi="华文仿宋" w:eastAsia="华文仿宋" w:cs="宋体"/>
          <w:sz w:val="24"/>
        </w:rPr>
        <w:t>本合同所附下列文件是构成本合同不可分割的部分：</w:t>
      </w:r>
    </w:p>
    <w:p w14:paraId="06A559D9">
      <w:pPr>
        <w:widowControl w:val="0"/>
        <w:kinsoku/>
        <w:spacing w:after="156" w:afterLines="50" w:line="360" w:lineRule="auto"/>
        <w:ind w:right="210" w:rightChars="100"/>
        <w:jc w:val="both"/>
        <w:rPr>
          <w:rFonts w:ascii="华文仿宋" w:hAnsi="华文仿宋" w:eastAsia="华文仿宋" w:cs="宋体"/>
          <w:sz w:val="24"/>
        </w:rPr>
      </w:pPr>
      <w:r>
        <w:rPr>
          <w:rFonts w:hint="eastAsia" w:ascii="华文仿宋" w:hAnsi="华文仿宋" w:eastAsia="华文仿宋" w:cs="宋体"/>
          <w:sz w:val="24"/>
        </w:rPr>
        <w:t>1</w:t>
      </w:r>
      <w:r>
        <w:rPr>
          <w:rFonts w:ascii="华文仿宋" w:hAnsi="华文仿宋" w:eastAsia="华文仿宋" w:cs="宋体"/>
          <w:sz w:val="24"/>
        </w:rPr>
        <w:t>.</w:t>
      </w:r>
      <w:r>
        <w:rPr>
          <w:rFonts w:hint="eastAsia" w:ascii="华文仿宋" w:hAnsi="华文仿宋" w:eastAsia="华文仿宋" w:cs="宋体"/>
          <w:sz w:val="24"/>
        </w:rPr>
        <w:t>《</w:t>
      </w:r>
      <w:r>
        <w:rPr>
          <w:rFonts w:hint="eastAsia" w:ascii="华文仿宋" w:hAnsi="华文仿宋" w:eastAsia="华文仿宋" w:cs="宋体"/>
          <w:sz w:val="24"/>
          <w:u w:val="single"/>
        </w:rPr>
        <w:t xml:space="preserve"> </w:t>
      </w:r>
      <w:bookmarkStart w:id="2" w:name="_GoBack"/>
      <w:r>
        <w:rPr>
          <w:rFonts w:hint="eastAsia" w:ascii="华文仿宋" w:hAnsi="华文仿宋" w:eastAsia="华文仿宋" w:cs="宋体"/>
          <w:b/>
          <w:bCs/>
          <w:sz w:val="24"/>
          <w:u w:val="single"/>
        </w:rPr>
        <w:t>Elsevier ScienceDirect数据库DRAA集团采购方案（</w:t>
      </w:r>
      <w:r>
        <w:rPr>
          <w:rFonts w:ascii="华文仿宋" w:hAnsi="华文仿宋" w:eastAsia="华文仿宋" w:cs="宋体"/>
          <w:b/>
          <w:bCs/>
          <w:sz w:val="24"/>
          <w:u w:val="single"/>
        </w:rPr>
        <w:t>20</w:t>
      </w:r>
      <w:r>
        <w:rPr>
          <w:rFonts w:hint="eastAsia" w:ascii="华文仿宋" w:hAnsi="华文仿宋" w:eastAsia="华文仿宋" w:cs="宋体"/>
          <w:b/>
          <w:bCs/>
          <w:sz w:val="24"/>
          <w:u w:val="single"/>
          <w:lang w:val="en-US" w:eastAsia="zh-CN"/>
        </w:rPr>
        <w:t>25</w:t>
      </w:r>
      <w:r>
        <w:rPr>
          <w:rFonts w:ascii="华文仿宋" w:hAnsi="华文仿宋" w:eastAsia="华文仿宋" w:cs="宋体"/>
          <w:b/>
          <w:bCs/>
          <w:sz w:val="24"/>
          <w:u w:val="single"/>
        </w:rPr>
        <w:t>.</w:t>
      </w:r>
      <w:r>
        <w:rPr>
          <w:rFonts w:hint="eastAsia" w:ascii="华文仿宋" w:hAnsi="华文仿宋" w:eastAsia="华文仿宋" w:cs="宋体"/>
          <w:b/>
          <w:bCs/>
          <w:sz w:val="24"/>
          <w:u w:val="single"/>
          <w:lang w:val="en-US" w:eastAsia="zh-CN"/>
        </w:rPr>
        <w:t>1</w:t>
      </w:r>
      <w:r>
        <w:rPr>
          <w:rFonts w:ascii="华文仿宋" w:hAnsi="华文仿宋" w:eastAsia="华文仿宋" w:cs="宋体"/>
          <w:b/>
          <w:bCs/>
          <w:sz w:val="24"/>
          <w:u w:val="single"/>
        </w:rPr>
        <w:t>.</w:t>
      </w:r>
      <w:r>
        <w:rPr>
          <w:rFonts w:hint="eastAsia" w:ascii="华文仿宋" w:hAnsi="华文仿宋" w:eastAsia="华文仿宋" w:cs="宋体"/>
          <w:b/>
          <w:bCs/>
          <w:sz w:val="24"/>
          <w:u w:val="single"/>
          <w:lang w:val="en-US" w:eastAsia="zh-CN"/>
        </w:rPr>
        <w:t>1</w:t>
      </w:r>
      <w:r>
        <w:rPr>
          <w:rFonts w:ascii="华文仿宋" w:hAnsi="华文仿宋" w:eastAsia="华文仿宋" w:cs="宋体"/>
          <w:b/>
          <w:bCs/>
          <w:sz w:val="24"/>
          <w:u w:val="single"/>
        </w:rPr>
        <w:t>-20</w:t>
      </w:r>
      <w:r>
        <w:rPr>
          <w:rFonts w:hint="eastAsia" w:ascii="华文仿宋" w:hAnsi="华文仿宋" w:eastAsia="华文仿宋" w:cs="宋体"/>
          <w:b/>
          <w:bCs/>
          <w:sz w:val="24"/>
          <w:u w:val="single"/>
          <w:lang w:val="en-US" w:eastAsia="zh-CN"/>
        </w:rPr>
        <w:t>27</w:t>
      </w:r>
      <w:r>
        <w:rPr>
          <w:rFonts w:ascii="华文仿宋" w:hAnsi="华文仿宋" w:eastAsia="华文仿宋" w:cs="宋体"/>
          <w:b/>
          <w:bCs/>
          <w:sz w:val="24"/>
          <w:u w:val="single"/>
        </w:rPr>
        <w:t>.</w:t>
      </w:r>
      <w:r>
        <w:rPr>
          <w:rFonts w:hint="eastAsia" w:ascii="华文仿宋" w:hAnsi="华文仿宋" w:eastAsia="华文仿宋" w:cs="宋体"/>
          <w:b/>
          <w:bCs/>
          <w:sz w:val="24"/>
          <w:u w:val="single"/>
          <w:lang w:val="en-US" w:eastAsia="zh-CN"/>
        </w:rPr>
        <w:t>12</w:t>
      </w:r>
      <w:r>
        <w:rPr>
          <w:rFonts w:ascii="华文仿宋" w:hAnsi="华文仿宋" w:eastAsia="华文仿宋" w:cs="宋体"/>
          <w:b/>
          <w:bCs/>
          <w:sz w:val="24"/>
          <w:u w:val="single"/>
        </w:rPr>
        <w:t>.</w:t>
      </w:r>
      <w:r>
        <w:rPr>
          <w:rFonts w:hint="eastAsia" w:ascii="华文仿宋" w:hAnsi="华文仿宋" w:eastAsia="华文仿宋" w:cs="宋体"/>
          <w:b/>
          <w:bCs/>
          <w:sz w:val="24"/>
          <w:u w:val="single"/>
          <w:lang w:val="en-US" w:eastAsia="zh-CN"/>
        </w:rPr>
        <w:t>31</w:t>
      </w:r>
      <w:r>
        <w:rPr>
          <w:rFonts w:hint="eastAsia" w:ascii="华文仿宋" w:hAnsi="华文仿宋" w:eastAsia="华文仿宋" w:cs="宋体"/>
          <w:b/>
          <w:bCs/>
          <w:sz w:val="24"/>
          <w:u w:val="single"/>
        </w:rPr>
        <w:t>）</w:t>
      </w:r>
      <w:bookmarkEnd w:id="2"/>
      <w:r>
        <w:rPr>
          <w:rFonts w:hint="eastAsia" w:ascii="华文仿宋" w:hAnsi="华文仿宋" w:eastAsia="华文仿宋" w:cs="宋体"/>
          <w:sz w:val="24"/>
        </w:rPr>
        <w:t>》（可在“DRAA高校图书馆数字资源采购联盟”网站下载）（仅限外文数据库提供）</w:t>
      </w:r>
    </w:p>
    <w:p w14:paraId="26D563FC">
      <w:pPr>
        <w:widowControl w:val="0"/>
        <w:kinsoku/>
        <w:spacing w:after="156" w:afterLines="50" w:line="360" w:lineRule="auto"/>
        <w:ind w:right="210" w:rightChars="100"/>
        <w:jc w:val="both"/>
        <w:rPr>
          <w:rFonts w:ascii="华文仿宋" w:hAnsi="华文仿宋" w:eastAsia="华文仿宋" w:cs="宋体"/>
          <w:sz w:val="24"/>
        </w:rPr>
      </w:pPr>
      <w:r>
        <w:rPr>
          <w:rFonts w:hint="eastAsia" w:ascii="华文仿宋" w:hAnsi="华文仿宋" w:eastAsia="华文仿宋" w:cs="宋体"/>
          <w:sz w:val="24"/>
        </w:rPr>
        <w:t>2</w:t>
      </w:r>
      <w:r>
        <w:rPr>
          <w:rFonts w:ascii="华文仿宋" w:hAnsi="华文仿宋" w:eastAsia="华文仿宋" w:cs="宋体"/>
          <w:sz w:val="24"/>
        </w:rPr>
        <w:t>.</w:t>
      </w:r>
      <w:r>
        <w:rPr>
          <w:rFonts w:hint="eastAsia" w:ascii="华文仿宋" w:hAnsi="华文仿宋" w:eastAsia="华文仿宋" w:cs="宋体"/>
          <w:sz w:val="24"/>
        </w:rPr>
        <w:t>投标人提交的投标函和投标报价表</w:t>
      </w:r>
    </w:p>
    <w:p w14:paraId="7A2F20F3">
      <w:pPr>
        <w:widowControl w:val="0"/>
        <w:kinsoku/>
        <w:spacing w:after="156" w:afterLines="50" w:line="360" w:lineRule="auto"/>
        <w:ind w:right="210" w:rightChars="100"/>
        <w:jc w:val="both"/>
        <w:rPr>
          <w:rFonts w:ascii="华文仿宋" w:hAnsi="华文仿宋" w:eastAsia="华文仿宋" w:cs="宋体"/>
          <w:sz w:val="24"/>
        </w:rPr>
      </w:pPr>
      <w:r>
        <w:rPr>
          <w:rFonts w:hint="eastAsia" w:ascii="华文仿宋" w:hAnsi="华文仿宋" w:eastAsia="华文仿宋" w:cs="宋体"/>
          <w:sz w:val="24"/>
        </w:rPr>
        <w:t>3</w:t>
      </w:r>
      <w:r>
        <w:rPr>
          <w:rFonts w:ascii="华文仿宋" w:hAnsi="华文仿宋" w:eastAsia="华文仿宋" w:cs="宋体"/>
          <w:sz w:val="24"/>
        </w:rPr>
        <w:t>.</w:t>
      </w:r>
      <w:r>
        <w:rPr>
          <w:rFonts w:hint="eastAsia" w:ascii="华文仿宋" w:hAnsi="华文仿宋" w:eastAsia="华文仿宋" w:cs="宋体"/>
          <w:sz w:val="24"/>
        </w:rPr>
        <w:t>招标采购需求响应表</w:t>
      </w:r>
    </w:p>
    <w:p w14:paraId="3C1C1E6D">
      <w:pPr>
        <w:widowControl w:val="0"/>
        <w:kinsoku/>
        <w:spacing w:after="156" w:afterLines="50" w:line="360" w:lineRule="auto"/>
        <w:ind w:right="210" w:rightChars="100"/>
        <w:jc w:val="both"/>
        <w:rPr>
          <w:rFonts w:ascii="华文仿宋" w:hAnsi="华文仿宋" w:eastAsia="华文仿宋" w:cs="宋体"/>
          <w:sz w:val="24"/>
        </w:rPr>
      </w:pPr>
      <w:r>
        <w:rPr>
          <w:rFonts w:hint="eastAsia" w:ascii="华文仿宋" w:hAnsi="华文仿宋" w:eastAsia="华文仿宋" w:cs="宋体"/>
          <w:sz w:val="24"/>
        </w:rPr>
        <w:t>4</w:t>
      </w:r>
      <w:r>
        <w:rPr>
          <w:rFonts w:ascii="华文仿宋" w:hAnsi="华文仿宋" w:eastAsia="华文仿宋" w:cs="宋体"/>
          <w:sz w:val="24"/>
        </w:rPr>
        <w:t>.</w:t>
      </w:r>
      <w:r>
        <w:rPr>
          <w:rFonts w:hint="eastAsia" w:ascii="华文仿宋" w:hAnsi="华文仿宋" w:eastAsia="华文仿宋" w:cs="宋体"/>
          <w:sz w:val="24"/>
        </w:rPr>
        <w:t>中标通知书及其他附件</w:t>
      </w:r>
    </w:p>
    <w:p w14:paraId="0E9754D8">
      <w:pPr>
        <w:widowControl w:val="0"/>
        <w:kinsoku/>
        <w:spacing w:after="156" w:afterLines="50" w:line="360" w:lineRule="auto"/>
        <w:ind w:right="210" w:rightChars="100"/>
        <w:jc w:val="both"/>
        <w:rPr>
          <w:rFonts w:ascii="华文仿宋" w:hAnsi="华文仿宋" w:eastAsia="华文仿宋" w:cs="宋体"/>
          <w:sz w:val="24"/>
        </w:rPr>
      </w:pPr>
      <w:r>
        <w:rPr>
          <w:rFonts w:hint="eastAsia" w:ascii="华文仿宋" w:hAnsi="华文仿宋" w:eastAsia="华文仿宋" w:cs="宋体"/>
          <w:sz w:val="24"/>
        </w:rPr>
        <w:t>5</w:t>
      </w:r>
      <w:r>
        <w:rPr>
          <w:rFonts w:ascii="华文仿宋" w:hAnsi="华文仿宋" w:eastAsia="华文仿宋" w:cs="宋体"/>
          <w:sz w:val="24"/>
        </w:rPr>
        <w:t>.</w:t>
      </w:r>
      <w:r>
        <w:rPr>
          <w:rFonts w:hint="eastAsia" w:ascii="华文仿宋" w:hAnsi="华文仿宋" w:eastAsia="华文仿宋" w:cs="宋体"/>
          <w:sz w:val="24"/>
        </w:rPr>
        <w:t>中标人的投标文件及评标过程中有关澄清文件（如有）</w:t>
      </w:r>
    </w:p>
    <w:p w14:paraId="7C8FA901">
      <w:pPr>
        <w:widowControl w:val="0"/>
        <w:kinsoku/>
        <w:spacing w:after="156" w:afterLines="50" w:line="360" w:lineRule="auto"/>
        <w:ind w:right="210" w:rightChars="100"/>
        <w:jc w:val="both"/>
        <w:rPr>
          <w:rFonts w:ascii="华文仿宋" w:hAnsi="华文仿宋" w:eastAsia="华文仿宋" w:cs="宋体"/>
          <w:sz w:val="24"/>
        </w:rPr>
      </w:pPr>
      <w:r>
        <w:rPr>
          <w:rFonts w:ascii="华文仿宋" w:hAnsi="华文仿宋" w:eastAsia="华文仿宋" w:cs="宋体"/>
          <w:sz w:val="24"/>
        </w:rPr>
        <w:t>6.</w:t>
      </w:r>
      <w:r>
        <w:rPr>
          <w:rFonts w:hint="eastAsia" w:ascii="华文仿宋" w:hAnsi="华文仿宋" w:eastAsia="华文仿宋" w:cs="宋体"/>
          <w:bCs/>
          <w:color w:val="auto"/>
          <w:sz w:val="24"/>
          <w:szCs w:val="24"/>
        </w:rPr>
        <w:t>履约保证金交付凭证</w:t>
      </w:r>
    </w:p>
    <w:p w14:paraId="236E7B9A">
      <w:pPr>
        <w:widowControl w:val="0"/>
        <w:kinsoku/>
        <w:spacing w:after="156" w:afterLines="50" w:line="360" w:lineRule="auto"/>
        <w:ind w:right="210" w:rightChars="100"/>
        <w:jc w:val="both"/>
        <w:rPr>
          <w:rFonts w:ascii="华文仿宋" w:hAnsi="华文仿宋" w:eastAsia="华文仿宋" w:cs="宋体"/>
          <w:sz w:val="24"/>
        </w:rPr>
      </w:pPr>
      <w:r>
        <w:rPr>
          <w:rFonts w:ascii="华文仿宋" w:hAnsi="华文仿宋" w:eastAsia="华文仿宋" w:cs="宋体"/>
          <w:sz w:val="24"/>
        </w:rPr>
        <w:t>7.</w:t>
      </w:r>
      <w:r>
        <w:rPr>
          <w:rFonts w:hint="eastAsia" w:ascii="华文仿宋" w:hAnsi="华文仿宋" w:eastAsia="华文仿宋" w:cs="宋体"/>
          <w:sz w:val="24"/>
        </w:rPr>
        <w:t>廉洁责任书</w:t>
      </w:r>
    </w:p>
    <w:p w14:paraId="265865E3">
      <w:pPr>
        <w:widowControl w:val="0"/>
        <w:kinsoku/>
        <w:spacing w:after="156" w:afterLines="50" w:line="360" w:lineRule="auto"/>
        <w:ind w:right="210" w:rightChars="100"/>
        <w:rPr>
          <w:rFonts w:ascii="华文仿宋" w:hAnsi="华文仿宋" w:eastAsia="华文仿宋" w:cs="宋体"/>
          <w:b/>
          <w:bCs/>
          <w:sz w:val="24"/>
        </w:rPr>
      </w:pPr>
      <w:r>
        <w:rPr>
          <w:rFonts w:hint="eastAsia" w:ascii="华文仿宋" w:hAnsi="华文仿宋" w:eastAsia="华文仿宋" w:cs="宋体"/>
          <w:b/>
          <w:bCs/>
          <w:sz w:val="24"/>
        </w:rPr>
        <w:t>（以下无正文为签字页）</w:t>
      </w:r>
    </w:p>
    <w:tbl>
      <w:tblPr>
        <w:tblStyle w:val="15"/>
        <w:tblW w:w="9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58"/>
        <w:gridCol w:w="5081"/>
      </w:tblGrid>
      <w:tr w14:paraId="7BB89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0E4B35CA">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甲方：</w:t>
            </w:r>
            <w:r>
              <w:rPr>
                <w:rFonts w:hint="eastAsia" w:ascii="华文仿宋" w:hAnsi="华文仿宋" w:eastAsia="华文仿宋" w:cstheme="minorEastAsia"/>
                <w:sz w:val="24"/>
              </w:rPr>
              <w:t xml:space="preserve"> 海南大学（盖章）                         </w:t>
            </w:r>
          </w:p>
        </w:tc>
        <w:tc>
          <w:tcPr>
            <w:tcW w:w="5081" w:type="dxa"/>
          </w:tcPr>
          <w:p w14:paraId="57D9A0AA">
            <w:pPr>
              <w:widowControl w:val="0"/>
              <w:kinsoku/>
              <w:jc w:val="left"/>
              <w:rPr>
                <w:rFonts w:hint="eastAsia" w:ascii="华文仿宋" w:hAnsi="华文仿宋" w:eastAsia="华文仿宋" w:cstheme="minorEastAsia"/>
                <w:b/>
                <w:bCs/>
                <w:sz w:val="24"/>
                <w:lang w:val="en-US" w:eastAsia="zh-CN"/>
              </w:rPr>
            </w:pPr>
            <w:r>
              <w:rPr>
                <w:rFonts w:hint="eastAsia" w:ascii="华文仿宋" w:hAnsi="华文仿宋" w:eastAsia="华文仿宋" w:cstheme="minorEastAsia"/>
                <w:b/>
                <w:bCs/>
                <w:sz w:val="24"/>
              </w:rPr>
              <w:t>乙方：</w:t>
            </w:r>
            <w:r>
              <w:rPr>
                <w:rFonts w:hint="eastAsia" w:ascii="华文仿宋" w:hAnsi="华文仿宋" w:eastAsia="华文仿宋" w:cstheme="minorEastAsia"/>
                <w:b/>
                <w:bCs/>
                <w:sz w:val="24"/>
                <w:lang w:val="en-US" w:eastAsia="zh-CN"/>
              </w:rPr>
              <w:t>中国图书进出口（集团）有限公司</w:t>
            </w:r>
          </w:p>
          <w:p w14:paraId="4E9C73F3">
            <w:pPr>
              <w:widowControl w:val="0"/>
              <w:kinsoku/>
              <w:ind w:firstLine="723" w:firstLineChars="300"/>
              <w:jc w:val="left"/>
              <w:rPr>
                <w:rFonts w:ascii="华文仿宋" w:hAnsi="华文仿宋" w:eastAsia="华文仿宋" w:cstheme="minorEastAsia"/>
                <w:sz w:val="24"/>
              </w:rPr>
            </w:pPr>
            <w:r>
              <w:rPr>
                <w:rFonts w:hint="eastAsia" w:ascii="华文仿宋" w:hAnsi="华文仿宋" w:eastAsia="华文仿宋" w:cstheme="minorEastAsia"/>
                <w:b/>
                <w:bCs/>
                <w:sz w:val="24"/>
              </w:rPr>
              <w:t>（盖章）</w:t>
            </w:r>
          </w:p>
        </w:tc>
      </w:tr>
      <w:tr w14:paraId="0D365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1712BD95">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color w:val="000000" w:themeColor="text1"/>
                <w:sz w:val="24"/>
                <w14:textFill>
                  <w14:solidFill>
                    <w14:schemeClr w14:val="tx1"/>
                  </w14:solidFill>
                </w14:textFill>
              </w:rPr>
              <w:t>统一社会信用代码：</w:t>
            </w:r>
            <w:r>
              <w:rPr>
                <w:rFonts w:hint="eastAsia" w:ascii="华文仿宋" w:hAnsi="华文仿宋" w:eastAsia="华文仿宋" w:cstheme="minorEastAsia"/>
                <w:color w:val="000000" w:themeColor="text1"/>
                <w:sz w:val="24"/>
                <w14:textFill>
                  <w14:solidFill>
                    <w14:schemeClr w14:val="tx1"/>
                  </w14:solidFill>
                </w14:textFill>
              </w:rPr>
              <w:t xml:space="preserve">12460000428200732M  </w:t>
            </w:r>
          </w:p>
        </w:tc>
        <w:tc>
          <w:tcPr>
            <w:tcW w:w="5081" w:type="dxa"/>
          </w:tcPr>
          <w:p w14:paraId="571D72DF">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color w:val="000000" w:themeColor="text1"/>
                <w:sz w:val="24"/>
                <w14:textFill>
                  <w14:solidFill>
                    <w14:schemeClr w14:val="tx1"/>
                  </w14:solidFill>
                </w14:textFill>
              </w:rPr>
              <w:t>统一社会信用代码：</w:t>
            </w:r>
            <w:r>
              <w:rPr>
                <w:rFonts w:hint="eastAsia" w:ascii="华文仿宋" w:hAnsi="华文仿宋" w:eastAsia="华文仿宋" w:cstheme="minorEastAsia"/>
                <w:b/>
                <w:bCs/>
                <w:color w:val="000000" w:themeColor="text1"/>
                <w:sz w:val="24"/>
                <w:lang w:val="en-US" w:eastAsia="zh-CN"/>
                <w14:textFill>
                  <w14:solidFill>
                    <w14:schemeClr w14:val="tx1"/>
                  </w14:solidFill>
                </w14:textFill>
              </w:rPr>
              <w:t>911100001000002785</w:t>
            </w:r>
            <w:r>
              <w:rPr>
                <w:rFonts w:hint="eastAsia" w:ascii="华文仿宋" w:hAnsi="华文仿宋" w:eastAsia="华文仿宋" w:cstheme="minorEastAsia"/>
                <w:color w:val="000000" w:themeColor="text1"/>
                <w:sz w:val="24"/>
                <w14:textFill>
                  <w14:solidFill>
                    <w14:schemeClr w14:val="tx1"/>
                  </w14:solidFill>
                </w14:textFill>
              </w:rPr>
              <w:t xml:space="preserve"> </w:t>
            </w:r>
          </w:p>
        </w:tc>
      </w:tr>
      <w:tr w14:paraId="1ECC0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2C66993D">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地址：</w:t>
            </w:r>
            <w:r>
              <w:rPr>
                <w:rFonts w:hint="eastAsia" w:ascii="华文仿宋" w:hAnsi="华文仿宋" w:eastAsia="华文仿宋" w:cstheme="minorEastAsia"/>
                <w:sz w:val="24"/>
              </w:rPr>
              <w:t>海南省海口市人民大道58号</w:t>
            </w:r>
          </w:p>
          <w:p w14:paraId="2BAB64B1">
            <w:pPr>
              <w:widowControl w:val="0"/>
              <w:kinsoku/>
              <w:jc w:val="left"/>
              <w:rPr>
                <w:rFonts w:ascii="华文仿宋" w:hAnsi="华文仿宋" w:eastAsia="华文仿宋" w:cstheme="minorEastAsia"/>
                <w:sz w:val="24"/>
              </w:rPr>
            </w:pPr>
          </w:p>
        </w:tc>
        <w:tc>
          <w:tcPr>
            <w:tcW w:w="5081" w:type="dxa"/>
          </w:tcPr>
          <w:p w14:paraId="27BFD9B7">
            <w:pPr>
              <w:widowControl w:val="0"/>
              <w:kinsoku/>
              <w:jc w:val="both"/>
              <w:rPr>
                <w:rFonts w:hint="default" w:ascii="华文仿宋" w:hAnsi="华文仿宋" w:eastAsia="华文仿宋" w:cstheme="minorEastAsia"/>
                <w:sz w:val="24"/>
                <w:lang w:val="en-US" w:eastAsia="zh-CN"/>
              </w:rPr>
            </w:pPr>
            <w:r>
              <w:rPr>
                <w:rFonts w:hint="eastAsia" w:ascii="华文仿宋" w:hAnsi="华文仿宋" w:eastAsia="华文仿宋" w:cstheme="minorEastAsia"/>
                <w:b/>
                <w:bCs/>
                <w:sz w:val="24"/>
              </w:rPr>
              <w:t>地址：</w:t>
            </w:r>
            <w:r>
              <w:rPr>
                <w:rFonts w:hint="eastAsia" w:ascii="华文仿宋" w:hAnsi="华文仿宋" w:eastAsia="华文仿宋" w:cstheme="minorEastAsia"/>
                <w:b/>
                <w:bCs/>
                <w:sz w:val="24"/>
                <w:lang w:val="en-US" w:eastAsia="zh-CN"/>
              </w:rPr>
              <w:t>北京市朝阳区工人体育场东路16号</w:t>
            </w:r>
          </w:p>
        </w:tc>
      </w:tr>
      <w:tr w14:paraId="3743F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626A1B3C">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法定代表（委托）人：</w:t>
            </w:r>
          </w:p>
        </w:tc>
        <w:tc>
          <w:tcPr>
            <w:tcW w:w="5081" w:type="dxa"/>
          </w:tcPr>
          <w:p w14:paraId="02418E6B">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法定代表（委托）人：</w:t>
            </w:r>
          </w:p>
        </w:tc>
      </w:tr>
      <w:tr w14:paraId="1808B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4D2FF0E1">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委托代理人：</w:t>
            </w:r>
          </w:p>
        </w:tc>
        <w:tc>
          <w:tcPr>
            <w:tcW w:w="5081" w:type="dxa"/>
          </w:tcPr>
          <w:p w14:paraId="6CB7C472">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委托代理人：</w:t>
            </w:r>
          </w:p>
        </w:tc>
      </w:tr>
      <w:tr w14:paraId="05B86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0CD12CE3">
            <w:pPr>
              <w:widowControl w:val="0"/>
              <w:kinsoku/>
              <w:jc w:val="left"/>
              <w:rPr>
                <w:rFonts w:hint="default" w:ascii="华文仿宋" w:hAnsi="华文仿宋" w:eastAsia="华文仿宋" w:cstheme="minorEastAsia"/>
                <w:sz w:val="24"/>
                <w:lang w:val="en-US" w:eastAsia="zh-CN"/>
              </w:rPr>
            </w:pPr>
            <w:r>
              <w:rPr>
                <w:rFonts w:hint="eastAsia" w:ascii="华文仿宋" w:hAnsi="华文仿宋" w:eastAsia="华文仿宋" w:cstheme="minorEastAsia"/>
                <w:b/>
                <w:bCs/>
                <w:sz w:val="24"/>
              </w:rPr>
              <w:t>联系人：</w:t>
            </w:r>
            <w:r>
              <w:rPr>
                <w:rFonts w:ascii="华文仿宋" w:hAnsi="华文仿宋" w:eastAsia="华文仿宋" w:cstheme="minorEastAsia"/>
                <w:sz w:val="24"/>
              </w:rPr>
              <w:t xml:space="preserve"> </w:t>
            </w:r>
            <w:r>
              <w:rPr>
                <w:rFonts w:hint="eastAsia" w:ascii="华文仿宋" w:hAnsi="华文仿宋" w:eastAsia="华文仿宋" w:cstheme="minorEastAsia"/>
                <w:sz w:val="24"/>
                <w:lang w:val="en-US" w:eastAsia="zh-CN"/>
              </w:rPr>
              <w:t>蔡瑞平</w:t>
            </w:r>
          </w:p>
        </w:tc>
        <w:tc>
          <w:tcPr>
            <w:tcW w:w="5081" w:type="dxa"/>
          </w:tcPr>
          <w:p w14:paraId="53ECA44D">
            <w:pPr>
              <w:widowControl w:val="0"/>
              <w:kinsoku/>
              <w:jc w:val="both"/>
              <w:rPr>
                <w:rFonts w:hint="default" w:ascii="华文仿宋" w:hAnsi="华文仿宋" w:eastAsia="华文仿宋" w:cstheme="minorEastAsia"/>
                <w:sz w:val="24"/>
                <w:lang w:val="en-US" w:eastAsia="zh-CN"/>
              </w:rPr>
            </w:pPr>
            <w:r>
              <w:rPr>
                <w:rFonts w:hint="eastAsia" w:ascii="华文仿宋" w:hAnsi="华文仿宋" w:eastAsia="华文仿宋" w:cstheme="minorEastAsia"/>
                <w:b/>
                <w:bCs/>
                <w:sz w:val="24"/>
              </w:rPr>
              <w:t>联系人：</w:t>
            </w:r>
            <w:r>
              <w:rPr>
                <w:rFonts w:hint="eastAsia" w:ascii="华文仿宋" w:hAnsi="华文仿宋" w:eastAsia="华文仿宋" w:cstheme="minorEastAsia"/>
                <w:sz w:val="24"/>
              </w:rPr>
              <w:t xml:space="preserve"> </w:t>
            </w:r>
            <w:r>
              <w:rPr>
                <w:rFonts w:hint="eastAsia" w:ascii="华文仿宋" w:hAnsi="华文仿宋" w:eastAsia="华文仿宋" w:cstheme="minorEastAsia"/>
                <w:sz w:val="24"/>
                <w:lang w:val="en-US" w:eastAsia="zh-CN"/>
              </w:rPr>
              <w:t>商鸿斌</w:t>
            </w:r>
          </w:p>
        </w:tc>
      </w:tr>
      <w:tr w14:paraId="6C14F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33AF0740">
            <w:pPr>
              <w:widowControl w:val="0"/>
              <w:kinsoku/>
              <w:jc w:val="left"/>
              <w:rPr>
                <w:rFonts w:ascii="华文仿宋" w:hAnsi="华文仿宋" w:eastAsia="华文仿宋" w:cstheme="minorEastAsia"/>
                <w:sz w:val="24"/>
              </w:rPr>
            </w:pPr>
            <w:r>
              <w:rPr>
                <w:rFonts w:hint="eastAsia" w:ascii="华文仿宋" w:hAnsi="华文仿宋" w:eastAsia="华文仿宋" w:cstheme="minorEastAsia"/>
                <w:b/>
                <w:bCs/>
                <w:sz w:val="24"/>
              </w:rPr>
              <w:t>电话：</w:t>
            </w:r>
            <w:r>
              <w:rPr>
                <w:rFonts w:hint="eastAsia" w:ascii="华文仿宋" w:hAnsi="华文仿宋" w:eastAsia="华文仿宋" w:cstheme="minorEastAsia"/>
                <w:sz w:val="24"/>
              </w:rPr>
              <w:t>0898 66279130</w:t>
            </w:r>
          </w:p>
        </w:tc>
        <w:tc>
          <w:tcPr>
            <w:tcW w:w="5081" w:type="dxa"/>
          </w:tcPr>
          <w:p w14:paraId="6512DFDF">
            <w:pPr>
              <w:widowControl w:val="0"/>
              <w:kinsoku/>
              <w:jc w:val="both"/>
              <w:rPr>
                <w:rFonts w:hint="default" w:ascii="华文仿宋" w:hAnsi="华文仿宋" w:eastAsia="华文仿宋" w:cstheme="minorEastAsia"/>
                <w:sz w:val="24"/>
                <w:lang w:val="en-US" w:eastAsia="zh-CN"/>
              </w:rPr>
            </w:pPr>
            <w:r>
              <w:rPr>
                <w:rFonts w:hint="eastAsia" w:ascii="华文仿宋" w:hAnsi="华文仿宋" w:eastAsia="华文仿宋" w:cstheme="minorEastAsia"/>
                <w:b/>
                <w:bCs/>
                <w:sz w:val="24"/>
              </w:rPr>
              <w:t>电话：</w:t>
            </w:r>
            <w:r>
              <w:rPr>
                <w:rFonts w:hint="eastAsia" w:ascii="华文仿宋" w:hAnsi="华文仿宋" w:eastAsia="华文仿宋" w:cstheme="minorEastAsia"/>
                <w:b/>
                <w:bCs/>
                <w:sz w:val="24"/>
                <w:lang w:val="en-US" w:eastAsia="zh-CN"/>
              </w:rPr>
              <w:t>010-65066688-8609</w:t>
            </w:r>
          </w:p>
        </w:tc>
      </w:tr>
      <w:tr w14:paraId="4DDBC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3B37ED1E">
            <w:pPr>
              <w:widowControl w:val="0"/>
              <w:kinsoku/>
              <w:jc w:val="left"/>
              <w:rPr>
                <w:rFonts w:ascii="华文仿宋" w:hAnsi="华文仿宋" w:eastAsia="华文仿宋" w:cstheme="minorEastAsia"/>
                <w:color w:val="000000" w:themeColor="text1"/>
                <w:sz w:val="24"/>
                <w14:textFill>
                  <w14:solidFill>
                    <w14:schemeClr w14:val="tx1"/>
                  </w14:solidFill>
                </w14:textFill>
              </w:rPr>
            </w:pPr>
            <w:r>
              <w:rPr>
                <w:rFonts w:hint="eastAsia" w:ascii="华文仿宋" w:hAnsi="华文仿宋" w:eastAsia="华文仿宋" w:cstheme="minorEastAsia"/>
                <w:b/>
                <w:bCs/>
                <w:sz w:val="24"/>
              </w:rPr>
              <w:t>开户银行：</w:t>
            </w:r>
            <w:r>
              <w:rPr>
                <w:rFonts w:hint="eastAsia" w:ascii="华文仿宋" w:hAnsi="华文仿宋" w:eastAsia="华文仿宋" w:cstheme="minorEastAsia"/>
                <w:color w:val="000000" w:themeColor="text1"/>
                <w:sz w:val="24"/>
                <w14:textFill>
                  <w14:solidFill>
                    <w14:schemeClr w14:val="tx1"/>
                  </w14:solidFill>
                </w14:textFill>
              </w:rPr>
              <w:t>中国农业银行股份有限公司</w:t>
            </w:r>
          </w:p>
          <w:p w14:paraId="66927187">
            <w:pPr>
              <w:widowControl w:val="0"/>
              <w:kinsoku/>
              <w:ind w:firstLine="1440" w:firstLineChars="600"/>
              <w:jc w:val="left"/>
              <w:rPr>
                <w:rFonts w:ascii="华文仿宋" w:hAnsi="华文仿宋" w:eastAsia="华文仿宋" w:cstheme="minorEastAsia"/>
                <w:sz w:val="24"/>
              </w:rPr>
            </w:pPr>
            <w:r>
              <w:rPr>
                <w:rFonts w:hint="eastAsia" w:ascii="华文仿宋" w:hAnsi="华文仿宋" w:eastAsia="华文仿宋" w:cstheme="minorEastAsia"/>
                <w:color w:val="000000" w:themeColor="text1"/>
                <w:sz w:val="24"/>
                <w14:textFill>
                  <w14:solidFill>
                    <w14:schemeClr w14:val="tx1"/>
                  </w14:solidFill>
                </w14:textFill>
              </w:rPr>
              <w:t>海口海大支行</w:t>
            </w:r>
          </w:p>
        </w:tc>
        <w:tc>
          <w:tcPr>
            <w:tcW w:w="5081" w:type="dxa"/>
          </w:tcPr>
          <w:p w14:paraId="7B151B3A">
            <w:pPr>
              <w:widowControl w:val="0"/>
              <w:kinsoku/>
              <w:ind w:left="1682" w:hanging="1687" w:hangingChars="700"/>
              <w:jc w:val="both"/>
              <w:rPr>
                <w:rFonts w:ascii="华文仿宋" w:hAnsi="华文仿宋" w:eastAsia="华文仿宋" w:cstheme="minorEastAsia"/>
                <w:b/>
                <w:bCs/>
                <w:color w:val="000000" w:themeColor="text1"/>
                <w:sz w:val="24"/>
                <w14:textFill>
                  <w14:solidFill>
                    <w14:schemeClr w14:val="tx1"/>
                  </w14:solidFill>
                </w14:textFill>
              </w:rPr>
            </w:pPr>
            <w:r>
              <w:rPr>
                <w:rFonts w:hint="eastAsia" w:ascii="华文仿宋" w:hAnsi="华文仿宋" w:eastAsia="华文仿宋" w:cstheme="minorEastAsia"/>
                <w:b/>
                <w:bCs/>
                <w:color w:val="000000" w:themeColor="text1"/>
                <w:sz w:val="24"/>
                <w14:textFill>
                  <w14:solidFill>
                    <w14:schemeClr w14:val="tx1"/>
                  </w14:solidFill>
                </w14:textFill>
              </w:rPr>
              <w:t>开户银行：</w:t>
            </w:r>
            <w:r>
              <w:rPr>
                <w:rFonts w:hint="eastAsia" w:ascii="华文仿宋" w:hAnsi="华文仿宋" w:eastAsia="华文仿宋" w:cstheme="minorEastAsia"/>
                <w:b/>
                <w:bCs/>
                <w:color w:val="000000" w:themeColor="text1"/>
                <w:sz w:val="24"/>
                <w:lang w:val="en-US" w:eastAsia="zh-CN"/>
                <w14:textFill>
                  <w14:solidFill>
                    <w14:schemeClr w14:val="tx1"/>
                  </w14:solidFill>
                </w14:textFill>
              </w:rPr>
              <w:t>中信银行北京东大桥支行</w:t>
            </w:r>
            <w:r>
              <w:rPr>
                <w:rFonts w:hint="eastAsia" w:ascii="华文仿宋" w:hAnsi="华文仿宋" w:eastAsia="华文仿宋" w:cstheme="minorEastAsia"/>
                <w:b/>
                <w:bCs/>
                <w:color w:val="000000" w:themeColor="text1"/>
                <w:sz w:val="24"/>
                <w14:textFill>
                  <w14:solidFill>
                    <w14:schemeClr w14:val="tx1"/>
                  </w14:solidFill>
                </w14:textFill>
              </w:rPr>
              <w:t xml:space="preserve"> </w:t>
            </w:r>
          </w:p>
          <w:p w14:paraId="0351406F">
            <w:pPr>
              <w:widowControl w:val="0"/>
              <w:kinsoku/>
              <w:ind w:left="1470" w:leftChars="700" w:firstLine="241" w:firstLineChars="100"/>
              <w:jc w:val="left"/>
              <w:rPr>
                <w:rFonts w:ascii="华文仿宋" w:hAnsi="华文仿宋" w:eastAsia="华文仿宋" w:cstheme="minorEastAsia"/>
                <w:b/>
                <w:bCs/>
                <w:color w:val="000000" w:themeColor="text1"/>
                <w:sz w:val="24"/>
                <w14:textFill>
                  <w14:solidFill>
                    <w14:schemeClr w14:val="tx1"/>
                  </w14:solidFill>
                </w14:textFill>
              </w:rPr>
            </w:pPr>
          </w:p>
        </w:tc>
      </w:tr>
      <w:tr w14:paraId="08DC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1C0FA98F">
            <w:pPr>
              <w:widowControl w:val="0"/>
              <w:kinsoku/>
              <w:jc w:val="both"/>
              <w:rPr>
                <w:rFonts w:ascii="华文仿宋" w:hAnsi="华文仿宋" w:eastAsia="华文仿宋" w:cstheme="minorEastAsia"/>
                <w:sz w:val="24"/>
              </w:rPr>
            </w:pPr>
            <w:r>
              <w:rPr>
                <w:rFonts w:hint="eastAsia" w:ascii="华文仿宋" w:hAnsi="华文仿宋" w:eastAsia="华文仿宋" w:cstheme="minorEastAsia"/>
                <w:b/>
                <w:bCs/>
                <w:sz w:val="24"/>
              </w:rPr>
              <w:t>开户名称：</w:t>
            </w:r>
            <w:r>
              <w:rPr>
                <w:rFonts w:hint="eastAsia" w:ascii="华文仿宋" w:hAnsi="华文仿宋" w:eastAsia="华文仿宋" w:cstheme="minorEastAsia"/>
                <w:sz w:val="24"/>
              </w:rPr>
              <w:t>海南大学</w:t>
            </w:r>
          </w:p>
        </w:tc>
        <w:tc>
          <w:tcPr>
            <w:tcW w:w="5081" w:type="dxa"/>
          </w:tcPr>
          <w:p w14:paraId="54159F27">
            <w:pPr>
              <w:widowControl w:val="0"/>
              <w:kinsoku/>
              <w:jc w:val="left"/>
              <w:rPr>
                <w:rFonts w:hint="default" w:ascii="华文仿宋" w:hAnsi="华文仿宋" w:eastAsia="华文仿宋" w:cstheme="minorEastAsia"/>
                <w:b/>
                <w:bCs/>
                <w:color w:val="000000" w:themeColor="text1"/>
                <w:sz w:val="24"/>
                <w:lang w:val="en-US" w:eastAsia="zh-CN"/>
                <w14:textFill>
                  <w14:solidFill>
                    <w14:schemeClr w14:val="tx1"/>
                  </w14:solidFill>
                </w14:textFill>
              </w:rPr>
            </w:pPr>
            <w:r>
              <w:rPr>
                <w:rFonts w:hint="eastAsia" w:ascii="华文仿宋" w:hAnsi="华文仿宋" w:eastAsia="华文仿宋" w:cstheme="minorEastAsia"/>
                <w:b/>
                <w:bCs/>
                <w:color w:val="000000" w:themeColor="text1"/>
                <w:sz w:val="24"/>
                <w14:textFill>
                  <w14:solidFill>
                    <w14:schemeClr w14:val="tx1"/>
                  </w14:solidFill>
                </w14:textFill>
              </w:rPr>
              <w:t xml:space="preserve">开户名称： </w:t>
            </w:r>
            <w:r>
              <w:rPr>
                <w:rFonts w:hint="eastAsia" w:ascii="华文仿宋" w:hAnsi="华文仿宋" w:eastAsia="华文仿宋" w:cstheme="minorEastAsia"/>
                <w:b/>
                <w:bCs/>
                <w:color w:val="000000" w:themeColor="text1"/>
                <w:sz w:val="24"/>
                <w:lang w:val="en-US" w:eastAsia="zh-CN"/>
                <w14:textFill>
                  <w14:solidFill>
                    <w14:schemeClr w14:val="tx1"/>
                  </w14:solidFill>
                </w14:textFill>
              </w:rPr>
              <w:t>中国图书进出口（集团）有限公司</w:t>
            </w:r>
          </w:p>
        </w:tc>
      </w:tr>
      <w:tr w14:paraId="0310D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331DAF0A">
            <w:pPr>
              <w:widowControl w:val="0"/>
              <w:kinsoku/>
              <w:jc w:val="both"/>
              <w:rPr>
                <w:rFonts w:ascii="华文仿宋" w:hAnsi="华文仿宋" w:eastAsia="华文仿宋" w:cstheme="minorEastAsia"/>
                <w:sz w:val="24"/>
              </w:rPr>
            </w:pPr>
            <w:r>
              <w:rPr>
                <w:rFonts w:hint="eastAsia" w:ascii="华文仿宋" w:hAnsi="华文仿宋" w:eastAsia="华文仿宋" w:cstheme="minorEastAsia"/>
                <w:b/>
                <w:bCs/>
                <w:sz w:val="24"/>
              </w:rPr>
              <w:t>开户账号：</w:t>
            </w:r>
            <w:r>
              <w:rPr>
                <w:rFonts w:hint="eastAsia" w:ascii="华文仿宋" w:hAnsi="华文仿宋" w:eastAsia="华文仿宋" w:cstheme="minorEastAsia"/>
                <w:color w:val="000000" w:themeColor="text1"/>
                <w:sz w:val="24"/>
                <w14:textFill>
                  <w14:solidFill>
                    <w14:schemeClr w14:val="tx1"/>
                  </w14:solidFill>
                </w14:textFill>
              </w:rPr>
              <w:t>21150001040000040</w:t>
            </w:r>
          </w:p>
        </w:tc>
        <w:tc>
          <w:tcPr>
            <w:tcW w:w="5081" w:type="dxa"/>
          </w:tcPr>
          <w:p w14:paraId="5E858932">
            <w:pPr>
              <w:widowControl w:val="0"/>
              <w:kinsoku/>
              <w:jc w:val="both"/>
              <w:rPr>
                <w:rFonts w:ascii="华文仿宋" w:hAnsi="华文仿宋" w:eastAsia="华文仿宋" w:cstheme="minorEastAsia"/>
                <w:b/>
                <w:bCs/>
                <w:color w:val="000000" w:themeColor="text1"/>
                <w:sz w:val="24"/>
                <w14:textFill>
                  <w14:solidFill>
                    <w14:schemeClr w14:val="tx1"/>
                  </w14:solidFill>
                </w14:textFill>
              </w:rPr>
            </w:pPr>
            <w:r>
              <w:rPr>
                <w:rFonts w:hint="eastAsia" w:ascii="华文仿宋" w:hAnsi="华文仿宋" w:eastAsia="华文仿宋" w:cstheme="minorEastAsia"/>
                <w:b/>
                <w:bCs/>
                <w:color w:val="000000" w:themeColor="text1"/>
                <w:sz w:val="24"/>
                <w14:textFill>
                  <w14:solidFill>
                    <w14:schemeClr w14:val="tx1"/>
                  </w14:solidFill>
                </w14:textFill>
              </w:rPr>
              <w:t>开户账号：</w:t>
            </w:r>
            <w:r>
              <w:rPr>
                <w:rFonts w:hint="eastAsia" w:ascii="华文仿宋" w:hAnsi="华文仿宋" w:eastAsia="华文仿宋" w:cstheme="minorEastAsia"/>
                <w:b/>
                <w:bCs/>
                <w:color w:val="000000" w:themeColor="text1"/>
                <w:sz w:val="24"/>
                <w:lang w:val="en-US" w:eastAsia="zh-CN"/>
                <w14:textFill>
                  <w14:solidFill>
                    <w14:schemeClr w14:val="tx1"/>
                  </w14:solidFill>
                </w14:textFill>
              </w:rPr>
              <w:t>7111610182600016876</w:t>
            </w:r>
            <w:r>
              <w:rPr>
                <w:rFonts w:hint="eastAsia" w:ascii="华文仿宋" w:hAnsi="华文仿宋" w:eastAsia="华文仿宋"/>
                <w:b/>
                <w:bCs/>
                <w:color w:val="000000" w:themeColor="text1"/>
                <w14:textFill>
                  <w14:solidFill>
                    <w14:schemeClr w14:val="tx1"/>
                  </w14:solidFill>
                </w14:textFill>
              </w:rPr>
              <w:t xml:space="preserve"> </w:t>
            </w:r>
          </w:p>
        </w:tc>
      </w:tr>
      <w:tr w14:paraId="3D117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7FF9CF63">
            <w:pPr>
              <w:widowControl w:val="0"/>
              <w:kinsoku/>
              <w:jc w:val="both"/>
              <w:rPr>
                <w:rFonts w:ascii="华文仿宋" w:hAnsi="华文仿宋" w:eastAsia="华文仿宋" w:cstheme="minorEastAsia"/>
                <w:b/>
                <w:bCs/>
                <w:sz w:val="24"/>
              </w:rPr>
            </w:pPr>
          </w:p>
        </w:tc>
        <w:tc>
          <w:tcPr>
            <w:tcW w:w="5081" w:type="dxa"/>
          </w:tcPr>
          <w:p w14:paraId="51AA29E5">
            <w:pPr>
              <w:widowControl w:val="0"/>
              <w:kinsoku/>
              <w:jc w:val="both"/>
              <w:rPr>
                <w:rFonts w:ascii="华文仿宋" w:hAnsi="华文仿宋" w:eastAsia="华文仿宋" w:cstheme="minorEastAsia"/>
                <w:b/>
                <w:bCs/>
                <w:sz w:val="24"/>
              </w:rPr>
            </w:pPr>
          </w:p>
        </w:tc>
      </w:tr>
      <w:tr w14:paraId="6F95E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438639F0">
            <w:pPr>
              <w:widowControl w:val="0"/>
              <w:kinsoku/>
              <w:ind w:firstLine="1440" w:firstLineChars="600"/>
              <w:jc w:val="both"/>
              <w:rPr>
                <w:rFonts w:ascii="华文仿宋" w:hAnsi="华文仿宋" w:eastAsia="华文仿宋" w:cstheme="minorEastAsia"/>
                <w:sz w:val="24"/>
              </w:rPr>
            </w:pPr>
            <w:r>
              <w:rPr>
                <w:rFonts w:hint="eastAsia" w:ascii="华文仿宋" w:hAnsi="华文仿宋" w:eastAsia="华文仿宋" w:cstheme="minorEastAsia"/>
                <w:sz w:val="24"/>
              </w:rPr>
              <w:t>年   月    日</w:t>
            </w:r>
          </w:p>
        </w:tc>
        <w:tc>
          <w:tcPr>
            <w:tcW w:w="5081" w:type="dxa"/>
          </w:tcPr>
          <w:p w14:paraId="04B062A9">
            <w:pPr>
              <w:widowControl w:val="0"/>
              <w:kinsoku/>
              <w:ind w:firstLine="2160" w:firstLineChars="900"/>
              <w:jc w:val="both"/>
              <w:rPr>
                <w:rFonts w:ascii="华文仿宋" w:hAnsi="华文仿宋" w:eastAsia="华文仿宋" w:cstheme="minorEastAsia"/>
                <w:sz w:val="24"/>
              </w:rPr>
            </w:pPr>
            <w:r>
              <w:rPr>
                <w:rFonts w:hint="eastAsia" w:ascii="华文仿宋" w:hAnsi="华文仿宋" w:eastAsia="华文仿宋" w:cstheme="minorEastAsia"/>
                <w:sz w:val="24"/>
              </w:rPr>
              <w:t>年   月    日</w:t>
            </w:r>
          </w:p>
        </w:tc>
      </w:tr>
      <w:tr w14:paraId="4B9BB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58" w:type="dxa"/>
          </w:tcPr>
          <w:p w14:paraId="38DA3807">
            <w:pPr>
              <w:widowControl w:val="0"/>
              <w:kinsoku/>
              <w:ind w:firstLine="720" w:firstLineChars="300"/>
              <w:jc w:val="both"/>
              <w:rPr>
                <w:rFonts w:ascii="华文仿宋" w:hAnsi="华文仿宋" w:eastAsia="华文仿宋" w:cs="宋体"/>
                <w:sz w:val="24"/>
              </w:rPr>
            </w:pPr>
          </w:p>
        </w:tc>
        <w:tc>
          <w:tcPr>
            <w:tcW w:w="5081" w:type="dxa"/>
          </w:tcPr>
          <w:p w14:paraId="1FD84712">
            <w:pPr>
              <w:widowControl w:val="0"/>
              <w:kinsoku/>
              <w:ind w:firstLine="720" w:firstLineChars="300"/>
              <w:jc w:val="both"/>
              <w:rPr>
                <w:rFonts w:ascii="华文仿宋" w:hAnsi="华文仿宋" w:eastAsia="华文仿宋" w:cs="宋体"/>
                <w:sz w:val="24"/>
              </w:rPr>
            </w:pPr>
          </w:p>
        </w:tc>
      </w:tr>
    </w:tbl>
    <w:p w14:paraId="108AD2AA">
      <w:pPr>
        <w:kinsoku/>
        <w:spacing w:line="276" w:lineRule="auto"/>
        <w:ind w:firstLine="482" w:firstLineChars="200"/>
        <w:rPr>
          <w:rFonts w:ascii="华文仿宋" w:hAnsi="华文仿宋" w:eastAsia="华文仿宋"/>
          <w:b/>
          <w:bCs/>
          <w:sz w:val="24"/>
        </w:rPr>
      </w:pPr>
    </w:p>
    <w:p w14:paraId="7EDA2102">
      <w:pPr>
        <w:kinsoku/>
        <w:spacing w:line="276" w:lineRule="auto"/>
        <w:ind w:firstLine="482" w:firstLineChars="200"/>
        <w:rPr>
          <w:rFonts w:hint="default" w:ascii="华文仿宋" w:hAnsi="华文仿宋" w:eastAsia="华文仿宋"/>
          <w:b/>
          <w:bCs/>
          <w:sz w:val="24"/>
          <w:lang w:val="en-US" w:eastAsia="zh-CN"/>
        </w:rPr>
      </w:pPr>
      <w:r>
        <w:rPr>
          <w:rFonts w:hint="eastAsia" w:ascii="华文仿宋" w:hAnsi="华文仿宋" w:eastAsia="华文仿宋"/>
          <w:b/>
          <w:bCs/>
          <w:sz w:val="24"/>
        </w:rPr>
        <w:t>招标代理机构：</w:t>
      </w:r>
      <w:r>
        <w:rPr>
          <w:rFonts w:hint="eastAsia" w:ascii="华文仿宋" w:hAnsi="华文仿宋" w:eastAsia="华文仿宋"/>
          <w:b/>
          <w:bCs/>
          <w:sz w:val="24"/>
          <w:lang w:val="en-US" w:eastAsia="zh-CN"/>
        </w:rPr>
        <w:t>海南省教学仪器设备招标中心有限公司</w:t>
      </w:r>
    </w:p>
    <w:p w14:paraId="077DC4E6">
      <w:pPr>
        <w:kinsoku/>
        <w:spacing w:line="276" w:lineRule="auto"/>
        <w:ind w:left="480" w:hanging="482" w:hangingChars="200"/>
        <w:rPr>
          <w:rFonts w:ascii="华文仿宋" w:hAnsi="华文仿宋" w:eastAsia="华文仿宋"/>
          <w:b/>
          <w:bCs/>
          <w:sz w:val="24"/>
        </w:rPr>
      </w:pPr>
      <w:r>
        <w:rPr>
          <w:rFonts w:hint="eastAsia" w:ascii="华文仿宋" w:hAnsi="华文仿宋" w:eastAsia="华文仿宋"/>
          <w:b/>
          <w:bCs/>
          <w:sz w:val="24"/>
        </w:rPr>
        <w:br w:type="textWrapping"/>
      </w:r>
      <w:r>
        <w:rPr>
          <w:rFonts w:hint="eastAsia" w:ascii="华文仿宋" w:hAnsi="华文仿宋" w:eastAsia="华文仿宋"/>
          <w:b/>
          <w:bCs/>
          <w:sz w:val="24"/>
        </w:rPr>
        <w:t>授权代表：________________________</w:t>
      </w:r>
    </w:p>
    <w:p w14:paraId="133D845E">
      <w:pPr>
        <w:kinsoku/>
        <w:spacing w:line="276" w:lineRule="auto"/>
        <w:ind w:left="451" w:leftChars="100" w:hanging="241" w:hangingChars="100"/>
        <w:rPr>
          <w:rFonts w:ascii="华文仿宋" w:hAnsi="华文仿宋" w:eastAsia="华文仿宋"/>
          <w:b/>
          <w:bCs/>
          <w:color w:val="FF0000"/>
          <w:sz w:val="24"/>
        </w:rPr>
      </w:pPr>
      <w:r>
        <w:rPr>
          <w:rFonts w:hint="eastAsia" w:ascii="华文仿宋" w:hAnsi="华文仿宋" w:eastAsia="华文仿宋"/>
          <w:b/>
          <w:bCs/>
          <w:sz w:val="24"/>
        </w:rPr>
        <w:br w:type="textWrapping"/>
      </w:r>
      <w:r>
        <w:rPr>
          <w:rFonts w:hint="eastAsia" w:ascii="华文仿宋" w:hAnsi="华文仿宋" w:eastAsia="华文仿宋"/>
          <w:b/>
          <w:bCs/>
          <w:sz w:val="24"/>
        </w:rPr>
        <w:t>日期：____________________________</w:t>
      </w:r>
    </w:p>
    <w:p w14:paraId="25D02366">
      <w:pPr>
        <w:widowControl w:val="0"/>
        <w:kinsoku/>
        <w:spacing w:line="360" w:lineRule="auto"/>
        <w:rPr>
          <w:rFonts w:ascii="华文仿宋" w:hAnsi="华文仿宋" w:eastAsia="华文仿宋" w:cs="宋体"/>
          <w:color w:val="auto"/>
          <w:spacing w:val="-3"/>
          <w:sz w:val="24"/>
          <w:szCs w:val="24"/>
        </w:rPr>
      </w:pPr>
    </w:p>
    <w:p w14:paraId="06667725">
      <w:pPr>
        <w:widowControl w:val="0"/>
        <w:kinsoku/>
        <w:spacing w:line="360" w:lineRule="auto"/>
        <w:rPr>
          <w:rFonts w:ascii="华文仿宋" w:hAnsi="华文仿宋" w:eastAsia="华文仿宋" w:cs="宋体"/>
          <w:color w:val="auto"/>
          <w:spacing w:val="-3"/>
          <w:sz w:val="24"/>
          <w:szCs w:val="24"/>
        </w:rPr>
        <w:sectPr>
          <w:headerReference r:id="rId3" w:type="default"/>
          <w:footerReference r:id="rId4" w:type="default"/>
          <w:pgSz w:w="11906" w:h="16838"/>
          <w:pgMar w:top="1797" w:right="1440" w:bottom="1797" w:left="1440" w:header="851" w:footer="992" w:gutter="0"/>
          <w:cols w:space="720" w:num="1"/>
          <w:docGrid w:type="lines" w:linePitch="312" w:charSpace="0"/>
        </w:sectPr>
      </w:pPr>
    </w:p>
    <w:p w14:paraId="4C073AC2">
      <w:pPr>
        <w:widowControl w:val="0"/>
        <w:kinsoku/>
        <w:spacing w:line="360" w:lineRule="auto"/>
        <w:jc w:val="center"/>
        <w:rPr>
          <w:rFonts w:ascii="华文仿宋" w:hAnsi="华文仿宋" w:eastAsia="华文仿宋" w:cs="宋体"/>
          <w:b/>
          <w:sz w:val="36"/>
          <w:szCs w:val="36"/>
        </w:rPr>
      </w:pPr>
      <w:r>
        <w:rPr>
          <w:rFonts w:hint="eastAsia" w:ascii="华文仿宋" w:hAnsi="华文仿宋" w:eastAsia="华文仿宋" w:cs="宋体"/>
          <w:b/>
          <w:sz w:val="36"/>
          <w:szCs w:val="36"/>
        </w:rPr>
        <w:t>廉洁责任书</w:t>
      </w:r>
    </w:p>
    <w:p w14:paraId="74103568">
      <w:pPr>
        <w:widowControl w:val="0"/>
        <w:kinsoku/>
        <w:spacing w:line="360" w:lineRule="auto"/>
        <w:ind w:firstLine="560"/>
        <w:rPr>
          <w:rFonts w:ascii="华文仿宋" w:hAnsi="华文仿宋" w:eastAsia="华文仿宋" w:cs="宋体"/>
          <w:sz w:val="24"/>
          <w:szCs w:val="24"/>
        </w:rPr>
      </w:pPr>
    </w:p>
    <w:p w14:paraId="276C247C">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为了有效遏制不公平竞争和违法违规违纪问题的发生，确保招标工作的公平、公正、公开，严格遵守下列行为准则：</w:t>
      </w:r>
    </w:p>
    <w:p w14:paraId="4447C0A6">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1、严格遵守国家有关法律法规及相关政策，以及廉洁从业的各项规定。</w:t>
      </w:r>
    </w:p>
    <w:p w14:paraId="24CFD018">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2、严格遵守市场准入、招投标、财政、行业规定和项目建设管理的各项规章制度，将廉洁从业的各项要求贯彻始终。</w:t>
      </w:r>
    </w:p>
    <w:p w14:paraId="1C0242F3">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3、严格遵守职业道德，业务活动坚持公开、公平、公正、诚信、透明的原则（除法律法规另有规定者外），不获取不正当利益，更不为获取不当得利而损害国家、集体和业主单位利益。</w:t>
      </w:r>
    </w:p>
    <w:p w14:paraId="2D810CCD">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4、加强对本单位工作人员职务行为的监督和管理，不断增强其廉洁意识、守法意识和守约意识。</w:t>
      </w:r>
    </w:p>
    <w:p w14:paraId="2F3AB55C">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2E3629C0">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6、不以任何名义为本项目相关工作人员或其亲戚、朋友等利益相关人支付、报销应由其个人支付的费用。</w:t>
      </w:r>
    </w:p>
    <w:p w14:paraId="22BBB968">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7、不以任何理由安排本项目相关工作人员或其亲戚、朋友等利益相关人参加健身、娱乐和旅游等活动。</w:t>
      </w:r>
    </w:p>
    <w:p w14:paraId="46171D87">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8、不为本项目相关业务部门、关联企业或人员购置或提供通讯工具、交通工具、高档办公用品或为装修住房、配偶子女的工作安排以及出国（境）等提供方便。</w:t>
      </w:r>
    </w:p>
    <w:p w14:paraId="004D55D5">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9、不以贿赂之外的其他方式拉拢本项目相关工作人员，使其违背公平、公开、公正竞争原则，帮助实现中标目的。</w:t>
      </w:r>
    </w:p>
    <w:p w14:paraId="1E69FC91">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10、不在非公务场合洽谈业务，不一对一洽谈业务，不许诺事后给予本项目相关工作人员利益。</w:t>
      </w:r>
    </w:p>
    <w:p w14:paraId="39E2C4DC">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6469BE1F">
      <w:pPr>
        <w:widowControl w:val="0"/>
        <w:kinsoku/>
        <w:spacing w:line="360" w:lineRule="auto"/>
        <w:ind w:firstLine="480"/>
        <w:rPr>
          <w:rFonts w:ascii="华文仿宋" w:hAnsi="华文仿宋" w:eastAsia="华文仿宋" w:cs="宋体"/>
          <w:sz w:val="24"/>
          <w:szCs w:val="24"/>
        </w:rPr>
      </w:pPr>
      <w:r>
        <w:rPr>
          <w:rFonts w:hint="eastAsia" w:ascii="华文仿宋" w:hAnsi="华文仿宋" w:eastAsia="华文仿宋" w:cs="宋体"/>
          <w:sz w:val="24"/>
          <w:szCs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3FDDBF37">
      <w:pPr>
        <w:widowControl w:val="0"/>
        <w:kinsoku/>
        <w:spacing w:line="360" w:lineRule="auto"/>
        <w:ind w:firstLine="560"/>
        <w:rPr>
          <w:rFonts w:ascii="华文仿宋" w:hAnsi="华文仿宋" w:eastAsia="华文仿宋" w:cs="宋体"/>
          <w:sz w:val="24"/>
          <w:szCs w:val="24"/>
        </w:rPr>
      </w:pPr>
    </w:p>
    <w:p w14:paraId="64D7FCBE">
      <w:pPr>
        <w:pStyle w:val="2"/>
        <w:keepNext w:val="0"/>
        <w:keepLines w:val="0"/>
        <w:widowControl w:val="0"/>
        <w:kinsoku/>
        <w:rPr>
          <w:rFonts w:ascii="华文仿宋" w:hAnsi="华文仿宋" w:eastAsia="华文仿宋" w:cs="宋体"/>
          <w:sz w:val="24"/>
          <w:szCs w:val="24"/>
        </w:rPr>
      </w:pPr>
    </w:p>
    <w:p w14:paraId="6AB388A1">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承 诺 人：              （法定代表人签字或盖章）</w:t>
      </w:r>
    </w:p>
    <w:p w14:paraId="5D05E783">
      <w:pPr>
        <w:widowControl w:val="0"/>
        <w:kinsoku/>
        <w:spacing w:line="360" w:lineRule="auto"/>
        <w:ind w:firstLine="560"/>
        <w:rPr>
          <w:rFonts w:ascii="华文仿宋" w:hAnsi="华文仿宋" w:eastAsia="华文仿宋" w:cs="宋体"/>
          <w:sz w:val="24"/>
          <w:szCs w:val="24"/>
        </w:rPr>
      </w:pPr>
      <w:r>
        <w:rPr>
          <w:rFonts w:hint="eastAsia" w:ascii="华文仿宋" w:hAnsi="华文仿宋" w:eastAsia="华文仿宋" w:cs="宋体"/>
          <w:sz w:val="24"/>
          <w:szCs w:val="24"/>
        </w:rPr>
        <w:t>承诺单位：              （盖章）</w:t>
      </w:r>
    </w:p>
    <w:p w14:paraId="26D8ECBD">
      <w:pPr>
        <w:widowControl w:val="0"/>
        <w:kinsoku/>
        <w:spacing w:line="360" w:lineRule="auto"/>
        <w:ind w:firstLine="5428" w:firstLineChars="2262"/>
        <w:rPr>
          <w:rFonts w:ascii="华文仿宋" w:hAnsi="华文仿宋" w:eastAsia="华文仿宋" w:cs="宋体"/>
          <w:sz w:val="24"/>
          <w:szCs w:val="24"/>
        </w:rPr>
      </w:pPr>
    </w:p>
    <w:p w14:paraId="69A48D08">
      <w:pPr>
        <w:widowControl w:val="0"/>
        <w:kinsoku/>
        <w:spacing w:line="360" w:lineRule="auto"/>
        <w:ind w:firstLine="5428" w:firstLineChars="2262"/>
        <w:rPr>
          <w:rFonts w:ascii="华文仿宋" w:hAnsi="华文仿宋" w:eastAsia="华文仿宋" w:cs="宋体"/>
          <w:sz w:val="24"/>
          <w:szCs w:val="24"/>
        </w:rPr>
      </w:pPr>
      <w:r>
        <w:rPr>
          <w:rFonts w:hint="eastAsia" w:ascii="华文仿宋" w:hAnsi="华文仿宋" w:eastAsia="华文仿宋" w:cs="宋体"/>
          <w:sz w:val="24"/>
          <w:szCs w:val="24"/>
        </w:rPr>
        <w:t xml:space="preserve">    年    月    日</w:t>
      </w:r>
    </w:p>
    <w:p w14:paraId="24F082A5">
      <w:pPr>
        <w:widowControl w:val="0"/>
        <w:kinsoku/>
        <w:spacing w:line="360" w:lineRule="auto"/>
        <w:rPr>
          <w:rFonts w:ascii="华文仿宋" w:hAnsi="华文仿宋" w:eastAsia="华文仿宋" w:cs="宋体"/>
          <w:sz w:val="24"/>
          <w:szCs w:val="24"/>
        </w:rPr>
      </w:pPr>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
    <w:altName w:val="宋体"/>
    <w:panose1 w:val="00000000000000000000"/>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37EE6">
    <w:pPr>
      <w:pStyle w:val="8"/>
      <w:jc w:val="center"/>
      <w:rPr>
        <w:rFonts w:ascii="华文仿宋" w:hAnsi="华文仿宋" w:eastAsia="华文仿宋"/>
      </w:rPr>
    </w:pPr>
    <w:r>
      <w:rPr>
        <w:rFonts w:ascii="华文仿宋" w:hAnsi="华文仿宋" w:eastAsia="华文仿宋"/>
        <w:b/>
        <w:bCs/>
      </w:rPr>
      <w:fldChar w:fldCharType="begin"/>
    </w:r>
    <w:r>
      <w:rPr>
        <w:rFonts w:ascii="华文仿宋" w:hAnsi="华文仿宋" w:eastAsia="华文仿宋"/>
        <w:b/>
        <w:bCs/>
      </w:rPr>
      <w:instrText xml:space="preserve">PAGE  \* Arabic  \* MERGEFORMAT</w:instrText>
    </w:r>
    <w:r>
      <w:rPr>
        <w:rFonts w:ascii="华文仿宋" w:hAnsi="华文仿宋" w:eastAsia="华文仿宋"/>
        <w:b/>
        <w:bCs/>
      </w:rPr>
      <w:fldChar w:fldCharType="separate"/>
    </w:r>
    <w:r>
      <w:rPr>
        <w:rFonts w:ascii="华文仿宋" w:hAnsi="华文仿宋" w:eastAsia="华文仿宋"/>
        <w:b/>
        <w:bCs/>
        <w:lang w:val="zh-CN"/>
      </w:rPr>
      <w:t>11</w:t>
    </w:r>
    <w:r>
      <w:rPr>
        <w:rFonts w:ascii="华文仿宋" w:hAnsi="华文仿宋" w:eastAsia="华文仿宋"/>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A4CC4">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135" cy="131445"/>
              <wp:effectExtent l="0" t="0" r="0" b="0"/>
              <wp:wrapNone/>
              <wp:docPr id="2" name="文本框 3"/>
              <wp:cNvGraphicFramePr/>
              <a:graphic xmlns:a="http://schemas.openxmlformats.org/drawingml/2006/main">
                <a:graphicData uri="http://schemas.microsoft.com/office/word/2010/wordprocessingShape">
                  <wps:wsp>
                    <wps:cNvSpPr txBox="1">
                      <a:spLocks noChangeArrowheads="1"/>
                    </wps:cNvSpPr>
                    <wps:spPr bwMode="auto">
                      <a:xfrm>
                        <a:off x="0" y="0"/>
                        <a:ext cx="64135" cy="131445"/>
                      </a:xfrm>
                      <a:prstGeom prst="rect">
                        <a:avLst/>
                      </a:prstGeom>
                      <a:noFill/>
                      <a:ln>
                        <a:noFill/>
                      </a:ln>
                    </wps:spPr>
                    <wps:txbx>
                      <w:txbxContent>
                        <w:p w14:paraId="1A250F33">
                          <w:pPr>
                            <w:pStyle w:val="8"/>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0.35pt;width:5.05pt;mso-position-horizontal:center;mso-position-horizontal-relative:margin;mso-wrap-style:none;z-index:251659264;mso-width-relative:page;mso-height-relative:page;" filled="f" stroked="f" coordsize="21600,21600" o:gfxdata="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sN0UTQAAAAAwEAAA8AAAAAAAAAAQAgAAAAIgAAAGRycy9k&#10;b3ducmV2LnhtbFBLAQIUABQAAAAIAIdO4kD2lF1iCgIAAAEEAAAOAAAAAAAAAAEAIAAAAB8BAABk&#10;cnMvZTJvRG9jLnhtbFBLBQYAAAAABgAGAFkBAACbBQAAAAA=&#10;">
              <v:fill on="f" focussize="0,0"/>
              <v:stroke on="f"/>
              <v:imagedata o:title=""/>
              <o:lock v:ext="edit" aspectratio="f"/>
              <v:textbox inset="0mm,0mm,0mm,0mm" style="mso-fit-shape-to-text:t;">
                <w:txbxContent>
                  <w:p w14:paraId="1A250F33">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E21F7">
    <w:pPr>
      <w:pStyle w:val="9"/>
      <w:jc w:val="right"/>
      <w:rPr>
        <w:rFonts w:eastAsia="宋体"/>
      </w:rPr>
    </w:pPr>
    <w:r>
      <w:rPr>
        <w:rFonts w:hint="eastAsia" w:eastAsia="宋体"/>
      </w:rPr>
      <w:t xml:space="preserve">                                                                          合同编号：</w:t>
    </w:r>
    <w:r>
      <w:rPr>
        <w:rFonts w:eastAsia="宋体"/>
      </w:rPr>
      <w:t>H</w:t>
    </w:r>
    <w:r>
      <w:rPr>
        <w:rFonts w:hint="eastAsia" w:eastAsia="宋体"/>
      </w:rPr>
      <w:t>TH</w:t>
    </w:r>
    <w:r>
      <w:rPr>
        <w:rFonts w:eastAsia="宋体"/>
      </w:rPr>
      <w:t>D2025-3-16</w:t>
    </w:r>
    <w:r>
      <w:rPr>
        <w:rFonts w:hint="eastAsia" w:eastAsia="宋体"/>
      </w:rPr>
      <w:t>-1</w:t>
    </w:r>
    <w:r>
      <w:rPr>
        <w:rFonts w:hint="eastAsia" w:eastAsia="宋体"/>
      </w:rPr>
      <w:drawing>
        <wp:anchor distT="0" distB="0" distL="0" distR="0" simplePos="0" relativeHeight="251660288" behindDoc="1" locked="0" layoutInCell="1" allowOverlap="1">
          <wp:simplePos x="0" y="0"/>
          <wp:positionH relativeFrom="column">
            <wp:posOffset>4074160</wp:posOffset>
          </wp:positionH>
          <wp:positionV relativeFrom="paragraph">
            <wp:posOffset>147955</wp:posOffset>
          </wp:positionV>
          <wp:extent cx="1657350" cy="542925"/>
          <wp:effectExtent l="0" t="0" r="0" b="0"/>
          <wp:wrapNone/>
          <wp:docPr id="1" name="图片 6" descr="校徽+logo"/>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picid" s:val="{731c5d84-d64d-4569-8b05-3290ef2c07f3}"/>
                </s:tag>
              </a:ext>
            </a:extLst>
          </wp:cNvGraphicFramePr>
          <a:graphic xmlns:a="http://schemas.openxmlformats.org/drawingml/2006/main">
            <a:graphicData uri="http://schemas.openxmlformats.org/drawingml/2006/picture">
              <pic:pic xmlns:pic="http://schemas.openxmlformats.org/drawingml/2006/picture">
                <pic:nvPicPr>
                  <pic:cNvPr id="1" name="图片 6" descr="校徽+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57350" cy="542925"/>
                  </a:xfrm>
                  <a:prstGeom prst="rect">
                    <a:avLst/>
                  </a:prstGeom>
                  <a:noFill/>
                  <a:ln>
                    <a:noFill/>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JjMmIwMmUxNGM2OGZlNmZhYTMzZDRiMTk5ZDU0YzgifQ=="/>
  </w:docVars>
  <w:rsids>
    <w:rsidRoot w:val="00B30E7D"/>
    <w:rsid w:val="000249B6"/>
    <w:rsid w:val="00030105"/>
    <w:rsid w:val="00030A45"/>
    <w:rsid w:val="000327A3"/>
    <w:rsid w:val="00033BA0"/>
    <w:rsid w:val="00033F16"/>
    <w:rsid w:val="00046F22"/>
    <w:rsid w:val="00047601"/>
    <w:rsid w:val="000526C9"/>
    <w:rsid w:val="0005471E"/>
    <w:rsid w:val="00063B75"/>
    <w:rsid w:val="00083C7F"/>
    <w:rsid w:val="000A1E19"/>
    <w:rsid w:val="000B2982"/>
    <w:rsid w:val="000C500D"/>
    <w:rsid w:val="000D22BE"/>
    <w:rsid w:val="000D6388"/>
    <w:rsid w:val="000E679D"/>
    <w:rsid w:val="000F2BA4"/>
    <w:rsid w:val="00102E31"/>
    <w:rsid w:val="00111502"/>
    <w:rsid w:val="0011366E"/>
    <w:rsid w:val="00114D72"/>
    <w:rsid w:val="0011575C"/>
    <w:rsid w:val="00135CA3"/>
    <w:rsid w:val="00144D11"/>
    <w:rsid w:val="001471AF"/>
    <w:rsid w:val="001738BD"/>
    <w:rsid w:val="00177DBE"/>
    <w:rsid w:val="00182E5E"/>
    <w:rsid w:val="00186766"/>
    <w:rsid w:val="00192DDA"/>
    <w:rsid w:val="001A00A2"/>
    <w:rsid w:val="001B0497"/>
    <w:rsid w:val="001B357E"/>
    <w:rsid w:val="001C3D2E"/>
    <w:rsid w:val="001C65FE"/>
    <w:rsid w:val="001D2248"/>
    <w:rsid w:val="001D5635"/>
    <w:rsid w:val="001D7AD0"/>
    <w:rsid w:val="001E7F03"/>
    <w:rsid w:val="001F3441"/>
    <w:rsid w:val="001F541A"/>
    <w:rsid w:val="00201374"/>
    <w:rsid w:val="002063B6"/>
    <w:rsid w:val="00220EC3"/>
    <w:rsid w:val="00233C68"/>
    <w:rsid w:val="00236F8B"/>
    <w:rsid w:val="00237922"/>
    <w:rsid w:val="002574B9"/>
    <w:rsid w:val="00264895"/>
    <w:rsid w:val="00267AFF"/>
    <w:rsid w:val="00271FC4"/>
    <w:rsid w:val="00272ADC"/>
    <w:rsid w:val="0027515C"/>
    <w:rsid w:val="00276832"/>
    <w:rsid w:val="00281879"/>
    <w:rsid w:val="00285760"/>
    <w:rsid w:val="00295F14"/>
    <w:rsid w:val="002977CC"/>
    <w:rsid w:val="002B35CD"/>
    <w:rsid w:val="002B747A"/>
    <w:rsid w:val="002D2819"/>
    <w:rsid w:val="002D3B4C"/>
    <w:rsid w:val="002E0B33"/>
    <w:rsid w:val="002E5D20"/>
    <w:rsid w:val="002F21C1"/>
    <w:rsid w:val="003018FE"/>
    <w:rsid w:val="00326A57"/>
    <w:rsid w:val="00330344"/>
    <w:rsid w:val="00334DC9"/>
    <w:rsid w:val="00342115"/>
    <w:rsid w:val="00343639"/>
    <w:rsid w:val="00345FE9"/>
    <w:rsid w:val="00357920"/>
    <w:rsid w:val="00367BB2"/>
    <w:rsid w:val="003719FE"/>
    <w:rsid w:val="00383612"/>
    <w:rsid w:val="00385EEF"/>
    <w:rsid w:val="0038604D"/>
    <w:rsid w:val="003B0A25"/>
    <w:rsid w:val="003B3562"/>
    <w:rsid w:val="003E6C02"/>
    <w:rsid w:val="003E6C2F"/>
    <w:rsid w:val="003F524A"/>
    <w:rsid w:val="00401484"/>
    <w:rsid w:val="00440EC3"/>
    <w:rsid w:val="00445F14"/>
    <w:rsid w:val="00457FBC"/>
    <w:rsid w:val="0046124E"/>
    <w:rsid w:val="00467FD8"/>
    <w:rsid w:val="00477DAF"/>
    <w:rsid w:val="00482A6E"/>
    <w:rsid w:val="00486403"/>
    <w:rsid w:val="00497DA0"/>
    <w:rsid w:val="004A7A70"/>
    <w:rsid w:val="004D2F0F"/>
    <w:rsid w:val="004D6D84"/>
    <w:rsid w:val="004E3517"/>
    <w:rsid w:val="0050601F"/>
    <w:rsid w:val="0053647A"/>
    <w:rsid w:val="00545B78"/>
    <w:rsid w:val="00555374"/>
    <w:rsid w:val="0056070F"/>
    <w:rsid w:val="00561469"/>
    <w:rsid w:val="00566774"/>
    <w:rsid w:val="00571018"/>
    <w:rsid w:val="00572193"/>
    <w:rsid w:val="0057389B"/>
    <w:rsid w:val="005767B9"/>
    <w:rsid w:val="005812EB"/>
    <w:rsid w:val="00590A8B"/>
    <w:rsid w:val="00596B68"/>
    <w:rsid w:val="005A435A"/>
    <w:rsid w:val="005D466D"/>
    <w:rsid w:val="005E05CA"/>
    <w:rsid w:val="005E1184"/>
    <w:rsid w:val="005F3A78"/>
    <w:rsid w:val="00605E43"/>
    <w:rsid w:val="00630002"/>
    <w:rsid w:val="00630009"/>
    <w:rsid w:val="00630183"/>
    <w:rsid w:val="006359A5"/>
    <w:rsid w:val="00646DA6"/>
    <w:rsid w:val="00647585"/>
    <w:rsid w:val="00653A8B"/>
    <w:rsid w:val="006649D5"/>
    <w:rsid w:val="006661D8"/>
    <w:rsid w:val="00672A49"/>
    <w:rsid w:val="00681FBD"/>
    <w:rsid w:val="00682B7A"/>
    <w:rsid w:val="006A327A"/>
    <w:rsid w:val="006B1354"/>
    <w:rsid w:val="006B37F8"/>
    <w:rsid w:val="006B38C8"/>
    <w:rsid w:val="006B5A66"/>
    <w:rsid w:val="006C1907"/>
    <w:rsid w:val="006C4FF1"/>
    <w:rsid w:val="006C5B33"/>
    <w:rsid w:val="006D4253"/>
    <w:rsid w:val="006D440D"/>
    <w:rsid w:val="006D6604"/>
    <w:rsid w:val="006F2697"/>
    <w:rsid w:val="006F3DA4"/>
    <w:rsid w:val="00706DCB"/>
    <w:rsid w:val="0071704B"/>
    <w:rsid w:val="007234EF"/>
    <w:rsid w:val="00726333"/>
    <w:rsid w:val="00733B1A"/>
    <w:rsid w:val="007352CE"/>
    <w:rsid w:val="007376C4"/>
    <w:rsid w:val="007408ED"/>
    <w:rsid w:val="00741A12"/>
    <w:rsid w:val="007442D5"/>
    <w:rsid w:val="00744FDC"/>
    <w:rsid w:val="00746347"/>
    <w:rsid w:val="00755A35"/>
    <w:rsid w:val="0075778C"/>
    <w:rsid w:val="00762325"/>
    <w:rsid w:val="00764D45"/>
    <w:rsid w:val="00774EEB"/>
    <w:rsid w:val="0078284E"/>
    <w:rsid w:val="00795CBE"/>
    <w:rsid w:val="007B0458"/>
    <w:rsid w:val="007C1FC9"/>
    <w:rsid w:val="007D128B"/>
    <w:rsid w:val="007D493F"/>
    <w:rsid w:val="007D5B74"/>
    <w:rsid w:val="007D653D"/>
    <w:rsid w:val="007F7B30"/>
    <w:rsid w:val="008030D7"/>
    <w:rsid w:val="00807210"/>
    <w:rsid w:val="008130B0"/>
    <w:rsid w:val="00826F69"/>
    <w:rsid w:val="00835E49"/>
    <w:rsid w:val="00840D44"/>
    <w:rsid w:val="008454D7"/>
    <w:rsid w:val="0085278B"/>
    <w:rsid w:val="00862C6E"/>
    <w:rsid w:val="00871F1B"/>
    <w:rsid w:val="00883E1C"/>
    <w:rsid w:val="008920B3"/>
    <w:rsid w:val="008944EC"/>
    <w:rsid w:val="00895ABB"/>
    <w:rsid w:val="008A51B7"/>
    <w:rsid w:val="008B623B"/>
    <w:rsid w:val="008B684D"/>
    <w:rsid w:val="008C552E"/>
    <w:rsid w:val="008D42AD"/>
    <w:rsid w:val="008D5126"/>
    <w:rsid w:val="008F2B9B"/>
    <w:rsid w:val="009017BE"/>
    <w:rsid w:val="00901F63"/>
    <w:rsid w:val="00904D24"/>
    <w:rsid w:val="0090622E"/>
    <w:rsid w:val="0091586A"/>
    <w:rsid w:val="00954330"/>
    <w:rsid w:val="0095619C"/>
    <w:rsid w:val="009576D8"/>
    <w:rsid w:val="0096628C"/>
    <w:rsid w:val="0097708E"/>
    <w:rsid w:val="0098243D"/>
    <w:rsid w:val="00983B15"/>
    <w:rsid w:val="00986D9F"/>
    <w:rsid w:val="00986F86"/>
    <w:rsid w:val="009B01C8"/>
    <w:rsid w:val="009C0702"/>
    <w:rsid w:val="009D0A91"/>
    <w:rsid w:val="009E4469"/>
    <w:rsid w:val="009F35FE"/>
    <w:rsid w:val="009F6F13"/>
    <w:rsid w:val="00A01519"/>
    <w:rsid w:val="00A03FCF"/>
    <w:rsid w:val="00A14A8C"/>
    <w:rsid w:val="00A26EE2"/>
    <w:rsid w:val="00A344B4"/>
    <w:rsid w:val="00A360E8"/>
    <w:rsid w:val="00A414BE"/>
    <w:rsid w:val="00A44CCF"/>
    <w:rsid w:val="00A51948"/>
    <w:rsid w:val="00A55A4E"/>
    <w:rsid w:val="00A75CCE"/>
    <w:rsid w:val="00A8040A"/>
    <w:rsid w:val="00A86FEA"/>
    <w:rsid w:val="00A953F3"/>
    <w:rsid w:val="00A96B84"/>
    <w:rsid w:val="00AA0E92"/>
    <w:rsid w:val="00AA4C10"/>
    <w:rsid w:val="00AA4D50"/>
    <w:rsid w:val="00AA6531"/>
    <w:rsid w:val="00AB18D2"/>
    <w:rsid w:val="00AB47B1"/>
    <w:rsid w:val="00AD4AD7"/>
    <w:rsid w:val="00AE4E7F"/>
    <w:rsid w:val="00AF26AE"/>
    <w:rsid w:val="00AF2F0B"/>
    <w:rsid w:val="00B0067C"/>
    <w:rsid w:val="00B05532"/>
    <w:rsid w:val="00B1144A"/>
    <w:rsid w:val="00B20667"/>
    <w:rsid w:val="00B30E7D"/>
    <w:rsid w:val="00B54375"/>
    <w:rsid w:val="00B578E4"/>
    <w:rsid w:val="00B807A8"/>
    <w:rsid w:val="00BA1246"/>
    <w:rsid w:val="00BA3171"/>
    <w:rsid w:val="00BB31DE"/>
    <w:rsid w:val="00BC5987"/>
    <w:rsid w:val="00BC7508"/>
    <w:rsid w:val="00BD6906"/>
    <w:rsid w:val="00C03CB5"/>
    <w:rsid w:val="00C050E8"/>
    <w:rsid w:val="00C06E60"/>
    <w:rsid w:val="00C148D9"/>
    <w:rsid w:val="00C15B6F"/>
    <w:rsid w:val="00C17DAF"/>
    <w:rsid w:val="00C23224"/>
    <w:rsid w:val="00C263D2"/>
    <w:rsid w:val="00C34E01"/>
    <w:rsid w:val="00C37DD0"/>
    <w:rsid w:val="00C43414"/>
    <w:rsid w:val="00C45F3B"/>
    <w:rsid w:val="00C839D5"/>
    <w:rsid w:val="00CA2636"/>
    <w:rsid w:val="00CC3C33"/>
    <w:rsid w:val="00CC64E9"/>
    <w:rsid w:val="00CD40D5"/>
    <w:rsid w:val="00CE0123"/>
    <w:rsid w:val="00CE04BA"/>
    <w:rsid w:val="00CE53AE"/>
    <w:rsid w:val="00CF025A"/>
    <w:rsid w:val="00D01AAE"/>
    <w:rsid w:val="00D10534"/>
    <w:rsid w:val="00D17BA6"/>
    <w:rsid w:val="00D271FE"/>
    <w:rsid w:val="00D43FF2"/>
    <w:rsid w:val="00D45A8E"/>
    <w:rsid w:val="00D5188E"/>
    <w:rsid w:val="00D52110"/>
    <w:rsid w:val="00D5240F"/>
    <w:rsid w:val="00D626E9"/>
    <w:rsid w:val="00D664C6"/>
    <w:rsid w:val="00D74CC4"/>
    <w:rsid w:val="00DA77C5"/>
    <w:rsid w:val="00DB3F4B"/>
    <w:rsid w:val="00DB4F6C"/>
    <w:rsid w:val="00DC1AD8"/>
    <w:rsid w:val="00DC407A"/>
    <w:rsid w:val="00DD78AB"/>
    <w:rsid w:val="00DE10CB"/>
    <w:rsid w:val="00DE2A4D"/>
    <w:rsid w:val="00DF4429"/>
    <w:rsid w:val="00DF6ED0"/>
    <w:rsid w:val="00E0237C"/>
    <w:rsid w:val="00E02E5B"/>
    <w:rsid w:val="00E13F8F"/>
    <w:rsid w:val="00E20A95"/>
    <w:rsid w:val="00E30509"/>
    <w:rsid w:val="00E30FBA"/>
    <w:rsid w:val="00E356CB"/>
    <w:rsid w:val="00E55CFB"/>
    <w:rsid w:val="00E6008D"/>
    <w:rsid w:val="00E616E5"/>
    <w:rsid w:val="00E64877"/>
    <w:rsid w:val="00E65A25"/>
    <w:rsid w:val="00E72057"/>
    <w:rsid w:val="00E73291"/>
    <w:rsid w:val="00E73D3A"/>
    <w:rsid w:val="00E77F6C"/>
    <w:rsid w:val="00E8115F"/>
    <w:rsid w:val="00E84784"/>
    <w:rsid w:val="00E87650"/>
    <w:rsid w:val="00EA1F55"/>
    <w:rsid w:val="00EA752F"/>
    <w:rsid w:val="00EB1AAC"/>
    <w:rsid w:val="00EB4286"/>
    <w:rsid w:val="00EB77FC"/>
    <w:rsid w:val="00ED2E66"/>
    <w:rsid w:val="00ED31C8"/>
    <w:rsid w:val="00ED4C41"/>
    <w:rsid w:val="00EE55B1"/>
    <w:rsid w:val="00EF6225"/>
    <w:rsid w:val="00EF65EA"/>
    <w:rsid w:val="00F05133"/>
    <w:rsid w:val="00F074D3"/>
    <w:rsid w:val="00F21B33"/>
    <w:rsid w:val="00F27538"/>
    <w:rsid w:val="00F340D6"/>
    <w:rsid w:val="00F40AF4"/>
    <w:rsid w:val="00F41F9E"/>
    <w:rsid w:val="00F53CD6"/>
    <w:rsid w:val="00F607C2"/>
    <w:rsid w:val="00F9105A"/>
    <w:rsid w:val="00FA1D76"/>
    <w:rsid w:val="00FA2076"/>
    <w:rsid w:val="00FA233E"/>
    <w:rsid w:val="00FA2B6E"/>
    <w:rsid w:val="00FC753F"/>
    <w:rsid w:val="00FD199F"/>
    <w:rsid w:val="00FD416A"/>
    <w:rsid w:val="00FD497E"/>
    <w:rsid w:val="00FE3E9F"/>
    <w:rsid w:val="00FE5228"/>
    <w:rsid w:val="026C7207"/>
    <w:rsid w:val="04847370"/>
    <w:rsid w:val="04A24B84"/>
    <w:rsid w:val="05FC307F"/>
    <w:rsid w:val="06AA54C3"/>
    <w:rsid w:val="0A0D52EB"/>
    <w:rsid w:val="0C6E7320"/>
    <w:rsid w:val="0D4B3C57"/>
    <w:rsid w:val="116C4C44"/>
    <w:rsid w:val="1355733F"/>
    <w:rsid w:val="15143BAD"/>
    <w:rsid w:val="169C30A8"/>
    <w:rsid w:val="19365959"/>
    <w:rsid w:val="1B747282"/>
    <w:rsid w:val="1B7F6F38"/>
    <w:rsid w:val="1DBF1A33"/>
    <w:rsid w:val="1ED023F6"/>
    <w:rsid w:val="1EE2069D"/>
    <w:rsid w:val="1F3C3DD2"/>
    <w:rsid w:val="1F9E2148"/>
    <w:rsid w:val="20790490"/>
    <w:rsid w:val="2099360C"/>
    <w:rsid w:val="219903E6"/>
    <w:rsid w:val="22BB5089"/>
    <w:rsid w:val="2629095F"/>
    <w:rsid w:val="276434F0"/>
    <w:rsid w:val="31A21D6F"/>
    <w:rsid w:val="333A1CC0"/>
    <w:rsid w:val="366408C1"/>
    <w:rsid w:val="371863C5"/>
    <w:rsid w:val="3A1D4906"/>
    <w:rsid w:val="3C0C4136"/>
    <w:rsid w:val="3E896A36"/>
    <w:rsid w:val="404E368D"/>
    <w:rsid w:val="405875E8"/>
    <w:rsid w:val="42905B96"/>
    <w:rsid w:val="433C4F68"/>
    <w:rsid w:val="47B243E6"/>
    <w:rsid w:val="4A3C218C"/>
    <w:rsid w:val="4AAB46B8"/>
    <w:rsid w:val="4CA444E5"/>
    <w:rsid w:val="4EB26E94"/>
    <w:rsid w:val="50A00287"/>
    <w:rsid w:val="50FC251F"/>
    <w:rsid w:val="52B34F6C"/>
    <w:rsid w:val="56241FDF"/>
    <w:rsid w:val="573E1C0D"/>
    <w:rsid w:val="59E806BB"/>
    <w:rsid w:val="5A2C3F9F"/>
    <w:rsid w:val="5D0169F7"/>
    <w:rsid w:val="615A3DD5"/>
    <w:rsid w:val="637D5D56"/>
    <w:rsid w:val="68F72E8C"/>
    <w:rsid w:val="711723D4"/>
    <w:rsid w:val="750D0CEE"/>
    <w:rsid w:val="796432FD"/>
    <w:rsid w:val="7A1D3B54"/>
    <w:rsid w:val="7CF86AD5"/>
    <w:rsid w:val="7DAB1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ody Text Indent"/>
    <w:basedOn w:val="1"/>
    <w:next w:val="6"/>
    <w:qFormat/>
    <w:uiPriority w:val="99"/>
    <w:pPr>
      <w:spacing w:after="120"/>
      <w:ind w:left="420" w:leftChars="200"/>
    </w:pPr>
  </w:style>
  <w:style w:type="paragraph" w:styleId="6">
    <w:name w:val="envelope return"/>
    <w:basedOn w:val="1"/>
    <w:qFormat/>
    <w:uiPriority w:val="0"/>
    <w:pPr>
      <w:spacing w:after="200"/>
    </w:pPr>
    <w:rPr>
      <w:rFonts w:eastAsia="微软雅黑"/>
      <w:sz w:val="22"/>
      <w:szCs w:val="22"/>
    </w:rPr>
  </w:style>
  <w:style w:type="paragraph" w:styleId="7">
    <w:name w:val="Balloon Text"/>
    <w:basedOn w:val="1"/>
    <w:link w:val="24"/>
    <w:qFormat/>
    <w:uiPriority w:val="0"/>
    <w:rPr>
      <w:sz w:val="18"/>
      <w:szCs w:val="18"/>
    </w:rPr>
  </w:style>
  <w:style w:type="paragraph" w:styleId="8">
    <w:name w:val="footer"/>
    <w:basedOn w:val="1"/>
    <w:qFormat/>
    <w:uiPriority w:val="0"/>
    <w:pPr>
      <w:tabs>
        <w:tab w:val="center" w:pos="4153"/>
        <w:tab w:val="right" w:pos="8306"/>
      </w:tabs>
    </w:pPr>
    <w:rPr>
      <w:sz w:val="18"/>
    </w:rPr>
  </w:style>
  <w:style w:type="paragraph" w:styleId="9">
    <w:name w:val="header"/>
    <w:basedOn w:val="1"/>
    <w:link w:val="23"/>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footnote text"/>
    <w:basedOn w:val="1"/>
    <w:link w:val="20"/>
    <w:unhideWhenUsed/>
    <w:qFormat/>
    <w:uiPriority w:val="99"/>
    <w:pPr>
      <w:widowControl w:val="0"/>
      <w:kinsoku/>
      <w:autoSpaceDE/>
      <w:autoSpaceDN/>
      <w:adjustRightInd/>
      <w:textAlignment w:val="auto"/>
    </w:pPr>
    <w:rPr>
      <w:rFonts w:ascii="Times New Roman" w:hAnsi="Times New Roman" w:eastAsia="宋体" w:cs="Times New Roman"/>
      <w:snapToGrid/>
      <w:color w:val="auto"/>
      <w:kern w:val="2"/>
      <w:sz w:val="18"/>
      <w:szCs w:val="18"/>
    </w:rPr>
  </w:style>
  <w:style w:type="paragraph" w:styleId="11">
    <w:name w:val="Body Text Indent 3"/>
    <w:basedOn w:val="1"/>
    <w:qFormat/>
    <w:uiPriority w:val="0"/>
    <w:pPr>
      <w:spacing w:line="360" w:lineRule="exact"/>
      <w:ind w:firstLine="420" w:firstLineChars="200"/>
    </w:pPr>
  </w:style>
  <w:style w:type="paragraph" w:styleId="12">
    <w:name w:val="Body Text 2"/>
    <w:basedOn w:val="1"/>
    <w:qFormat/>
    <w:uiPriority w:val="99"/>
    <w:pPr>
      <w:spacing w:after="120" w:line="480" w:lineRule="auto"/>
    </w:pPr>
  </w:style>
  <w:style w:type="paragraph" w:styleId="13">
    <w:name w:val="Body Text First Indent 2"/>
    <w:basedOn w:val="5"/>
    <w:next w:val="4"/>
    <w:qFormat/>
    <w:uiPriority w:val="0"/>
    <w:pPr>
      <w:ind w:firstLine="420" w:firstLineChars="200"/>
    </w:pPr>
  </w:style>
  <w:style w:type="table" w:styleId="15">
    <w:name w:val="Table Grid"/>
    <w:basedOn w:val="14"/>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楷体粗正文文字"/>
    <w:basedOn w:val="1"/>
    <w:next w:val="11"/>
    <w:qFormat/>
    <w:uiPriority w:val="0"/>
    <w:pPr>
      <w:spacing w:line="480" w:lineRule="exact"/>
      <w:ind w:firstLine="560"/>
    </w:pPr>
    <w:rPr>
      <w:sz w:val="28"/>
      <w:szCs w:val="20"/>
    </w:rPr>
  </w:style>
  <w:style w:type="paragraph" w:customStyle="1" w:styleId="18">
    <w:name w:val="列出段落1"/>
    <w:basedOn w:val="1"/>
    <w:qFormat/>
    <w:uiPriority w:val="0"/>
    <w:pPr>
      <w:autoSpaceDE/>
      <w:autoSpaceDN/>
      <w:adjustRightInd/>
      <w:spacing w:line="360" w:lineRule="auto"/>
      <w:ind w:firstLine="420"/>
    </w:pPr>
    <w:rPr>
      <w:rFonts w:ascii="Calibri" w:eastAsia="??" w:cs="宋体"/>
      <w:kern w:val="2"/>
      <w:szCs w:val="22"/>
    </w:rPr>
  </w:style>
  <w:style w:type="table" w:customStyle="1" w:styleId="19">
    <w:name w:val="Table Normal"/>
    <w:unhideWhenUsed/>
    <w:qFormat/>
    <w:uiPriority w:val="0"/>
    <w:tblPr>
      <w:tblCellMar>
        <w:top w:w="0" w:type="dxa"/>
        <w:left w:w="0" w:type="dxa"/>
        <w:bottom w:w="0" w:type="dxa"/>
        <w:right w:w="0" w:type="dxa"/>
      </w:tblCellMar>
    </w:tblPr>
  </w:style>
  <w:style w:type="character" w:customStyle="1" w:styleId="20">
    <w:name w:val="脚注文本 字符"/>
    <w:basedOn w:val="16"/>
    <w:link w:val="10"/>
    <w:qFormat/>
    <w:uiPriority w:val="99"/>
    <w:rPr>
      <w:rFonts w:ascii="Times New Roman" w:hAnsi="Times New Roman"/>
      <w:kern w:val="2"/>
      <w:sz w:val="18"/>
      <w:szCs w:val="18"/>
    </w:rPr>
  </w:style>
  <w:style w:type="paragraph" w:styleId="21">
    <w:name w:val="List Paragraph"/>
    <w:basedOn w:val="1"/>
    <w:link w:val="25"/>
    <w:qFormat/>
    <w:uiPriority w:val="34"/>
    <w:pPr>
      <w:widowControl w:val="0"/>
      <w:kinsoku/>
      <w:autoSpaceDE/>
      <w:autoSpaceDN/>
      <w:adjustRightInd/>
      <w:snapToGrid/>
      <w:ind w:firstLine="420" w:firstLineChars="200"/>
      <w:jc w:val="both"/>
      <w:textAlignment w:val="auto"/>
    </w:pPr>
    <w:rPr>
      <w:rFonts w:ascii="Times New Roman" w:hAnsi="Times New Roman" w:eastAsia="宋体" w:cs="Times New Roman"/>
      <w:snapToGrid/>
      <w:color w:val="auto"/>
      <w:kern w:val="2"/>
      <w:szCs w:val="24"/>
    </w:rPr>
  </w:style>
  <w:style w:type="character" w:customStyle="1" w:styleId="22">
    <w:name w:val="明显强调1"/>
    <w:autoRedefine/>
    <w:qFormat/>
    <w:uiPriority w:val="0"/>
    <w:rPr>
      <w:b/>
      <w:bCs/>
      <w:i/>
      <w:iCs/>
      <w:color w:val="4F81BD"/>
    </w:rPr>
  </w:style>
  <w:style w:type="character" w:customStyle="1" w:styleId="23">
    <w:name w:val="页眉 字符"/>
    <w:basedOn w:val="16"/>
    <w:link w:val="9"/>
    <w:qFormat/>
    <w:uiPriority w:val="99"/>
    <w:rPr>
      <w:rFonts w:ascii="Arial" w:hAnsi="Arial" w:eastAsia="Arial" w:cs="Arial"/>
      <w:snapToGrid w:val="0"/>
      <w:color w:val="000000"/>
      <w:sz w:val="18"/>
      <w:szCs w:val="21"/>
    </w:rPr>
  </w:style>
  <w:style w:type="character" w:customStyle="1" w:styleId="24">
    <w:name w:val="批注框文本 字符"/>
    <w:basedOn w:val="16"/>
    <w:link w:val="7"/>
    <w:qFormat/>
    <w:uiPriority w:val="0"/>
    <w:rPr>
      <w:rFonts w:ascii="Arial" w:hAnsi="Arial" w:eastAsia="Arial" w:cs="Arial"/>
      <w:snapToGrid w:val="0"/>
      <w:color w:val="000000"/>
      <w:sz w:val="18"/>
      <w:szCs w:val="18"/>
    </w:rPr>
  </w:style>
  <w:style w:type="character" w:customStyle="1" w:styleId="25">
    <w:name w:val="列表段落 字符"/>
    <w:link w:val="21"/>
    <w:qFormat/>
    <w:locked/>
    <w:uiPriority w:val="34"/>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evergrande</Company>
  <Pages>13</Pages>
  <Words>1874</Words>
  <Characters>2126</Characters>
  <Lines>55</Lines>
  <Paragraphs>15</Paragraphs>
  <TotalTime>270</TotalTime>
  <ScaleCrop>false</ScaleCrop>
  <LinksUpToDate>false</LinksUpToDate>
  <CharactersWithSpaces>2417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2024-11-21T01:50:00Z</dcterms:created>
  <dc:creator>MA JINFENG</dc:creator>
  <cp:lastModifiedBy>瑞平</cp:lastModifiedBy>
  <cp:lastPrinted>2024-10-17T08:06:00Z</cp:lastPrinted>
  <dcterms:modified xsi:type="dcterms:W3CDTF">2025-06-24T06:26:42Z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499FC8CB4BDF40F5A650331E73846344_13</vt:lpwstr>
  </property>
  <property fmtid="{D5CDD505-2E9C-101B-9397-08002B2CF9AE}" pid="4" name="KSOTemplateDocerSaveRecord">
    <vt:lpwstr>eyJoZGlkIjoiYTU2YjMyNzA0ODk1ZjFhZWVmYjc4NDlkOTY3OGJiOTIiLCJ1c2VySWQiOiI5NzE0MzkxMDYifQ==</vt:lpwstr>
  </property>
</Properties>
</file>