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2025年海南省高考综合改革信息化平台运维服务采购项目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海南省教育厅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海南省教育厅</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2025年海南省高考综合改革信息化平台运维服务采购项目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HNJY2025-5-3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2025年海南省高考综合改革信息化平台运维服务采购项目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2,321,400.00元</w:t>
      </w:r>
      <w:r>
        <w:rPr>
          <w:rFonts w:ascii="仿宋_GB2312" w:hAnsi="仿宋_GB2312" w:cs="仿宋_GB2312" w:eastAsia="仿宋_GB2312"/>
        </w:rPr>
        <w:t>贰佰叁拾贰万壹仟肆佰元整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自合同签订日起一年服务期，具体以合同签订为准。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海南省教育厅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海口市美兰区蓝天街道政府办公大楼四楼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65230825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采购包1：2,321,400.00元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收费标准的8折收取。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项目为远程开标，如有演示公司需委派技术人员到评标现场，地址：海口市蓝天路西2-8号海南省教学仪器设备招标中心有限公司，演示签到截止时间为投标截止时间。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地址：海口市美兰区蓝天路2-8号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HNJY2025-5-3</w:t>
      </w:r>
    </w:p>
    <w:p>
      <w:pPr>
        <w:pStyle w:val="null3"/>
        <w:ind w:firstLine="480"/>
        <w:jc w:val="both"/>
      </w:pPr>
      <w:r>
        <w:rPr>
          <w:rFonts w:ascii="仿宋_GB2312" w:hAnsi="仿宋_GB2312" w:cs="仿宋_GB2312" w:eastAsia="仿宋_GB2312"/>
          <w:sz w:val="24"/>
        </w:rPr>
        <w:t>项目名称：</w:t>
      </w:r>
      <w:r>
        <w:rPr>
          <w:rFonts w:ascii="仿宋_GB2312" w:hAnsi="仿宋_GB2312" w:cs="仿宋_GB2312" w:eastAsia="仿宋_GB2312"/>
          <w:sz w:val="24"/>
        </w:rPr>
        <w:t>2025年海南省高考综合改革信息化平台运维服务采购项目</w:t>
      </w:r>
    </w:p>
    <w:p>
      <w:pPr>
        <w:pStyle w:val="null3"/>
        <w:ind w:firstLine="480"/>
        <w:jc w:val="both"/>
      </w:pPr>
      <w:r>
        <w:rPr>
          <w:rFonts w:ascii="仿宋_GB2312" w:hAnsi="仿宋_GB2312" w:cs="仿宋_GB2312" w:eastAsia="仿宋_GB2312"/>
          <w:sz w:val="24"/>
        </w:rPr>
        <w:t>采购方式：竞争性磋商</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232.14</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最高限价：</w:t>
      </w:r>
      <w:r>
        <w:rPr>
          <w:rFonts w:ascii="仿宋_GB2312" w:hAnsi="仿宋_GB2312" w:cs="仿宋_GB2312" w:eastAsia="仿宋_GB2312"/>
          <w:sz w:val="24"/>
        </w:rPr>
        <w:t>232.14</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采购需求：</w:t>
      </w:r>
      <w:r>
        <w:rPr>
          <w:rFonts w:ascii="仿宋_GB2312" w:hAnsi="仿宋_GB2312" w:cs="仿宋_GB2312" w:eastAsia="仿宋_GB2312"/>
          <w:sz w:val="24"/>
        </w:rPr>
        <w:t>运维</w:t>
      </w:r>
      <w:r>
        <w:rPr>
          <w:rFonts w:ascii="仿宋_GB2312" w:hAnsi="仿宋_GB2312" w:cs="仿宋_GB2312" w:eastAsia="仿宋_GB2312"/>
          <w:sz w:val="24"/>
        </w:rPr>
        <w:t>服务</w:t>
      </w:r>
      <w:r>
        <w:rPr>
          <w:rFonts w:ascii="仿宋_GB2312" w:hAnsi="仿宋_GB2312" w:cs="仿宋_GB2312" w:eastAsia="仿宋_GB2312"/>
          <w:sz w:val="24"/>
        </w:rPr>
        <w:t>一批、详见采购文件采购需求清单</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2,321,400.00</w:t>
      </w:r>
    </w:p>
    <w:p>
      <w:pPr>
        <w:pStyle w:val="null3"/>
        <w:jc w:val="left"/>
      </w:pPr>
      <w:r>
        <w:rPr>
          <w:rFonts w:ascii="仿宋_GB2312" w:hAnsi="仿宋_GB2312" w:cs="仿宋_GB2312" w:eastAsia="仿宋_GB2312"/>
        </w:rPr>
        <w:t>采购包最高限价（元）: 2,321,400.00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2,321,400.00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2,321,400.00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（一）项目背景 本项目结合海南省高考综合改革政策落地与实施的实际情况和发展需求，按照海南省高考综合改革方案的要求，在“海南省高考综合改革信息化平台项目”基础上，现进行采购后续的运维服务内容。 运维服务期间要求提供专业化的技术支持与培训服务，并提供全方位、精细化的软件运维保障，确保海南省高考综合改革信息化平台的稳定运行、数据安全、功能完备、性能优化和用户体验提升，保证平台中各业务应用系统长期有效的运行，确保海南省高考相关教育管理和教学支撑工作的持续有效开展。</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（二）服务范围 本项目运维服务的系统模块范围主要包括“海南省高考综合改革信息化平台项目”建设的各系统模块，详细如下： (1)等级性考试科目选择（六选三）系统学校端 (2)等级性考试科目选择（六选三）系统学生端 (3)学生生涯探索系统 (4)新高考分班系统 (5)新高考成绩管理系统-学校端 (6)新高考成绩管理系统-学生端 (7)教师评价系统 (8)省级高校招生要求查询 (9)省级学生选科情况统计分析 (10)省级成绩统计分析 (11)省级学校行政班、教学班分班统计分析 (12)省级大数据挖掘功能模块 (13)省级资源评估系统 (14)校级资源评估系统 (15)校级系统数据分析系统 (16)学校课程安排统计分析模块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（三）运维服务要求 1.▲功能优化与版本升级 (1)根据海南省各级教育管理部门和用户需求，进行系统功能的优化升级，增加系统新功能，提升用户体验。 (2)及时跟进并适配最新的软件版本和补丁，进行系统升级，确保系统性能和安全性始终保持最新状态。 (3)协助进行新功能模块的开发、测试与上线，确保新功能与现有系统的无缝对接。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2.▲数据管理与数据对接服务 (1)制定并执行严格的数据备份策略，定期进行数据备份，并确保在必要时可以高效恢复。 (2)建立完善的数据安全机制，包括但不限于数据加密、权限控制、日志审计，防止数据泄露、篡改或丢失。 (3)定期修复服务器操作系统漏洞和操作系统安全基线核查，定期对系统做渗透测试、及时修复检查出的系统安全漏洞。 (4)根据省教育管理部门个性化需求，可对接并获取海南省普通高中学生综合素质评价档案管理系统数据，形成教育大数据报告，为教育决策提供数据支撑。</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3.平台问题解答服务 (1)对海南省高考综合改革信息化平台各类系统模块，各级各类用户在使用过程中出现的各类问题进行解答； (2)提供专业的技术支持服务，包括但不限于系统操作指导、问题解答、错误排查等，设立7*24小时热线支持； (3)组织定期的系统操作培训，制作并更新用户操作手册和帮助文档，确保用户熟练掌握系统操作； (4)应对问题解答风险负责，如因解答不当，造成的损失，应负责相应的赔偿责任。</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4.故障处理服务 (1)系统运行、升级期间出现故障及时到现场进行处理、解决； (2)在系统出现非停机性质的故障如系统运行缓慢时，视同系统故障； (3)在系统故障原因不明时，负责故障诊断； (4)对系统故障提出故障处理建议，经采购方同意后，进行排除、系统调优或重置； (5)对系统故障的处理风险负责，如因技术人员的处理不当，造成采购方的损失，应负责相应的赔偿责任。</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5.基础环境运维服务 （1）各系统模块上线后的日常监控和调优； （2）对系统性能进行监控，定期提供性能报表和趋势表，为应用性能优化提供科学依据；经采购方同意后进行各项系统级参数的调整，日志空间整理，以保证系统的稳定高效运行； （3）完成故障事件收集、过滤、关联和处理等工作，实现对故障的快速定位、处理。</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6.稳定性与可靠性运维 (1)确保平台7×24小时稳定运行，设定并达成至少99.9%的系统可用性目标。 (2)实施定期巡检，包括但不限于操作系统、数据库、中间件、应用软件的健康状态，发现并预防潜在问题，并输出运维巡检报告。 (3)部署监控系统对服务器的cpu内存磁盘、系统服务的健康状态做实时监控，异常问题及时报警。 (4)对突发的系统故障进行即时响应和快速修复，确保服务连续性。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7.性能调优与容量规划 (1)根据系统负载变化，定期进行性能调优，确保系统在高峰期也能流畅运行。 (2)结合系统使用趋势，进行容量规划，提前预警可能的资源瓶颈，并提供扩容建议。</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8.应急管理与预案制定 (1)制定详尽的应急处置预案，包括但不限于数据恢复、系统故障恢复、灾难恢复等，并定期进行应急演练。 (2)在发生突发事件时，能迅速启动应急预案，最大程度减小对业务的影响。</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9.▲本地化驻场服务 (1)在海南省组建本地驻场运维服务团队，且团队人数不少于6人。 (2)负责系统日常维护。系统配置等问题应在2小时内解决。一般性故障问题协调技术支撑8小时内处理，复杂故障24小时内解决。 (3)当平台及相关应用系统出现问题，驻场人员无法解决的，应及时将故障申报给技术支撑并要求给出故障说明及解决时间节点。 (4)负责平台的日常运营管理工作，保证组织用户调整、权限管理、流程管理等一般性事务的及时响应。 (5)负责其他涉及各应用模块的日常运营维护问题，包括全省高中学校的选科指导服务、选课分班服务、成绩分析、学生生涯发展指导等业务服务。</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（四）运维平台核心系统功能要求 1.等级性考试科目选择（六选三）系统 (1)支持查看上级选科安排管理信息，包括但不限于选科管理单位、选科名称、选科年级、选科要求、当前状态、上报的选科任务等信息，支持选择某个选科任务上报到多个上级选科安排，但一个选科安排只能被一个选科任务上报。</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支持管理员进行学科能力、学科兴趣、专业匹配等多维度的选科依据设置，支持设置各维度测评因素权重；支持添加多次考试成绩，并设置各次成绩权重作为学科能力依据，支持设定是否重新进行学科兴趣、职业兴趣、职业性格测评。</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(3)支持查看学生选科情况完成度，并以图表形式展示每个班级的选科情况，包括各班级未完成情况、未完成学生名单等，支持校管理员帮助某位同学完成选科操作；支持查看未完成学生的选科进度和未完成情况；</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支持查看学生选科低匹配度统计分析结果，支持以不匹配类型和不匹配程度两个维度进行展示，不匹配类型包括专业匹配度低、成绩匹配度低、兴趣匹配度低，不匹配程度包括全部匹配、1项不匹配、2项不匹配等，支持展示各维度对应的不匹配学生班级分布和不匹配学生名单；</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支持查看某轮次单科选科成绩与组合选科成绩分析结果，支持与历史轮次选科成绩对比分析，并以图表形式自动展示对比轮次的各科目选科人数增减情况、各成绩梯队的人数增减情况、缺考人数增减情况，并支持下载分析结果（Excel格式）；支持管理员也可自定义成绩依据（总成绩、语数外成绩）和成绩梯队区间设置，可设置成绩优良、成绩中等、成绩较差三个梯队；</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(6)●支持查看学生目标升学路径及升学路径详情，并下载Excel格式统计结果。支持以图表形式分别展示学生目标升学路径和统计详情，路径类型包括：高考、三位一体、艺术类招生、高职单招、出国留学、体育类招生、强基计划等升学路径类型。</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(7)支持查看学生选科总表及选科详情，可按姓名或学号搜索查看某个学生的选科详情，详情内容须包括：姓名、行政班、第一志愿、第二志愿、第三志愿、总成绩年级排名、语数外成绩年级排名、个人报告等，支持对表格表头管理。</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(8)支持管理员帮学生修改选科志愿，并记录历史修改操作信息，包括：学生姓名、所属行政班、志愿类型、原志愿、改后志愿、修改人、修改时间等信息，并可下载修改记录（Excel格式）；</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(9)支持查看学生个人选科报告，并支持批量下载打印学生个人报告，报告内容包括：选考科目总览、各学科成绩自评排名、各学科兴趣自评排名、学科-专业覆盖率、得分最优组合、学生第一志愿、职业性格和职业兴趣测评结果、学生意向专业等；</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(10)支持选科志愿管理，在学校设置的选科活动时间范围内，学生选择三个志愿科目组合，保存入数据库，并提供给学校端统计分析，也为分班提供数据依据。</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(11)支持生成学生选科个人报告，报告内容包括：选科总览、学科兴趣测评结果、学科能力分析结果、职业性格和职业兴趣测评结果、系统推荐专业、学生意向专业、学科-专业覆盖率等。支持下载PDF格式选科报告。</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2.新高考成绩管理系统 (1)校内基本分析 1)支持年级整体分析、班级整体分析、学生个体整体分析、汇总基本分析学生成绩榜单等功能。 2)分析区功能：支持对要分析的考试进行条件选择、缺考处理且支持单科目分析；支持多种成绩计算方式、排名方式支持加权平均分析和历次对比分析，支持智能缺考成绩处理。支持多维度的范围设置，可关联基础数据结构中的班级结构和年级信息。3)内容区功能：支持对范围群体进行筛选分析；支持对分析的基本数据所选范围内学生总成绩或单科在各班级梯队的人数分布、行政班内学生在各年级梯队的人数分布进行统计、班级学生各科目进行分析、班级学生群体分数段分布进行分析、支持对班级学生群体排名段分布进行分析、对班级学生群体各科目内优良等第人数及占比进行分析，可以图标进行展示。</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(2)校内成绩增量分析 1)支持年级增量分析、班级增量分析、个体增量分析以及汇总增量分析，为学校提供对比考试与基准考试的增量变化统计分析。 2)分析区功能：支持选择要分析的考试场次、科目，可对考试科目与场次权重进行分析；支持缺考智能处理；支持多种成绩计算方法、处理方法和排名方法：包括原始分、标准分、混合分。须支持对群体维度分析类型设置，包括行政班、教学班、任课教师、选科组合维度。 3)内容区功能：支持对分析的排名增量、行政班平均排名增量进行对比，以柱状图形式展示。排序方式支持默认排序、排名增量正序。支持图表切换展示数据分析内容。支持按照页面分析内容进行数据导出。</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(3)校内映射分析 1)支持为学校提供从校内考试到省/市统考、联考的映射对应关系，利用丰富的图表形式在页面展示；校内映射分析功能包括：年级映射分析、班级映射分析、个体映射分析、汇总映射分析、映射关系查询。 2)分析区功能：支持选择分析考试场次和映射依据；支持对所选考试进行科目系数设置；对考试场次权重进行设置；对缺考科目进行设置。支持对总成绩计算方式进行设置；支持排名方式设置；支持对缺考处理方式进行设置；支持对分数计算方式进行设置，包括原始分、标准分、混合分。支持对群体维度分析类型设置，包括行政班、教学班、任课教师、选科组合维度。 3)●内容区功能：支持对分析的基本数据进行展示；支持对分析学生群体的映射分数各分数段人数占比Top10进行统计分析，支持图表切换展示数据分析内容；支持对各行政班映射均值进行对比，以柱状图形式进行展示，支持对年级学生群体映射分数段分布进行分析，以柱状图进行展示；支持对年级学生群体各科目内优良等第人数及占比进行分析，以堆积图进行展示。</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(4)学生成绩册 支持基于单次或多次考试创建学生成绩册，支持对学生成绩册进行评语，支持对学生成绩册预览、生成PDF、下载等。</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(5)学校成绩管理基础设置 1)分数算法设置：支持对标准分、混合分、分组排名、映射等级分等进行计算规则设置。 2)梯队设置：支持对年级/校内梯队和班级梯队进行设置。 3)自定义成绩总表：支持对分析中产生的报表进行字段开启/关闭设置。 4)优良等第设置：支持根据分制区间设置优良等第。 5)学生端设置：支持设置学生端展示字段进行开启/关闭设置。</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3.学生生涯探索系统 (1)职业兴趣测评统计分析 支持查看学生职业兴趣测评结果，查看信息包括但不限于序号、班级、姓名、学生账号、性别、创建/更新日期、职业兴趣结果、测评状态等信息；支持对数据列表进行导出操作；需支持查看学生职业兴趣测评报告，报告内容包括但不限于测评结果、职业兴趣描述。职业兴趣的个性特征描述、适合的职业、专业选择建议等信息。</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(2)多元智能测评统计分析 支持查看学生多元智能测评结果；支持对数据列表进行导出操作；需支持查看学生多元智能测评报告，报告内容包括但不限于测评结果、多元智能描述。多元智能的内涵、优势表现、相关职业、对应专业等信息。</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(3)职业性格测评统计分析 支持查看学生职业性格测评结果；支持查看学生职业性格测评报告，报告内容包括但不限于测评结果、个性特征描述、适合的职业、专业选择建议等信息。</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(4)职业价值观测评统计分析 支持查看学生职业价值观测评结果，支持查看学生职业价值观测评报告，报告内容包括但不限于测评结果、职业价值观描述。职业价值观的内涵、职业发展建议等信息。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(5)决策风格测评统计分析 支持查看学生决策风格测评结果，并以图表展示学生测评完成情况和学生决策风格分布情况。</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(6)学习风格测评统计分析 ●支持查看学生学习风格测评结果，查看信息包括但不限于序号、班级、姓名、学生账号、性别、创建/更新日期、决策风格、测评状态等信息；支持对数据列表进行导出操作；并以图表展示学生测评完成情况和学生学习风格分布情况。</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(7)学科兴趣潜能测评统计分析 支持查看学生学科兴趣潜能测评结果，查看信息包括但不限于序号、班级、姓名、学生账号、性别、创建/更新日期、学科兴趣结果、测评状态等信息；支持对数据列表进行导出操作；并以图表展示学生测评完成情况和学生学科兴趣分布情况；支持查看学生学科兴趣潜能测评报告。</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(8)生涯榜样 支持校级管理员按照校区、学段、年级、班级、学生姓名、学生账号、完成度等条件进行数据筛选。支持查看学生生涯榜样收藏结果，查看信息包括但不限于序号、班级、姓名、学生账号、性别、创建/更新日期、生涯榜样、完成度等信息；支持对数据列表进行导出操作；支持统计各班级学生完成情况，柱状图形式展示班级内完成与未完成人数</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(9)生涯报告 支持展示学生意向院校、意向专业、意向职业、生涯榜样信息；支持展示职业性格测评结果；支持展示职业兴趣测评结果；支持展示多元智能测评结果；支持展示价值观测评结果；支持查看决策风格测评结果、学习风格测评结果、学科兴趣潜能测试结果。</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（10）生涯榜样管理 ●支持学校端进行生涯榜样管理，添加信息包括但不限于榜样姓名、毕业院校、职业、行业、专业、国籍、排序值、榜样是否公开等，支持添加榜样照片、榜样标签、主要成就和榜样简介等内容；支持查看生涯榜样总览，支持以列表和视图形式展示，支持设置榜样标签、内容分类和榜样来源等筛选条件。</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（11）校友榜样管理 支持添加校友榜样管理，可添加校友，校友信息包括但不限于校友姓名、毕业院校、专业、职业和行业，支持上传校友图片和校友简介等内容。</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（12）生涯测评模块管理 支持对各年级每个测评模块进行管理，可控制测评模块是否对学生开放，关闭后，学生在学生端无需进行该模块的测评。</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（13） 生涯测评-自我认知 支持学生进行多维度的自我探索测评，包括但不局限于职业性格测评、职业兴趣测评、多元智能测评、职业价值观测评、学科兴趣潜能测评、决策风格测评、学习风格测评、学业自我认知能力、时间管理倾向、晨型/夜型、心理弹性、成就动机等多维度测评。学生进行测试后可生成相应报告。</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（14）生涯学习 支持学生通过PC端和移动端学习生涯课程，课程资源类型包括教学设计、教学课件、教学视频，支持在线预览学习内容文件。</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（15）探索人生榜样 支持学生通过手机端查看行业榜样、校友榜样等内容，基本信息包括但不限于就读专业、毕业学校、职业等信息，学生能够收藏感兴趣的人物典范。支持以卡片形式展示，卡片信息包括但不限于榜样姓名、专业、毕业院校、职业信息等；榜样详细信息包括但不限于榜样基本信息、职业信息、教育信息等。支持通过左右滑动榜样卡片信息探索更多榜样信息，支持提供收藏榜样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（16）生涯综合报告 支持综合学生的意向目标、测评结果生成学生的个性化生涯报告。生涯综合报告内容包括：学生意向院校、意向专业、意向职业、生涯榜样、职业兴趣测评结果、多元智能测评结果、职业性格测评结果、价值观测评结果、决策风格测评结果、学习风格测评结果和学科兴趣潜能测试结果等。</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4.新高考分班系统 (1)支持多种分班模式，包括但不局限于优先三科、定二走一、大走班、常规科目（如语数外）的分层分班以及自定义分班等模式；</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(2)支持提前设定预定班级，支持自定义预定班级选科组合，支持按总成绩、语数外成绩等方式进行预定班分班，可手动设置部分预定学生名单，新增和删除预定班级；</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(3)支持将同一个年级内的学生按班级、成绩等因素分成多个组别，分组的名称可自定义；支持按班级、按科目等方式进行分组分班，以满足不同选科模式下的分班需求，支持查看各组别的分班结果、学生选科人数、班级来源、各学科选科人数占比、各组合选科人数占比等信息。</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(4)支持对各选考科目的师资配置数量设定，设置完成后，系统自动依据学校设置的师资配置数量生成分班方案。</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(5)支持对语数外等常规科目按成绩进行自动分层分班，支持查看分层分班结果，并支持对个别学生进行调班操作，支持一键清空分层分班结果；</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(6)支持按成绩降序分层、成绩均衡分班、原班级学生集中等多种分班模式，成绩依据应包含：按总成绩、选科组合成绩、语数外+选科组合成绩、语数外三科总成绩、语文单科成绩、数学单科成绩、英语单科成绩等七种依据或更多。</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(7)支持查看各个行政班的名称、人数、学生清单，以图表的方式展示班级内男女生人数，并支持下载全部行政班学生名单以及单独行政班学生名单。</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(8)支持管理员查看教学班的学生清单，支持查看每个教学班中学生的行政班归属、采用志愿、该科目年级排名、总成绩年级排名等信息，支持展示班级内的男女人数。支持下载每个教学班的学生名单。</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(9)支持查看所有学生分班情况，支持对不满意的学生进行调班操作；支持查看调班记录，记录信息包括学生姓名、原志愿、调班前班级归属、调班后志愿、调班后班级所属、修改人、修改时间等信息，支持下载调班记录（excel）信息；支持对分班的结果新增和删除学生，并打印最终的分班结果报告。</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(10)●支持对教学班结果分析，支持对各科目以科目和班级维度进行统计分析；其中，科目统计包括某科目的总人数、教学班数量、人数范围、最大人数差、班级最大男女人数差和班级最小男女人数差等信息；班级统计包括教学班班级、层级、班级人数和男女人数差等信息。</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(11)支持在行政班、教学班、学生名单、自习班等分班结果下，均可对学生进行修改志愿和调班操作，支持修改学生志愿后，自动检测可调的行政班班级、教学班班级、自习班班级，避免产生用户不合理的调班操作。</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5.教师评价系统 (1)成绩增量评价 1)成绩增量评价设置：支持添加评价名称、与学校发布的分班结构数据对接，添加单次或多次对比考试场次及基准考试场次，确认评价活动中的成绩依据。 2)学生成绩计算：支持按多种学生成绩分数计算方式，能够支持原始分、标准分、混合分的成绩计算方式； 3)支持学生多种排名增量计算方式，包括排名增量、排名增速等；排名增量即学生排名的变化量，排名增速即学生排名变化量的增长率；支持对教师成绩增量得分进行标准化赋分，标准分计算方式为平均分+最高分。 4)●支持查看成绩增量评价各类参数设置，展示本次参数设置情况，包括班级结构、考试场次、学生成绩计算方式、教师得分计算方式、班主任是否参与评价、非统计生处理方式、参评学生群体、参评课程等参数设置情况；支持查看教师成绩增量评价详情，支持统计各学科或全部教师的平均排名增量情况，通过图表展示学科平均排名增量对比、教师平均增量得分情况，并且支持图、表两种模式切换展示，支持导出成绩增量评价分析内容。</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(2)学生问卷评价 1)支持学生问卷评价管理，可对学生问卷评价数据进行管理，包括对学生问卷评价的检索、新建、发布、删除、查看、延期等操作。 2)支持学校管理员发起学生问卷任务，可添加问卷名称及有效期，支持设置评价科目教师及评价题目，可按教师角色、执教课程设置参评教师及科目，需支持设置学校寄语，并会显示在学生端教师评价首页。 3)支持主客观题目设置：评价题目需包括客观题目和主观题目，客观题目类型需支持按星级、多选、单选等多种类型，也可引导模板库内的题目；支持查看学校设置的学生问卷评价各类参数，展示本次参数设置情况。 4)支持能够以问卷角度来统计整体完成情况，展示学生问卷的完成/未完成人数及占比。 5)支持对各参评组教师客观评价题目得分进行统计分析，可查看全部教师或各单科教师题目总得分情况。以堆积图形式展示教师总得分情况，堆积图为该教师各评价题目得分情况。 6)支持对各参评组教师客观评价题目各班级内得分进行统计分析，展示班级内各科目教师总得分情况。 7)支持对参评组内各科目教师评价题目得分均衡情况进行统计分析，展示执教科目下教师各评价题目得分情况与整体问卷平均得分情况的对比。以雷达图形式展示。 8)支持对教师各评价题目学生评价内容选择情况进行分析，包括选择人数和人数占比。支持统计学生对各参评组教师主观评价题目的描述情况，且以匿名形式展示。展示内容包括，学生对科目教师的主观评价内容和评价时间。</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(3)履职情况评价 1)支持对教师的履职情况进行打分，根据学校实际情况通过加分或减分评价管理教师履职情况。 2)支持根据履职有效时间对教师履职情况进行评价。履职评价得分计算方式包括：标准化赋分、等差序列赋分。 3)支持预览参评教师信息，包括参评教师和未参评教师，包括教师账号、教师角色、执教课程、执教班级等信息； 4)教师履职评价得分：依据用户参数配置，自动计算教师履职评价得分情况，并以图表形式进行展示，支持按科目、正序、倒序进行查看，并支持导出教师履职评价报告。 5)支持教师课时评价管理，可对教师课时评价数据进行管理，包括对课时评价的新建、删除、检索、查看等操作。 6)支持用户查看教师课时评价设置的所有参数，包括课表类型、课表使用区间、参评科目（支持预览）等信息。 7)●支持查看教师课时评价结果，包括教师姓名、教师账号、执教科目、课表课时、实际课时、课时得分等信息，可进行批量调整；支持教师课时评价得分总览，以柱状图形式展示全部和各单科教师课时评价得分情况；排序方式支持默认、正序、倒序。</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6.校级资源评估系统 (1)支持设置当前资源评估任务面向年级的教学资源，包括各科目对应的教师数量和年级教室数量；</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(2)支持按班级预估教师数量，包括学校分班后的行政班级数量、可接受行政班最大人数差和各学科老师平均可带班级数量；</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(3)支持按课时预估教师数量，包括学校分班后的行政班级数量、可接受行政班最大人数差、学科老师每周课时数、各学科每周选考和学考课时数；支持选择仍需参加合格考的科目作为资源评估范围。</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(4)支持手动关闭部分选科组合，支持查看调整志愿学生数，支持根据综合教学资源和学生志愿设置组合开放。可通过自定义、六选三模式选择需要开放的组合，支持查看学生志愿变化数据和不可调整通过志愿学生名单，并下载对应名单（excel）。</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(5)支持根据学生的选科结果和设置的资源评估参数，支持提供定二走一、优先三科、大走班三种走班模式，且自动计算出三种走班模式的评估结果。</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(6)支持查看定二走一、优先三科、大走班三种走班模式详细的评估结果；支持在同一界面内查看各模式对比的评估内容，评估结果包含：各科目教师分配情况、现有教室使用情况、采用学生志愿情况、学生走班情况、分班结果（查看各班级学生名单），支持下载分班结果表（excel）。</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(7)●支持自动生成资源评估报告，在同一份资源评估报告包括：各科目教师分配情况、现有教室使用情况、采用学生志愿情况、学生走班情况、分班结果（可在报告展示页面下载学生名单）、学生选科总体情况、各走班模式对比与分析、走班学生数量及占比分析、各走班模式下所需教师和教室数等，支持以PDF格式下载资源评估报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法定代表人资格证明书或法定代表人授权委托书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运维服务要求响应</w:t>
            </w:r>
          </w:p>
        </w:tc>
        <w:tc>
          <w:tcPr>
            <w:tcW w:type="dxa" w:w="2492"/>
          </w:tcPr>
          <w:p>
            <w:pPr>
              <w:pStyle w:val="null3"/>
              <w:jc w:val="left"/>
            </w:pPr>
            <w:r>
              <w:rPr>
                <w:rFonts w:ascii="仿宋_GB2312" w:hAnsi="仿宋_GB2312" w:cs="仿宋_GB2312" w:eastAsia="仿宋_GB2312"/>
              </w:rPr>
              <w:t>对投标人所投运维服务内容是否满足“运维服务要求”进行评审。 其中标▲项条款需提供完全响应承诺函方可得分，承诺函格式自拟，每有一项不满足扣2分，满分6分； 其他非标▲项条款每有一项不完全满足扣0.5分，满分3分。扣完为止。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现场核心功能演示</w:t>
            </w:r>
          </w:p>
        </w:tc>
        <w:tc>
          <w:tcPr>
            <w:tcW w:type="dxa" w:w="2492"/>
          </w:tcPr>
          <w:p>
            <w:pPr>
              <w:pStyle w:val="null3"/>
              <w:jc w:val="left"/>
            </w:pPr>
            <w:r>
              <w:rPr>
                <w:rFonts w:ascii="仿宋_GB2312" w:hAnsi="仿宋_GB2312" w:cs="仿宋_GB2312" w:eastAsia="仿宋_GB2312"/>
              </w:rPr>
              <w:t>投标人需对“运维平台核心系统功能要求”中带“●”项的功能点内容进行现场演示，共8个标“●”项，单项满分为3分，最高得24分。 单项主观评审标准如下： 单项功能完整、操作流畅且设计具有人性化的得3分； 单项功能较完整、操作较流畅且设计较具有人性化的得2分； 单项功能稍完整、操作稍流畅且设计稍具有人性化的得1分； 单项功能欠完整、操作欠流畅且设计欠具有人性化的得0.5分； 未进行演示的，不得分； 说明：各投标人自备演示环境，演示时间不超过15分钟，需采用真实系统环境进行演示，使用demo、ppt、视频等其他方式演示不得分。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整体技术方案</w:t>
            </w:r>
          </w:p>
        </w:tc>
        <w:tc>
          <w:tcPr>
            <w:tcW w:type="dxa" w:w="2492"/>
          </w:tcPr>
          <w:p>
            <w:pPr>
              <w:pStyle w:val="null3"/>
              <w:jc w:val="left"/>
            </w:pPr>
            <w:r>
              <w:rPr>
                <w:rFonts w:ascii="仿宋_GB2312" w:hAnsi="仿宋_GB2312" w:cs="仿宋_GB2312" w:eastAsia="仿宋_GB2312"/>
              </w:rPr>
              <w:t>根据投标人对采购需求的理解，提供具有针对性的整体技术方案。内容包括但不局限于：①理解本次运维平台的规模、业务复杂度，把握涉及本项目应用系统的业务特点，②理解运维平台功能划分、主要功能描述，③理解运维系统的数据架构、技术架构、应用架构。 方案内容完全符合项目要求且详细、描述清晰、严谨且针对性强的得12分；每缺一项内容扣4分；每有一项内容存在不足或不能完全符合本项目要求的扣2分，直至本项扣完为止。（得分可并列）注：内容存在不足或不能完全符合本项目要求指：方案内容不切合项目实际、不符合行业政策；或方案内容生搬硬造，与实际情况不符，存在偏差；或方案内容过于简略，存在与项目无关的文字内容；或内容不适用项目实际情况；或内容逻辑漏洞或原理错误；或方案中内容前后不一致、前后逻辑错误、涉及的规范及标准错误；或方案中存在地点区域错误，不符合项目实际情况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运维服务方案</w:t>
            </w:r>
          </w:p>
        </w:tc>
        <w:tc>
          <w:tcPr>
            <w:tcW w:type="dxa" w:w="2492"/>
          </w:tcPr>
          <w:p>
            <w:pPr>
              <w:pStyle w:val="null3"/>
              <w:jc w:val="left"/>
            </w:pPr>
            <w:r>
              <w:rPr>
                <w:rFonts w:ascii="仿宋_GB2312" w:hAnsi="仿宋_GB2312" w:cs="仿宋_GB2312" w:eastAsia="仿宋_GB2312"/>
              </w:rPr>
              <w:t>根据招标文件中的采购需求内容，提供具有针对性的运维服务方案。内容包括但不局限于：①功能优化与版本升级，②数据管理与数据对接，③平台问题解决服务，④故障处理服务，⑤基础环境运维服务，⑥稳定性与可靠性运维，⑦性能调优与容量规划，⑧应急管理与预案制定。 运维服务方案内容完全符合项目要求且详细、描述清晰、严谨且针对性强的得24分；每缺一项内容扣3分；每有一项内容存在不足或不能完全符合本项目要求的扣1.5分，直至本项扣完为止。（得分可并列）注：内容存在不足或不能完全符合本项目要求指：方案内容不切合项目实际、不符合行业政策；或方案内容生搬硬造，与实际情况不符，存在偏差；或方案内容过于简略，存在与项目无关的文字内容；或内容不适用项目实际情况；或内容逻辑漏洞或原理错误；或方案中内容前后不一致、前后逻辑错误、涉及的规范及标准错误；或方案中存在地点区域错误，不符合项目实际情况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服务保障措施及培训方案</w:t>
            </w:r>
          </w:p>
        </w:tc>
        <w:tc>
          <w:tcPr>
            <w:tcW w:type="dxa" w:w="2492"/>
          </w:tcPr>
          <w:p>
            <w:pPr>
              <w:pStyle w:val="null3"/>
              <w:jc w:val="left"/>
            </w:pPr>
            <w:r>
              <w:rPr>
                <w:rFonts w:ascii="仿宋_GB2312" w:hAnsi="仿宋_GB2312" w:cs="仿宋_GB2312" w:eastAsia="仿宋_GB2312"/>
              </w:rPr>
              <w:t>根据投标人针对本项目提供的服务保障措施和培训方案，保障措施和培训方案是否完善，以及方案是否贴近项目实际情况和需求，且提出的保障措施和培训方案是否科学、合理的，由评标委员会成员评判打分。 方案内容完全符合项目要求且详细、描述清晰、严谨且针对性强的得6分；每缺一项内容扣3分；每有一项内容存在不足或不能完全符合本项目要求的扣1分，直至本项扣完为止。（得分可并列）注：内容存在不足或不能完全符合本项目要求指：方案内容不切合项目实际、不符合行业政策；或方案内容生搬硬造，与实际情况不符，存在偏差；或方案内容过于简略，存在与项目无关的文字内容；或内容不适用项目实际情况；或内容逻辑漏洞或原理错误；或方案中内容前后不一致、前后逻辑错误、涉及的规范及标准错误；或方案中存在地点区域错误，不符合项目实际情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企业履约能力</w:t>
            </w:r>
          </w:p>
        </w:tc>
        <w:tc>
          <w:tcPr>
            <w:tcW w:type="dxa" w:w="2492"/>
          </w:tcPr>
          <w:p>
            <w:pPr>
              <w:pStyle w:val="null3"/>
              <w:jc w:val="left"/>
            </w:pPr>
            <w:r>
              <w:rPr>
                <w:rFonts w:ascii="仿宋_GB2312" w:hAnsi="仿宋_GB2312" w:cs="仿宋_GB2312" w:eastAsia="仿宋_GB2312"/>
              </w:rPr>
              <w:t>1、供应商具备信息安全管理体系认证证书、质量管理体系认证证书、信息技术服务管理体系认证证书的，每提供一个得1分，满分3分。 2、供应商具备相关服务软件产品著作权证书，软著名称与本项目服务模块直接相关，提供8份及以上得1分，10份及以上得2分，不足8份不得分，同类软著名称按一份计。 说明：上述所有证书须提供相关证书复印件作为得分依据。评分中出现无证明资料或专家无法凭所提供资料判断是否得分的，一律作不得分处理。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拟派运维服务团队</w:t>
            </w:r>
          </w:p>
        </w:tc>
        <w:tc>
          <w:tcPr>
            <w:tcW w:type="dxa" w:w="2492"/>
          </w:tcPr>
          <w:p>
            <w:pPr>
              <w:pStyle w:val="null3"/>
              <w:jc w:val="left"/>
            </w:pPr>
            <w:r>
              <w:rPr>
                <w:rFonts w:ascii="仿宋_GB2312" w:hAnsi="仿宋_GB2312" w:cs="仿宋_GB2312" w:eastAsia="仿宋_GB2312"/>
              </w:rPr>
              <w:t>供应商拟派项目负责人具有系统集成项目管理工程师或信息系统项目管理师证书的，得3分； 供应商拟派项目团队成员具备高级软件工程师认证证书的，得3分； 说明：以上人员不重复计算，提供相关证书复印件和人员近半年内连续三个月的社保证明，不提供不得分。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业绩案例</w:t>
            </w:r>
          </w:p>
        </w:tc>
        <w:tc>
          <w:tcPr>
            <w:tcW w:type="dxa" w:w="2492"/>
          </w:tcPr>
          <w:p>
            <w:pPr>
              <w:pStyle w:val="null3"/>
              <w:jc w:val="left"/>
            </w:pPr>
            <w:r>
              <w:rPr>
                <w:rFonts w:ascii="仿宋_GB2312" w:hAnsi="仿宋_GB2312" w:cs="仿宋_GB2312" w:eastAsia="仿宋_GB2312"/>
              </w:rPr>
              <w:t>供应商自2022年1月1日以来（以合同签订日期为准）至投标截止时间止，具有类似案例业绩（货物类或服务类）的，每提供一个得2分，最高得4分。 注：1.同时提供中标通知书和合同复印件，否则不得分。 2.是否属于类似业绩由评标委员会根据业绩项目的服务内容、技术特点等与本项目的类似程度进行认定。</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详见附件：5-3运维服务合同模板.docx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2025年海南省高考综合改革信息化平台运维服务采购项目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2321400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详见附件：响应有效期的承诺函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