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2024年职业病危害工程防护能力提升设备采购项目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海南省疾病预防控制中心</w:t>
      </w:r>
      <w:r>
        <w:rPr>
          <w:rFonts w:ascii="仿宋_GB2312" w:hAnsi="仿宋_GB2312" w:cs="仿宋_GB2312" w:eastAsia="仿宋_GB2312"/>
        </w:rPr>
        <w:t xml:space="preserve"> 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2024年职业病危害工程防护能力提升设备采购项目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HNZT2025-112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2024年职业病危害工程防护能力提升设备采购项目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签订合同后国产产品30天内交付，进口产品90天内交付。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特定行业法定准入要求：（1）投标人不是所投产品生产厂家的，所投产品属于三类医疗器械的须具有医疗器械经营企业许可证，属于二类医疗器械的须具有医疗器械经营企业备案登记凭证；（提供相关证明材料） （2）所投产品属于二、三类医疗器械产品的，该产品须具有医疗器械注册证（注册证到期的，应说明所投设备是在该医疗器械注册证有效期内生产的医疗器械，并同时提供医疗器械注册证和医疗器械注册受理号），属于一类医疗器械产品的须具有产品备案登记凭证；（提供相关证明材料）</w:t>
      </w:r>
    </w:p>
    <w:p>
      <w:pPr>
        <w:pStyle w:val="null3"/>
        <w:jc w:val="left"/>
      </w:pPr>
      <w:r>
        <w:rPr>
          <w:rFonts w:ascii="仿宋_GB2312" w:hAnsi="仿宋_GB2312" w:cs="仿宋_GB2312" w:eastAsia="仿宋_GB2312"/>
        </w:rPr>
        <w:t>2、其他：本项目部分产品接受进口产品的投标（具体详见第三章），如所投产品为进口产品的，需提供货物制造厂商或国内具有授权权限的代理商针对本项目的授权（代理商授权的，需同时提供该代理商具有有效授权权限的相关证明文件，证明文件需能显示货物制造商对投标产品授权链条的完整性）。</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请投标人（供应商）自行在海南省政府采购智慧云平台-办事指南查看相应的系统操作指南，严格按照操作指南要求进行系统操作，云平台技术支持电话：4001691288。 本项目需使用蓝色CA锁，CA数字证书认证咨询电话：0898-66715176。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海南省海口市美兰区演丰镇苏民村委会S201灵文加线168号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0898-65315782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乙方应在合同签订后10个工作日内向合同甲方提交合同总价款5%的履约保证金（乙方应当以支票、汇票、本票或者金融机构、担保机构出具的保函等非现金形式提交，且履约保证金的有效期应在乙方投标承诺的质保期限结束后第30天内一直保持有效，质保期满经甲方确认在此期间产品质量良好且使用正常后 15 个工作日内甲方将履约保证金退还乙方。注：乙方未按上述要求提交履约保证金的，甲方有权单方面取消采购合同。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代理服务费收费标准：本项目的服务费收取固定金额4万元（人民币肆万元整），中标供应商应在中标公告发布之日起3个工作日内，向招标代理机构缴纳招标代理服务费，服务费支付到以下账户： 户 名：海南政通招投标有限公司 开户行：中国银行股份有限公司海南省分行 账 户：266261986176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（1）代理机构的联系方式 采购代理机构：海南政通招投标有限公司 联系电话：0898-68592663 地址：海口市美兰区蓝天路西12号世纪港B905室 邮箱：hnztzb@163.com 。 （2）委托授权代表人的代理权限：委托代表人只能代表委托人处置投标活动中的一般事务。提出质疑、投诉等特殊事项，必须经法定代表人的特别授权。 （3）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 （4）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（5）本采购项目是：货物 项目。 本项目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（6）为确保充分供应、充分竞争，本采购项目未预留份额专门面向中小企业采购，将按照采购文件的规定给予小微企业相应的价格扣除优惠。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33FF"/>
        </w:rPr>
        <w:t>注：1.投标人应根据下表的采购清单在《投标（响应）报价明细表》中进行分项明细报价，如实填写所投产品的规格型号、品牌、制造商名称、产地等信息，不得有实质性缺漏，否则将按无效投标处理。2.下表中注明允许进口产品参与投标的采购品目，所投产品可以是国产或进口产品；不允许进口产品参与投标的采购品目，只接受国产产品的投标；否则按无效投标处理。3.核心产品（见下表）提供相同品牌产品且通过资格审查、符合性审查的不同投标人参加同一合同项下投标的，按一家投标人计算，评审后得分最高的同品牌投标人获得中标人推荐资格；评审得分相同的，由评标委员会推选投标价低的投标人获得中标人推荐资格，其他同品牌投标人不作为中标候选人。</w:t>
      </w:r>
    </w:p>
    <w:tbl>
      <w:tblPr>
        <w:tblW w:w="0" w:type="auto"/>
        <w:tblBorders>
          <w:top w:val="single"/>
          <w:left w:val="single"/>
          <w:bottom w:val="single"/>
          <w:right w:val="single"/>
          <w:insideH w:val="single"/>
          <w:insideV w:val="single"/>
        </w:tblBorders>
      </w:tblPr>
      <w:tblGrid>
        <w:gridCol w:w="593"/>
        <w:gridCol w:w="1949"/>
        <w:gridCol w:w="509"/>
        <w:gridCol w:w="509"/>
        <w:gridCol w:w="763"/>
        <w:gridCol w:w="678"/>
        <w:gridCol w:w="1017"/>
        <w:gridCol w:w="763"/>
        <w:gridCol w:w="932"/>
        <w:gridCol w:w="593"/>
      </w:tblGrid>
      <w:tr>
        <w:tc>
          <w:tcPr>
            <w:tcW w:type="dxa" w:w="8306"/>
            <w:gridSpan w:val="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采购清单</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采购品目名称</w:t>
            </w:r>
          </w:p>
          <w:p>
            <w:pPr>
              <w:pStyle w:val="null3"/>
              <w:jc w:val="center"/>
            </w:pPr>
            <w:r>
              <w:rPr>
                <w:rFonts w:ascii="仿宋_GB2312" w:hAnsi="仿宋_GB2312" w:cs="仿宋_GB2312" w:eastAsia="仿宋_GB2312"/>
                <w:sz w:val="24"/>
              </w:rPr>
              <w:t>（标的名称）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所属行业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核心产品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是否允许进口产</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是否属于节能产品</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是否属于环境标志产品</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噪声频谱分析仪</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噪声测试分析仪</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双通道个体噪声剂量计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多通道噪声测量系统</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声学成像仪</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声学仿真系统</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矿用本安型声级计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声校准器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振动测试与分析平台（振动测量仪）</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噪声计比对声源</w:t>
            </w:r>
            <w:r>
              <w:rPr>
                <w:rFonts w:ascii="仿宋_GB2312" w:hAnsi="仿宋_GB2312" w:cs="仿宋_GB2312" w:eastAsia="仿宋_GB2312"/>
                <w:sz w:val="24"/>
              </w:rPr>
              <w:t>(</w:t>
            </w:r>
            <w:r>
              <w:rPr>
                <w:rFonts w:ascii="仿宋_GB2312" w:hAnsi="仿宋_GB2312" w:cs="仿宋_GB2312" w:eastAsia="仿宋_GB2312"/>
                <w:sz w:val="24"/>
              </w:rPr>
              <w:t>标准声源</w:t>
            </w:r>
            <w:r>
              <w:rPr>
                <w:rFonts w:ascii="仿宋_GB2312" w:hAnsi="仿宋_GB2312" w:cs="仿宋_GB2312" w:eastAsia="仿宋_GB2312"/>
                <w:sz w:val="24"/>
              </w:rPr>
              <w:t>)</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呼吸器适合性检验系统</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声暴露计（五台组）</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组</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护听器防护效果检验平台（听力适合性检验装置）</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噪声频谱分析仪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噪声测试分析仪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双通道个体噪声剂量计</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其他仪器仪表（7项国产）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1,204,400.00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呼吸器适合性检验系统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声暴露计（五台组）</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护听器防护效果检验平台（听力适合性检验装置）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噪声频谱分析仪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噪声测试分析仪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双通道个体噪声剂量计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其他仪器仪表（7项国产）</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呼吸器适合性检验系统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声暴露计（五台组）</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护听器防护效果检验平台（听力适合性检验装置）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标的名称：噪声频谱分析仪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噪声频谱分析仪</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精度：一级精度。（提供检测报告（带CMA或CNAS标识）或厂家盖章的参数确认函（或白皮书））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测量范围：15dBA -140dBA峰值。</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频率范围：10Hz-20kHz。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本底噪声：＜15dBA。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麦克风：具备传感器电子数据表；整机IP65防护等级。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计权方式：A计权、C计权、Z计权。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时间响应：S（慢档），F（快档）、I（脉冲档）。</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交换率：3、4、5dB。</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测量模式：噪声计模式: SPL, Leq, SEL, Lmax, Lmin, Lpeak，三个运算组同时测量。剂量计模式：增加Peak，Dose，D-8h，Lav，SEL8，E，E-8h，TWA，同时测量1/1或1/3倍频程分析。</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频谱功能：1/1 倍频程分析，中央频率由31.5Hz～16kHz， 1/3 倍频程分析，由20Hz～20kHz。测量时同时测量全频段。</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校准：自动校准@114dB/1kHz，自动感应和校准数据，不须按键调整。（提供检测报告（带CMA或CNAS标识）或厂家盖章的参数确认函（或白皮书））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 内存纪录：≥8GB可拆式微SD卡，可记录测量过程历史及总结结果。</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中文分析软件，下载分析数据，制作报表，播放现场录音等功能。（提供检测报告（带CMA或CNAS标识）或厂家盖章的参数确认函（或白皮书））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 超高亮度和对比度的OLED彩色显示屏。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 防护等级：IP65。</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 操作简便轻巧，包括电池重量≤250克。</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 工作环境：0°C～45°C，5～90%RH不凝结。</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 仪器配置：预驻极体麦克风前置内置放大器， USB-C电线，挡风罩，蓝牙，电池，≥8GB记忆卡，含操作手册的CD及便携箱。</w:t>
            </w:r>
          </w:p>
        </w:tc>
      </w:tr>
    </w:tbl>
    <w:p>
      <w:pPr>
        <w:pStyle w:val="null3"/>
        <w:jc w:val="left"/>
      </w:pPr>
      <w:r>
        <w:rPr>
          <w:rFonts w:ascii="仿宋_GB2312" w:hAnsi="仿宋_GB2312" w:cs="仿宋_GB2312" w:eastAsia="仿宋_GB2312"/>
        </w:rPr>
        <w:t>标的名称：噪声测试分析仪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噪声测试分析仪</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精度： 具有符合 IEC 61672-1 的 2 级精度。（提供检测报告（带CMA或CNAS标识）或厂家盖章的参数确认函（或白皮书））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测量范围：15dBA -140dBA峰值。</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频率范围：10Hz-20kHz。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本底噪声：＜15dBA。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麦克风： 采用MEMS技术的1/2”MEMS麦克风，具备TEDS传感器电子数据表，提供终身保修；整机IP65防护等级。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计权方式：A计权、C计权、Z计权。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时间响应：S（慢档），F（快档）、I（脉冲档）。</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交换率：3、4、5、6dB。（提供检测报告（带CMA或CNAS标识）或厂家盖章的参数确认函（或白皮书））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测量模式：噪声计模式: SPL, Leq, SEL, Lden, Ltm3, Ltm5, Lmax, Lmin, Lpeak，三个运算组同时测量。剂量计模式：增加Peak，Dose，D-8h，Lav，SEL8，E，E-8h，TWA。</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校准：SV 973A 具有自动校准@114dB/1kH功能，一旦检测到校准信号将启动自动校准，并将测量前后的校准数据与测量文件一起保存。（提供检测报告（带CMA或CNAS标识）或厂家盖章的参数确认函（或白皮书））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内存纪录：≥8GB可拆式微SD卡，可记录测量过程历史及总结结果。</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中文分析软件，下载分析数据，制作报表，播放现场录音等功能。（提供检测报告（带CMA或CNAS标识）或厂家盖章的参数确认函（或白皮书））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 超高亮度和对比度的OLED彩色显示屏。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 防护等级：IP65。</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 操作简便轻巧，包括电池重量＜225克。</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 工作环境：0°C～45°C，5～90%RH不凝结。</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 仪器配置：ST 973 MEMS麦克风，SC 158 USB-C电线，SA 22挡风罩，SA 80软质便携袋，时间历史记录，剂量测量结果，4 x AAA电池，内置≥8GB内存，含操作手册的CD及箱子</w:t>
            </w:r>
          </w:p>
        </w:tc>
      </w:tr>
    </w:tbl>
    <w:p>
      <w:pPr>
        <w:pStyle w:val="null3"/>
        <w:jc w:val="left"/>
      </w:pPr>
      <w:r>
        <w:rPr>
          <w:rFonts w:ascii="仿宋_GB2312" w:hAnsi="仿宋_GB2312" w:cs="仿宋_GB2312" w:eastAsia="仿宋_GB2312"/>
        </w:rPr>
        <w:t>标的名称：双通道个体噪声剂量计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双通道个体噪声剂量计</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噪声剂量计模式：Leq,Spl,Peak,DOSE,D_8h,LAV,SEL8,PSEL,E,E_8h,“峰值计数器“等测量；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声级计模式：Lea,Spl,SEL,Lep,d，Lden,Ltm3,Ltm5,统计学—Ln(L1-L99),Lmax,Lmin,Lpeak；</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加权滤波器：A、C和Z；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检波器：分辨率≤0.1dB；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传声器：具有一级和二级精度；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量程：45dBA RMS至141dBA峰值</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1/3 倍频* 双通道1/3倍频实时分析和频谱存储，滤波器覆盖中心频率从20 Hz到20 KHz范围，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双通道模式：实现双通道测量模式。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仪器配置：剂量计前置放大器、麦克风、≥32GB uSD记忆卡、操作手册，校正适配器，便携箱及分析软件。</w:t>
            </w:r>
          </w:p>
        </w:tc>
      </w:tr>
    </w:tbl>
    <w:p>
      <w:pPr>
        <w:pStyle w:val="null3"/>
        <w:jc w:val="left"/>
      </w:pPr>
      <w:r>
        <w:rPr>
          <w:rFonts w:ascii="仿宋_GB2312" w:hAnsi="仿宋_GB2312" w:cs="仿宋_GB2312" w:eastAsia="仿宋_GB2312"/>
        </w:rPr>
        <w:t>标的名称：其他仪器仪表（7项国产）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1、多通道噪声测量系统</w:t>
            </w:r>
          </w:p>
          <w:p>
            <w:pPr>
              <w:pStyle w:val="null3"/>
              <w:jc w:val="left"/>
            </w:pPr>
            <w:r>
              <w:rPr>
                <w:rFonts w:ascii="仿宋_GB2312" w:hAnsi="仿宋_GB2312" w:cs="仿宋_GB2312" w:eastAsia="仿宋_GB2312"/>
                <w:sz w:val="21"/>
              </w:rPr>
              <w:t>★1.1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GB/T 3241-2014 1级 电声学 倍频程和分数倍频程滤波器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具有多通道声分析仪校准功能，用于噪声强度空间分布规律测试，实时同步监测噪声源的衰减、叠加效应，≥3通道传感器。</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测量指标：噪声总值、1/1OCT、1/3 OCT频谱、时间历程、采集分析、FFT分析、云图分布软件、频域分析软件。（提供检测报告（带CMA或CNAS标识）或厂家盖章的参数确认函（或白皮书））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 仪器配置：包括主机，测量传声器，前置放大器，声校准器，1/3 OCT分析模块，FFT分析模块，频域分析软件，云图分布软件，电脑（相当于i5以上，内存≥16G），基础软件包模块（软件功能：实现从数据采集、分析、显示、存储、后分析到自检的完整测量过程；具有录音功能，录音自动保存、长时间记录功能、录音/文本同步记录\支持标准WAV/文本记录、录音后分析（多文件批量播放、分析）、支持超大文件分析。包括噪声总值分析、时间历程分析、数据采集分析、数据对比分析、数据库）。</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1.6 硬件参数要求</w:t>
            </w:r>
          </w:p>
          <w:p>
            <w:pPr>
              <w:pStyle w:val="null3"/>
              <w:jc w:val="left"/>
            </w:pPr>
            <w:r>
              <w:rPr>
                <w:rFonts w:ascii="仿宋_GB2312" w:hAnsi="仿宋_GB2312" w:cs="仿宋_GB2312" w:eastAsia="仿宋_GB2312"/>
                <w:sz w:val="21"/>
              </w:rPr>
              <w:t>1.6.1 多通道信号分析仪</w:t>
            </w:r>
          </w:p>
          <w:p>
            <w:pPr>
              <w:pStyle w:val="null3"/>
              <w:jc w:val="left"/>
            </w:pPr>
            <w:r>
              <w:rPr>
                <w:rFonts w:ascii="仿宋_GB2312" w:hAnsi="仿宋_GB2312" w:cs="仿宋_GB2312" w:eastAsia="仿宋_GB2312"/>
                <w:sz w:val="21"/>
              </w:rPr>
              <w:t>（1）输入通道：≥3通道。动态范围：≥110dB。</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（2）频率范围：0.1Hz～80kHz，误差≤0.1dB。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（3）测量范围：噪声20dB(A)～140dB(A)</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（4）采样频率：8192、12kHz、16384、24kHz、32768、48kHz、65536、96kHz、131072、192kHz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rPr>
              <w:t>1.6.2 测量传声器</w:t>
            </w:r>
          </w:p>
          <w:p>
            <w:pPr>
              <w:pStyle w:val="null3"/>
              <w:jc w:val="left"/>
            </w:pPr>
            <w:r>
              <w:rPr>
                <w:rFonts w:ascii="仿宋_GB2312" w:hAnsi="仿宋_GB2312" w:cs="仿宋_GB2312" w:eastAsia="仿宋_GB2312"/>
                <w:sz w:val="21"/>
              </w:rPr>
              <w:t>（1）标称灵敏度：≤50mV/Pa。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（2）频率范围：10Hz～20kHz。</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（3）动态范围：16～146dB。</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1.6.3 前置放大器 （1）频率响应：10Hz~20kHz ±0.1dB。</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1.6.4 校准器</w:t>
            </w:r>
          </w:p>
          <w:p>
            <w:pPr>
              <w:pStyle w:val="null3"/>
              <w:jc w:val="left"/>
            </w:pPr>
            <w:r>
              <w:rPr>
                <w:rFonts w:ascii="仿宋_GB2312" w:hAnsi="仿宋_GB2312" w:cs="仿宋_GB2312" w:eastAsia="仿宋_GB2312"/>
                <w:sz w:val="21"/>
              </w:rPr>
              <w:t>（1）符合GB/T 15173-2010 1级。</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（2）声压级：114.0dB和94.0dB。</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（3）声压级误差：±0.25 dB。</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（4）频率：1000.0Hz±0.7% Hz。</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2、声学成像仪</w:t>
            </w:r>
          </w:p>
          <w:p>
            <w:pPr>
              <w:pStyle w:val="null3"/>
              <w:jc w:val="left"/>
            </w:pPr>
            <w:r>
              <w:rPr>
                <w:rFonts w:ascii="仿宋_GB2312" w:hAnsi="仿宋_GB2312" w:cs="仿宋_GB2312" w:eastAsia="仿宋_GB2312"/>
                <w:sz w:val="21"/>
              </w:rPr>
              <w:t>★2.1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等国家指导文件与标准的要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rPr>
              <w:t>2.2 阵列部分</w:t>
            </w:r>
          </w:p>
          <w:p>
            <w:pPr>
              <w:pStyle w:val="null3"/>
              <w:jc w:val="left"/>
            </w:pPr>
            <w:r>
              <w:rPr>
                <w:rFonts w:ascii="仿宋_GB2312" w:hAnsi="仿宋_GB2312" w:cs="仿宋_GB2312" w:eastAsia="仿宋_GB2312"/>
                <w:sz w:val="21"/>
              </w:rPr>
              <w:t>（1）麦克风数量：≥64个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（2）阵型：轮辐阵；阵列动态范围：≥15 dB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（3）成像频率范围：200 Hz~40 kHz</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rPr>
              <w:t>2.3 麦克风部分</w:t>
            </w:r>
          </w:p>
          <w:p>
            <w:pPr>
              <w:pStyle w:val="null3"/>
              <w:jc w:val="left"/>
            </w:pPr>
            <w:r>
              <w:rPr>
                <w:rFonts w:ascii="仿宋_GB2312" w:hAnsi="仿宋_GB2312" w:cs="仿宋_GB2312" w:eastAsia="仿宋_GB2312"/>
                <w:sz w:val="21"/>
              </w:rPr>
              <w:t>（1）灵敏度：-26dB±3dB</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（2）频率范围：100Hz～40kHz</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（3）测量范围：30 dB～120 dBA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rPr>
              <w:t>2.4 采集单元部分</w:t>
            </w:r>
          </w:p>
          <w:p>
            <w:pPr>
              <w:pStyle w:val="null3"/>
              <w:jc w:val="left"/>
            </w:pPr>
            <w:r>
              <w:rPr>
                <w:rFonts w:ascii="仿宋_GB2312" w:hAnsi="仿宋_GB2312" w:cs="仿宋_GB2312" w:eastAsia="仿宋_GB2312"/>
                <w:sz w:val="21"/>
              </w:rPr>
              <w:t>（1）AD位数：≥16位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（2）采样频率：24kHz、48kHz、96kHz、32768Hz、65536Hz、1310572Hz</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摄像头部分：（1）摄像头像素：≥200W；（2）每秒帧数：≥30。（提供检测报告（带CMA或CNAS标识）或厂家盖章的参数确认函（或白皮书））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1"/>
              </w:rPr>
              <w:t>2.6 平板</w:t>
            </w:r>
          </w:p>
          <w:p>
            <w:pPr>
              <w:pStyle w:val="null3"/>
              <w:jc w:val="left"/>
            </w:pPr>
            <w:r>
              <w:rPr>
                <w:rFonts w:ascii="仿宋_GB2312" w:hAnsi="仿宋_GB2312" w:cs="仿宋_GB2312" w:eastAsia="仿宋_GB2312"/>
                <w:sz w:val="21"/>
              </w:rPr>
              <w:t>（1）屏幕：≥11.3寸</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（3）屏幕分辨率：≥2880*1920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（4）存储：≥128G固态硬盘</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（5）内存：≥16G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1"/>
              </w:rPr>
              <w:t>2.7 其他</w:t>
            </w:r>
          </w:p>
          <w:p>
            <w:pPr>
              <w:pStyle w:val="null3"/>
              <w:jc w:val="left"/>
            </w:pPr>
            <w:r>
              <w:rPr>
                <w:rFonts w:ascii="仿宋_GB2312" w:hAnsi="仿宋_GB2312" w:cs="仿宋_GB2312" w:eastAsia="仿宋_GB2312"/>
                <w:sz w:val="21"/>
              </w:rPr>
              <w:t>（1）连续使用时间&gt; 3h</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（2）工作温度：-10 ~ 50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3、声学仿真系统</w:t>
            </w:r>
          </w:p>
          <w:p>
            <w:pPr>
              <w:pStyle w:val="null3"/>
              <w:jc w:val="left"/>
            </w:pPr>
            <w:r>
              <w:rPr>
                <w:rFonts w:ascii="仿宋_GB2312" w:hAnsi="仿宋_GB2312" w:cs="仿宋_GB2312" w:eastAsia="仿宋_GB2312"/>
                <w:sz w:val="21"/>
              </w:rPr>
              <w:t>★3.1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等国家指导文件与标准的要求。 包括声学分析、气动声学分析、振动声学分析等。</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3.2 可用于工业、建筑室内的计算、预测、显示、评估；</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3.3 需满足在现在主流操作系统 WIN7、WIN8、WIN8.1、WIN10下完整运行使用；</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21"/>
              </w:rPr>
              <w:t>3.4 系统具备如下功能及技术指标：</w:t>
            </w:r>
          </w:p>
          <w:p>
            <w:pPr>
              <w:pStyle w:val="null3"/>
              <w:jc w:val="left"/>
            </w:pPr>
            <w:r>
              <w:rPr>
                <w:rFonts w:ascii="仿宋_GB2312" w:hAnsi="仿宋_GB2312" w:cs="仿宋_GB2312" w:eastAsia="仿宋_GB2312"/>
                <w:sz w:val="21"/>
              </w:rPr>
              <w:t>3.4.1 通过软件设定能自动计算出混响时间（T30和T20）、早期衰减时间（EDT）、声压级（SPL）、语言传输指数（STI）等指标，并具备完整音频噪声频谱（20-20kHz）、地形数据、不同格式文件等便捷导入，软件有三维显示界面可方便地检查模型，软件包括声源数据库（包括大型工业企业常用设备），可根据室内声源计算到室外噪声、有室内噪声计算模块。</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3.4.2 针对工业建筑具备相应的计算模式（墙、窗等有不同的传递损失），软件的算法应考虑地面吸收、空气吸收、风速影响等，软件可自动计算预测结果与标准限值的差值（超标值），且具有多种计算结果的输出方式。</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3.4.3 可用于降噪方案优化设计，用于工人工作环境的噪声控制，用于厂界声屏障的优化设计，并可根据多个接收点噪声情况进行声屏障的尺寸设计，具备根据噪声测量值修正预测模型的功能。</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3.4.4 具备工业噪声模拟预测、声屏障优化设计功能。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3.4.5 点声源、线声源、面声源和其他复杂声源的环境声传播的计算</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3.4.6 声屏障的计算方法和理论模型和优化 - 声屏障的降噪效果的计算和经济核算 - 拟结果中噪声参数应包括（不少于）：LA， Leq， L10，L50，L90，Ldn。</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3.4.7 显示噪声分布的等值分布图，噪声敏感点的噪声预测值和三维噪声分布。</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3.4.8 声源数据库，包括了大型钢铁、石化、炼油等企业常用设备。</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3.4.9 测量值对预测模型的修正功能，软件的算法应根据国际标准，并考虑地面吸收，空气吸收，温度影响和风速影响，预处理应能与通用的 CAD 软件相连。</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3.4.10 合成输出 BMP 图像，噪声图，矢量数据等。</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3.4.11 通过对声学仿真空间进行接受点的每小时leq、噪声源的排放频谱、不同介质的频谱吸收系数、反射等参数进行前期调研测试。使用仿真软件对室内环境进行网格化划分，对空间内的声源点、室内物体等进行绘制。系统通过3D渲染技术、预测模型算法对指定区域的噪声分布进行预测。该系统可用于反应区域范围内的噪声情况，以及模拟消声设计效果，进行方案优化。</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3.4.12 通过软件能计算声音传输过程中的信号与原始信号之间的差异，失真度≤0.05%</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sz w:val="21"/>
              </w:rPr>
              <w:t>3.4.13 室内噪声绘制</w:t>
            </w:r>
          </w:p>
          <w:p>
            <w:pPr>
              <w:pStyle w:val="null3"/>
              <w:jc w:val="left"/>
            </w:pPr>
            <w:r>
              <w:rPr>
                <w:rFonts w:ascii="仿宋_GB2312" w:hAnsi="仿宋_GB2312" w:cs="仿宋_GB2312" w:eastAsia="仿宋_GB2312"/>
                <w:sz w:val="21"/>
              </w:rPr>
              <w:t>（1）输入：声源位置信息、声源声功率信息、指向性因子、房间常量、接受点位置信息、各材料的吸收频谱及发射频谱。</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（2）输出：指定范围内噪声分布图。</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4、矿用本安型声级计</w:t>
            </w:r>
          </w:p>
          <w:p>
            <w:pPr>
              <w:pStyle w:val="null3"/>
              <w:jc w:val="left"/>
            </w:pPr>
            <w:r>
              <w:rPr>
                <w:rFonts w:ascii="仿宋_GB2312" w:hAnsi="仿宋_GB2312" w:cs="仿宋_GB2312" w:eastAsia="仿宋_GB2312"/>
                <w:sz w:val="21"/>
              </w:rPr>
              <w:t>★4.1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4.2 具有防爆功能；</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sz w:val="21"/>
              </w:rPr>
              <w:t>4.3 执行标准：</w:t>
            </w:r>
          </w:p>
          <w:p>
            <w:pPr>
              <w:pStyle w:val="null3"/>
              <w:jc w:val="left"/>
            </w:pPr>
            <w:r>
              <w:rPr>
                <w:rFonts w:ascii="仿宋_GB2312" w:hAnsi="仿宋_GB2312" w:cs="仿宋_GB2312" w:eastAsia="仿宋_GB2312"/>
                <w:sz w:val="21"/>
              </w:rPr>
              <w:t>（1）声级计符合GB/T 3785.1—2023 1级；</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（2）滤波器符合GB/T 3241—2010 1级；</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（3）个人声暴露计符合GB/T 15952—2010。</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4.4 频率范围：10 Hz～20 kHz；</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4.5 1000Hz声压级测量范围：28dBA～136 dBA；</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4.6 峰值C声级测量范围：60 dBC-136 dBC；</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4.7 测量功能：总值积分、统计积分、24小时、声暴露级、1/1 OCT、1/3 OCT；</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4.8 主要测量指标：Lxyp、Lxeq,T、Lxeq，t、Lxymax、Lxymin、LxE、Lxpeak、TWA、Lex,8h；</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4.9 数据存贮：≥8G内部存储，最大可支持64G TF卡；</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4.10 输出接口：交流、直流、IO扩展口、USB接口；</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4.11 电源：可连续工作6小时以上；</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4.12 测量时间：1 s到99 h任意设置；</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4.13 工作温度：0 ℃～40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4.14 声暴露级功能：交换率：3、4、5可选；阈级：40 dB～90 dB；评判标准声级：70 dB～90 dB；主要测量指标：Lp、Lmax、TWA、Lex,8h、LCpeak、LZpeak、Lmin、Leq,T。</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5、声校准器</w:t>
            </w:r>
          </w:p>
          <w:p>
            <w:pPr>
              <w:pStyle w:val="null3"/>
              <w:jc w:val="left"/>
            </w:pPr>
            <w:r>
              <w:rPr>
                <w:rFonts w:ascii="仿宋_GB2312" w:hAnsi="仿宋_GB2312" w:cs="仿宋_GB2312" w:eastAsia="仿宋_GB2312"/>
                <w:sz w:val="21"/>
              </w:rPr>
              <w:t>★5.1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5.2 符合标准：GB/T 15173—2010 1级。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5.3 主要功能：频率计权、级线性、猝发音、重复猝发音、自定义声场。</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 频率计权主要指标：参考声压级：113 dB ± 0.2 dB@1 kHz 、94 dB ± 0.2 dB@1 kHz；标称频率：20 Hz - 16 kHz，频率准确性0.1%。（提供检测报告（带CMA或CNAS标识）或厂家盖章的参数确认函（或白皮书））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5.5 传声器声场类型：压力场、自由场1、自由场2、自定义声场。</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5.6 级线性：可调节声压级范围：90 dB~114 dB（误差：10 dB以内± 0.1 dB；10 dB以上± 0.2 dB）。</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5.7 内部电池：连续使用时间≥10 h。</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6、振动测试与分析平台</w:t>
            </w:r>
          </w:p>
          <w:p>
            <w:pPr>
              <w:pStyle w:val="null3"/>
              <w:jc w:val="left"/>
            </w:pPr>
            <w:r>
              <w:rPr>
                <w:rFonts w:ascii="仿宋_GB2312" w:hAnsi="仿宋_GB2312" w:cs="仿宋_GB2312" w:eastAsia="仿宋_GB2312"/>
                <w:sz w:val="21"/>
              </w:rPr>
              <w:t>★6.1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 第9部分：手传振动》（GBZ/T 189.9-2007）等国家指导文件与标准的要求。</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 （1）符合GB/T 3241-20141级 电声学 倍频程和分数倍频程滤波器 （2）符合JJF 1288-2011 多通道声分析仪校准规范 （3）符合JJG 233-2008 《压电加速度计检定规程》 （4）符合JJG 676-2000《工作测振仪检定规程》 （5）符合GB/T 6075.3-2011机械振动 在非旋转部件上测量评价机器的振动 第3部分：额定功率＞15 kW额定转速在120 r/min至1500 r/min之间的在现场测量的工业机器 （6）符合GB/T 11349.3-2006振动与冲击 机械导纳的试验确定 第3部分：冲击激励法等标准 （7）用于机械振动测量，包括加速度、速度、位移三种振动量的有效值、峰值等。</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sz w:val="21"/>
              </w:rPr>
              <w:t>6.3 仪器配置</w:t>
            </w:r>
          </w:p>
          <w:p>
            <w:pPr>
              <w:pStyle w:val="null3"/>
              <w:jc w:val="left"/>
            </w:pPr>
            <w:r>
              <w:rPr>
                <w:rFonts w:ascii="仿宋_GB2312" w:hAnsi="仿宋_GB2312" w:cs="仿宋_GB2312" w:eastAsia="仿宋_GB2312"/>
                <w:sz w:val="21"/>
              </w:rPr>
              <w:t>6.3.1 多通道信号分析仪*1：3通道振动信号同步采集,包含基础软件包分析、1/3OCT、FFT频谱分析，三维色谱图</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6.3.2 标准振动台与功率放大器：</w:t>
            </w:r>
          </w:p>
          <w:p>
            <w:pPr>
              <w:pStyle w:val="null3"/>
              <w:jc w:val="left"/>
            </w:pPr>
            <w:r>
              <w:rPr>
                <w:rFonts w:ascii="仿宋_GB2312" w:hAnsi="仿宋_GB2312" w:cs="仿宋_GB2312" w:eastAsia="仿宋_GB2312"/>
                <w:sz w:val="21"/>
              </w:rPr>
              <w:t xml:space="preserve"> ▲（1）标准振动台*1：正弦推力：250N；最大加速度峰值：250m/s</w:t>
            </w:r>
            <w:r>
              <w:rPr>
                <w:rFonts w:ascii="仿宋_GB2312" w:hAnsi="仿宋_GB2312" w:cs="仿宋_GB2312" w:eastAsia="仿宋_GB2312"/>
                <w:sz w:val="21"/>
                <w:vertAlign w:val="superscript"/>
              </w:rPr>
              <w:t>2</w:t>
            </w:r>
            <w:r>
              <w:rPr>
                <w:rFonts w:ascii="仿宋_GB2312" w:hAnsi="仿宋_GB2312" w:cs="仿宋_GB2312" w:eastAsia="仿宋_GB2312"/>
                <w:sz w:val="21"/>
              </w:rPr>
              <w:t>；最大速度峰值：1m/s；最大位移峰峰值：10mm；频率范围：5Hz~10kHz；（提供检测报告（带CMA或CNAS标识）或厂家盖章的参数确认函（或白皮书））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（2）功率放大器*1：频率范围：5-10kHz；最大输出电压：25Vrms；</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6.3.3 标准传感器*1：灵敏度：≤10mV/g；</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6.3.4 加速度计*1：三轴向振动加速度传感器</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6.3.5 计算机*1：相当于I5及以上、≥16G内存、≥256G固态硬盘</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sz w:val="21"/>
              </w:rPr>
              <w:t>6.4 硬件要求</w:t>
            </w:r>
          </w:p>
          <w:p>
            <w:pPr>
              <w:pStyle w:val="null3"/>
              <w:jc w:val="left"/>
            </w:pPr>
            <w:r>
              <w:rPr>
                <w:rFonts w:ascii="仿宋_GB2312" w:hAnsi="仿宋_GB2312" w:cs="仿宋_GB2312" w:eastAsia="仿宋_GB2312"/>
                <w:sz w:val="21"/>
              </w:rPr>
              <w:t>6.4.1 多通道信号分析仪</w:t>
            </w:r>
          </w:p>
          <w:p>
            <w:pPr>
              <w:pStyle w:val="null3"/>
              <w:jc w:val="left"/>
            </w:pPr>
            <w:r>
              <w:rPr>
                <w:rFonts w:ascii="仿宋_GB2312" w:hAnsi="仿宋_GB2312" w:cs="仿宋_GB2312" w:eastAsia="仿宋_GB2312"/>
                <w:sz w:val="21"/>
              </w:rPr>
              <w:t>（1）输入通道：≥3通道。输入信号类型：电压或ICP。</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（2）AD位数：≥24位。</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（3）动态范围：≥110dB。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（4）频率范围：0.1Hz～80kHz，误差≤0.1dB。</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（5）测量范围：噪声20dB(A)～140dB(A)。</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（6）采样频率：8192、12kHz、16384、24kHz、32768、48kHz、65536、96kHz、131072、192kHz。</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sz w:val="21"/>
              </w:rPr>
              <w:t>6.4.2 振动传感器</w:t>
            </w:r>
          </w:p>
          <w:p>
            <w:pPr>
              <w:pStyle w:val="null3"/>
              <w:jc w:val="left"/>
            </w:pPr>
            <w:r>
              <w:rPr>
                <w:rFonts w:ascii="仿宋_GB2312" w:hAnsi="仿宋_GB2312" w:cs="仿宋_GB2312" w:eastAsia="仿宋_GB2312"/>
                <w:sz w:val="21"/>
              </w:rPr>
              <w:t>（1）频率范围：0.5Hz~10kHz</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（2）灵敏度: ≤100mV/g</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（3）温度范围(℃)：-55~+125</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7、噪声计比对声源</w:t>
            </w:r>
          </w:p>
          <w:p>
            <w:pPr>
              <w:pStyle w:val="null3"/>
              <w:jc w:val="left"/>
            </w:pPr>
            <w:r>
              <w:rPr>
                <w:rFonts w:ascii="仿宋_GB2312" w:hAnsi="仿宋_GB2312" w:cs="仿宋_GB2312" w:eastAsia="仿宋_GB2312"/>
                <w:sz w:val="21"/>
              </w:rPr>
              <w:t>★7.1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7.2 A计权声功率输出：94dB re 1pW。</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 声功率50Hz–20kHz：94dB re 1pW。（提供检测报告（带CMA或CNAS标识）或厂家盖章的参数确认函（或白皮书））</w:t>
            </w:r>
          </w:p>
        </w:tc>
      </w:tr>
    </w:tbl>
    <w:p>
      <w:pPr>
        <w:pStyle w:val="null3"/>
        <w:jc w:val="left"/>
      </w:pPr>
      <w:r>
        <w:rPr>
          <w:rFonts w:ascii="仿宋_GB2312" w:hAnsi="仿宋_GB2312" w:cs="仿宋_GB2312" w:eastAsia="仿宋_GB2312"/>
        </w:rPr>
        <w:t>标的名称：呼吸器适合性检验系统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呼吸器适合性检验系统</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呼吸防护用品的选择、使用与维护》（GB18664）、《职业卫生技术服务工作规范》（GBZ 331—2024）等国家指导文件与标准的要求。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 运行环境：</w:t>
            </w:r>
          </w:p>
          <w:p>
            <w:pPr>
              <w:pStyle w:val="null3"/>
              <w:jc w:val="left"/>
            </w:pPr>
            <w:r>
              <w:rPr>
                <w:rFonts w:ascii="仿宋_GB2312" w:hAnsi="仿宋_GB2312" w:cs="仿宋_GB2312" w:eastAsia="仿宋_GB2312"/>
                <w:sz w:val="21"/>
              </w:rPr>
              <w:t>2.1 工作电压：100-250VAC，50-60Hz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 工作温度：0-50℃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 配备便携式电脑和平板电脑，及其最新版本的操作系统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3. 技术参数：</w:t>
            </w:r>
          </w:p>
          <w:p>
            <w:pPr>
              <w:pStyle w:val="null3"/>
              <w:jc w:val="left"/>
            </w:pPr>
            <w:r>
              <w:rPr>
                <w:rFonts w:ascii="仿宋_GB2312" w:hAnsi="仿宋_GB2312" w:cs="仿宋_GB2312" w:eastAsia="仿宋_GB2312"/>
                <w:sz w:val="21"/>
              </w:rPr>
              <w:t>3.1 测试的适合因数：1-10000（过滤效率＞99%）,1-200+（过滤效率＜99%，如N95型）</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3.2 流量：采样≥300cm</w:t>
            </w:r>
            <w:r>
              <w:rPr>
                <w:rFonts w:ascii="仿宋_GB2312" w:hAnsi="仿宋_GB2312" w:cs="仿宋_GB2312" w:eastAsia="仿宋_GB2312"/>
                <w:sz w:val="21"/>
                <w:vertAlign w:val="superscript"/>
              </w:rPr>
              <w:t>3</w:t>
            </w:r>
            <w:r>
              <w:rPr>
                <w:rFonts w:ascii="仿宋_GB2312" w:hAnsi="仿宋_GB2312" w:cs="仿宋_GB2312" w:eastAsia="仿宋_GB2312"/>
                <w:sz w:val="21"/>
              </w:rPr>
              <w:t>/min，总量≥800cm</w:t>
            </w:r>
            <w:r>
              <w:rPr>
                <w:rFonts w:ascii="仿宋_GB2312" w:hAnsi="仿宋_GB2312" w:cs="仿宋_GB2312" w:eastAsia="仿宋_GB2312"/>
                <w:sz w:val="21"/>
                <w:vertAlign w:val="superscript"/>
              </w:rPr>
              <w:t>3</w:t>
            </w:r>
            <w:r>
              <w:rPr>
                <w:rFonts w:ascii="仿宋_GB2312" w:hAnsi="仿宋_GB2312" w:cs="仿宋_GB2312" w:eastAsia="仿宋_GB2312"/>
                <w:sz w:val="21"/>
              </w:rPr>
              <w:t>/min（标称值）</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3.3 粒子浓度范围≥2.0x10</w:t>
            </w:r>
            <w:r>
              <w:rPr>
                <w:rFonts w:ascii="仿宋_GB2312" w:hAnsi="仿宋_GB2312" w:cs="仿宋_GB2312" w:eastAsia="仿宋_GB2312"/>
                <w:sz w:val="21"/>
                <w:vertAlign w:val="superscript"/>
              </w:rPr>
              <w:t>5</w:t>
            </w:r>
            <w:r>
              <w:rPr>
                <w:rFonts w:ascii="仿宋_GB2312" w:hAnsi="仿宋_GB2312" w:cs="仿宋_GB2312" w:eastAsia="仿宋_GB2312"/>
                <w:sz w:val="21"/>
              </w:rPr>
              <w:t>个/立方厘米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3.4 典型适合因数精度： 读数的 ±15%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3.5 采用CPC原理，具有内置DMA结构</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▲3.6 适用于所有紧密型呼吸器的种类，包括：95、99、100、FFP1、FFP2、FFP3等过滤式呼吸器，半面罩和全面罩。（提供检测报告（带CMA或CNAS标识）或厂家盖章的参数确认函（或白皮书））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3.7 具有内置动画教程，正确引导佩戴者完成标准的测试动作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3.8 设备具有无线通信连接功能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 设备需要提供实时显示模式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 提供3年原厂质保服务及技术支持。</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 仪器配置：主机、粒子发生器、1000 对采样孔套件（N95 抛弃型）、Wifi连接器、异丙醇吸液芯和存储瓶。</w:t>
            </w:r>
          </w:p>
        </w:tc>
      </w:tr>
    </w:tbl>
    <w:p>
      <w:pPr>
        <w:pStyle w:val="null3"/>
        <w:jc w:val="left"/>
      </w:pPr>
      <w:r>
        <w:rPr>
          <w:rFonts w:ascii="仿宋_GB2312" w:hAnsi="仿宋_GB2312" w:cs="仿宋_GB2312" w:eastAsia="仿宋_GB2312"/>
        </w:rPr>
        <w:t>标的名称：声暴露计（五台组）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声暴露计（五台组)</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工作场所物理因素测量第8部分：噪声》（GBZ/T 189.8-2007 ）等国家指导文件与标准的要求。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具有防爆功能（提供检测报告（带CMA或CNAS标识）或厂家盖章的参数确认函（或白皮书））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计权滤波器：A, C , 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时间常数：慢, 快, 脉冲</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测量结果：Lxy (SPL), Lxeq (LEQ), Lxpeak (PEAK), Lxymax (MAX), Lxymin (MIN), DOSE_8h, TWA, 测量时间, 过载时间, 静止未移动时间等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测量配置 ：可配置三组不同的滤波器和检测器同时进行测量运算；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线性操作范围：55 dBA RMS —141 dBA Peak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总动态范围：45 dBA RMS —141 dBA Peak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频率范围 ：20 Hz — 10 kHz；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动态范围：45-141dBA；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数据记录：96 dB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数据记录：摘要结果和时间历程数据使用两个可调的记录步长同时记录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 1/1 倍频程&amp;1/3倍频程：倍频程：1/1，中心频率 从 31.5 Hz 到 8 kHz； 1/3 倍频程，中心频率 从 20 Hz 到 10 kHz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 显示器：彩色OLED， ≥128 x 64像素；</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 内存：≥8 GB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 电源：充电电池，满电可运行工作 ≥45 小时；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 重量：≤200g</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 仪器配置：噪声剂量计，麦克风，挡风罩，充电器及便携箱。</w:t>
            </w:r>
          </w:p>
        </w:tc>
      </w:tr>
    </w:tbl>
    <w:p>
      <w:pPr>
        <w:pStyle w:val="null3"/>
        <w:jc w:val="left"/>
      </w:pPr>
      <w:r>
        <w:rPr>
          <w:rFonts w:ascii="仿宋_GB2312" w:hAnsi="仿宋_GB2312" w:cs="仿宋_GB2312" w:eastAsia="仿宋_GB2312"/>
        </w:rPr>
        <w:t>标的名称：护听器防护效果检验平台（听力适合性检验装置）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E74C3C"/>
              </w:rPr>
              <w:t>护听器防护效果检验平台（听力适合性检验装置）</w:t>
            </w:r>
          </w:p>
          <w:p>
            <w:pPr>
              <w:pStyle w:val="null3"/>
              <w:jc w:val="left"/>
            </w:pPr>
            <w:r>
              <w:rPr>
                <w:rFonts w:ascii="仿宋_GB2312" w:hAnsi="仿宋_GB2312" w:cs="仿宋_GB2312" w:eastAsia="仿宋_GB2312"/>
                <w:sz w:val="21"/>
              </w:rPr>
              <w:t>★1. 设备参数符合国家卫生健康委《关于加强职业病防治技术支撑体系建设的指导意见》（国卫职健发〔2020〕5号）、国家卫生健康委职业安全卫生研究中心关于印发《省级职业病危害工程防护技术支撑机构能力建设指南》的通知（职卫研〔2024〕49号）、《职业卫生技术服务工作规范》（GBZ 331—2024）等国家指导文件与标准的要求。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测试信号：支持选用经过1/3倍频程滤波器滤波后的粉红噪声作为测试信号，能在测试位置产生从112 Hz到9000 Hz的测试信号。</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倍频带数据计算频率：至少包含7个频率（0.125、0.25、0.5、1.0、2.0、4.0、8.0 kHz）。（提供检测报告（带CMA或CNAS标识）或厂家盖章的参数确认函（或白皮书））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报告结果：能报告每个频率和总体的个人声衰减PAR，工人最大能暴露的噪声强度范围以及是否通过测试的结果。</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频率计权：支持A计权。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配置清单：密合度检测仪耳机、无线鼠标、光盘软件、出厂证书、说明书、便携箱</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合同履行期限（交货期）：</w:t>
            </w:r>
            <w:r>
              <w:rPr>
                <w:rFonts w:ascii="仿宋_GB2312" w:hAnsi="仿宋_GB2312" w:cs="仿宋_GB2312" w:eastAsia="仿宋_GB2312"/>
                <w:sz w:val="24"/>
                <w:color w:val="000000"/>
              </w:rPr>
              <w:t>签订合同后国产产品30天内交付，进口产品90天内交付。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color w:val="000000"/>
              </w:rPr>
              <w:t>交货地点：</w:t>
            </w:r>
            <w:r>
              <w:rPr>
                <w:rFonts w:ascii="仿宋_GB2312" w:hAnsi="仿宋_GB2312" w:cs="仿宋_GB2312" w:eastAsia="仿宋_GB2312"/>
                <w:sz w:val="24"/>
                <w:color w:val="000000"/>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color w:val="000000"/>
              </w:rPr>
              <w:t>付款条件：</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）履约保证金</w:t>
            </w:r>
          </w:p>
          <w:p>
            <w:pPr>
              <w:pStyle w:val="null3"/>
              <w:ind w:firstLine="480"/>
              <w:jc w:val="both"/>
            </w:pPr>
            <w:r>
              <w:rPr>
                <w:rFonts w:ascii="仿宋_GB2312" w:hAnsi="仿宋_GB2312" w:cs="仿宋_GB2312" w:eastAsia="仿宋_GB2312"/>
                <w:sz w:val="24"/>
                <w:color w:val="000000"/>
              </w:rPr>
              <w:t>合同乙方应在合同签订后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个工作日内向合同甲方提交合同总价款</w:t>
            </w:r>
            <w:r>
              <w:rPr>
                <w:rFonts w:ascii="仿宋_GB2312" w:hAnsi="仿宋_GB2312" w:cs="仿宋_GB2312" w:eastAsia="仿宋_GB2312"/>
                <w:sz w:val="24"/>
                <w:b/>
                <w:color w:val="000000"/>
                <w:u w:val="single"/>
              </w:rPr>
              <w:t>5%</w:t>
            </w:r>
            <w:r>
              <w:rPr>
                <w:rFonts w:ascii="仿宋_GB2312" w:hAnsi="仿宋_GB2312" w:cs="仿宋_GB2312" w:eastAsia="仿宋_GB2312"/>
                <w:sz w:val="24"/>
                <w:color w:val="000000"/>
              </w:rPr>
              <w:t>的履约保证金（乙方应当以支票、汇票、本票或者金融机构、担保机构出具的保函等非现金形式提交，且履约保证金的有效期</w:t>
            </w:r>
            <w:r>
              <w:rPr>
                <w:rFonts w:ascii="仿宋_GB2312" w:hAnsi="仿宋_GB2312" w:cs="仿宋_GB2312" w:eastAsia="仿宋_GB2312"/>
                <w:sz w:val="24"/>
                <w:color w:val="000000"/>
              </w:rPr>
              <w:t>应在</w:t>
            </w:r>
            <w:r>
              <w:rPr>
                <w:rFonts w:ascii="仿宋_GB2312" w:hAnsi="仿宋_GB2312" w:cs="仿宋_GB2312" w:eastAsia="仿宋_GB2312"/>
                <w:sz w:val="24"/>
                <w:color w:val="000000"/>
              </w:rPr>
              <w:t>乙方投标承诺的质保期限</w:t>
            </w:r>
            <w:r>
              <w:rPr>
                <w:rFonts w:ascii="仿宋_GB2312" w:hAnsi="仿宋_GB2312" w:cs="仿宋_GB2312" w:eastAsia="仿宋_GB2312"/>
                <w:sz w:val="24"/>
                <w:color w:val="000000"/>
              </w:rPr>
              <w:t>结束</w:t>
            </w:r>
            <w:r>
              <w:rPr>
                <w:rFonts w:ascii="仿宋_GB2312" w:hAnsi="仿宋_GB2312" w:cs="仿宋_GB2312" w:eastAsia="仿宋_GB2312"/>
                <w:sz w:val="24"/>
                <w:color w:val="000000"/>
              </w:rPr>
              <w:t>后第</w:t>
            </w:r>
            <w:r>
              <w:rPr>
                <w:rFonts w:ascii="仿宋_GB2312" w:hAnsi="仿宋_GB2312" w:cs="仿宋_GB2312" w:eastAsia="仿宋_GB2312"/>
                <w:sz w:val="24"/>
                <w:color w:val="000000"/>
              </w:rPr>
              <w:t>30</w:t>
            </w:r>
            <w:r>
              <w:rPr>
                <w:rFonts w:ascii="仿宋_GB2312" w:hAnsi="仿宋_GB2312" w:cs="仿宋_GB2312" w:eastAsia="仿宋_GB2312"/>
                <w:sz w:val="24"/>
                <w:color w:val="000000"/>
              </w:rPr>
              <w:t>天内一直保持有效</w:t>
            </w:r>
            <w:r>
              <w:rPr>
                <w:rFonts w:ascii="仿宋_GB2312" w:hAnsi="仿宋_GB2312" w:cs="仿宋_GB2312" w:eastAsia="仿宋_GB2312"/>
                <w:sz w:val="24"/>
                <w:color w:val="000000"/>
              </w:rPr>
              <w:t>，质保期满经甲方确认在此期间产品质量良好且使用正常后</w:t>
            </w:r>
            <w:r>
              <w:rPr>
                <w:rFonts w:ascii="仿宋_GB2312" w:hAnsi="仿宋_GB2312" w:cs="仿宋_GB2312" w:eastAsia="仿宋_GB2312"/>
                <w:sz w:val="24"/>
                <w:color w:val="000000"/>
              </w:rPr>
              <w:t xml:space="preserve"> 15 </w:t>
            </w:r>
            <w:r>
              <w:rPr>
                <w:rFonts w:ascii="仿宋_GB2312" w:hAnsi="仿宋_GB2312" w:cs="仿宋_GB2312" w:eastAsia="仿宋_GB2312"/>
                <w:sz w:val="24"/>
                <w:color w:val="000000"/>
              </w:rPr>
              <w:t>个工作日内甲方将履约保证金退还乙方。</w:t>
            </w:r>
          </w:p>
          <w:p>
            <w:pPr>
              <w:pStyle w:val="null3"/>
              <w:ind w:firstLine="480"/>
              <w:jc w:val="both"/>
            </w:pPr>
            <w:r>
              <w:rPr>
                <w:rFonts w:ascii="仿宋_GB2312" w:hAnsi="仿宋_GB2312" w:cs="仿宋_GB2312" w:eastAsia="仿宋_GB2312"/>
                <w:sz w:val="24"/>
                <w:color w:val="000000"/>
              </w:rPr>
              <w:t>注：乙方未按上述要求提交履约保证金的，甲方有权单方面取消采购合同 。</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采购资金的支付方式、时间、条件</w:t>
            </w:r>
          </w:p>
          <w:p>
            <w:pPr>
              <w:pStyle w:val="null3"/>
              <w:ind w:firstLine="480"/>
              <w:jc w:val="both"/>
            </w:pPr>
            <w:r>
              <w:rPr>
                <w:rFonts w:ascii="仿宋_GB2312" w:hAnsi="仿宋_GB2312" w:cs="仿宋_GB2312" w:eastAsia="仿宋_GB2312"/>
                <w:sz w:val="24"/>
                <w:color w:val="000000"/>
              </w:rPr>
              <w:t>第一期：合同签订后，乙方向甲方提供发票，甲方</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法定时间内支付合同总价款的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第二期：甲方收到全部货物后，乙方向甲方提供发票，甲方</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法定时间内支付合同总价款的</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第三期：安装、调试经双方验收合格后，乙方向甲方提供发票，甲方</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法定时间内支付合同总价款的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color w:val="000000"/>
              </w:rPr>
              <w:t>包装和运输：</w:t>
            </w:r>
          </w:p>
          <w:p>
            <w:pPr>
              <w:pStyle w:val="null3"/>
              <w:jc w:val="left"/>
            </w:pPr>
            <w:r>
              <w:rPr>
                <w:rFonts w:ascii="仿宋_GB2312" w:hAnsi="仿宋_GB2312" w:cs="仿宋_GB2312" w:eastAsia="仿宋_GB2312"/>
                <w:sz w:val="24"/>
                <w:color w:val="000000"/>
              </w:rPr>
              <w:t>交付货物的包装和运输的费用必须包含在投标报价中，且必须满足中国法律法规、相关部门的相应产业标准及本合同的要求。提供的货物应是全新、完整、技术成熟稳定、性能质量良好并未曾使用的产品，货物及相关许可证明文件、技术文件、软件、服务等均不存在瑕疵。交付的货物在验收合格前，乙方应对货物的提供风险保障，所产生的保险费用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color w:val="000000"/>
              </w:rPr>
              <w:t>安装与调试：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）所有设备均由供应商免费送货至采购人指定的交货地点并安装调试好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）安装调试应以本招标文件要求的技术参数指标和投标文件承诺为标准；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）供应商应提供包括但不限于满足设备安装、使用和维护的技术文件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设备和附件装箱清单、设备质量合格检定证明文件、设备保修服务卡、设备中英文使用说明和维护手册等；</w:t>
            </w:r>
          </w:p>
          <w:p>
            <w:pPr>
              <w:pStyle w:val="null3"/>
              <w:jc w:val="left"/>
            </w:pPr>
            <w:r>
              <w:rPr>
                <w:rFonts w:ascii="仿宋_GB2312" w:hAnsi="仿宋_GB2312" w:cs="仿宋_GB2312" w:eastAsia="仿宋_GB2312"/>
                <w:sz w:val="24"/>
                <w:color w:val="000000"/>
              </w:rPr>
              <w:t>（5）安装时产生的拆旧及布线费用由供应商负责。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color w:val="000000"/>
              </w:rPr>
              <w:t>技术培训：</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）产品安装调试完毕后，供应商应根据采购人要求提供设备的操作培训、日常维护保养培训和维修培训，并提供培训资料。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）投标人应对招标人的相关人员进行培训，实现依据本合同所规定的服务的目标和设备功能。培训的相关费用已包含在本合同价款中，招标人不再另行支付培训费用。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）投标人应负责招标人技术人员和管理人员的技术培训，通过培训，使至少</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r>
              <w:rPr>
                <w:rFonts w:ascii="仿宋_GB2312" w:hAnsi="仿宋_GB2312" w:cs="仿宋_GB2312" w:eastAsia="仿宋_GB2312"/>
                <w:sz w:val="24"/>
                <w:color w:val="000000"/>
              </w:rPr>
              <w:t>受培训人员能独立掌握各设备的配置、故障诊断、维护管理等技术，使之能适应设备正常运行的需求。</w:t>
            </w:r>
          </w:p>
          <w:p>
            <w:pPr>
              <w:pStyle w:val="null3"/>
              <w:jc w:val="left"/>
            </w:pPr>
            <w:r>
              <w:rPr>
                <w:rFonts w:ascii="仿宋_GB2312" w:hAnsi="仿宋_GB2312" w:cs="仿宋_GB2312" w:eastAsia="仿宋_GB2312"/>
                <w:sz w:val="24"/>
                <w:color w:val="000000"/>
              </w:rPr>
              <w:t>（3）培训地点由采购人指定，人数不限、次数不少于 2 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color w:val="000000"/>
              </w:rPr>
              <w:t>适用标准：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）设备参数符合国家卫生健康委《关于加强职业病防治技术支撑体系建设的指导意见》（国卫职健发〔</w:t>
            </w:r>
            <w:r>
              <w:rPr>
                <w:rFonts w:ascii="仿宋_GB2312" w:hAnsi="仿宋_GB2312" w:cs="仿宋_GB2312" w:eastAsia="仿宋_GB2312"/>
                <w:sz w:val="24"/>
                <w:color w:val="000000"/>
              </w:rPr>
              <w:t>2020</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号）、国家卫生健康委职业安全卫生研究中心关于印发《省级职业病危害工程防护技术支撑机构能力建设指南》的通知（职卫研〔</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w:t>
            </w:r>
            <w:r>
              <w:rPr>
                <w:rFonts w:ascii="仿宋_GB2312" w:hAnsi="仿宋_GB2312" w:cs="仿宋_GB2312" w:eastAsia="仿宋_GB2312"/>
                <w:sz w:val="24"/>
                <w:color w:val="000000"/>
              </w:rPr>
              <w:t>49</w:t>
            </w:r>
            <w:r>
              <w:rPr>
                <w:rFonts w:ascii="仿宋_GB2312" w:hAnsi="仿宋_GB2312" w:cs="仿宋_GB2312" w:eastAsia="仿宋_GB2312"/>
                <w:sz w:val="24"/>
                <w:color w:val="000000"/>
              </w:rPr>
              <w:t>号）、《工作场所物理因素测量》（</w:t>
            </w:r>
            <w:r>
              <w:rPr>
                <w:rFonts w:ascii="仿宋_GB2312" w:hAnsi="仿宋_GB2312" w:cs="仿宋_GB2312" w:eastAsia="仿宋_GB2312"/>
                <w:sz w:val="24"/>
                <w:color w:val="000000"/>
              </w:rPr>
              <w:t xml:space="preserve">GBZ/T 189.8-2007 </w:t>
            </w:r>
            <w:r>
              <w:rPr>
                <w:rFonts w:ascii="仿宋_GB2312" w:hAnsi="仿宋_GB2312" w:cs="仿宋_GB2312" w:eastAsia="仿宋_GB2312"/>
                <w:sz w:val="24"/>
                <w:color w:val="000000"/>
              </w:rPr>
              <w:t>）、《职业卫生技术服务工作规范》（</w:t>
            </w:r>
            <w:r>
              <w:rPr>
                <w:rFonts w:ascii="仿宋_GB2312" w:hAnsi="仿宋_GB2312" w:cs="仿宋_GB2312" w:eastAsia="仿宋_GB2312"/>
                <w:sz w:val="24"/>
                <w:color w:val="000000"/>
              </w:rPr>
              <w:t>GBZ 331</w:t>
            </w:r>
            <w:r>
              <w:rPr>
                <w:rFonts w:ascii="仿宋_GB2312" w:hAnsi="仿宋_GB2312" w:cs="仿宋_GB2312" w:eastAsia="仿宋_GB2312"/>
                <w:sz w:val="24"/>
                <w:color w:val="000000"/>
              </w:rPr>
              <w:t>—</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）、《呼吸防护用品的选择、使用与维护》（</w:t>
            </w:r>
            <w:r>
              <w:rPr>
                <w:rFonts w:ascii="仿宋_GB2312" w:hAnsi="仿宋_GB2312" w:cs="仿宋_GB2312" w:eastAsia="仿宋_GB2312"/>
                <w:sz w:val="24"/>
                <w:color w:val="000000"/>
              </w:rPr>
              <w:t>GB18664</w:t>
            </w:r>
            <w:r>
              <w:rPr>
                <w:rFonts w:ascii="仿宋_GB2312" w:hAnsi="仿宋_GB2312" w:cs="仿宋_GB2312" w:eastAsia="仿宋_GB2312"/>
                <w:sz w:val="24"/>
                <w:color w:val="000000"/>
              </w:rPr>
              <w:t>）等国家指导文件与标准的要求。</w:t>
            </w:r>
          </w:p>
          <w:p>
            <w:pPr>
              <w:pStyle w:val="null3"/>
              <w:jc w:val="left"/>
            </w:pPr>
            <w:r>
              <w:rPr>
                <w:rFonts w:ascii="仿宋_GB2312" w:hAnsi="仿宋_GB2312" w:cs="仿宋_GB2312" w:eastAsia="仿宋_GB2312"/>
                <w:sz w:val="24"/>
                <w:color w:val="000000"/>
              </w:rPr>
              <w:t>（2）符合国家、地方和行业的其他相关政策、法规。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4"/>
                <w:b/>
                <w:color w:val="000000"/>
              </w:rPr>
              <w:t>知识产权：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jc w:val="left"/>
            </w:pPr>
            <w:r>
              <w:rPr>
                <w:rFonts w:ascii="仿宋_GB2312" w:hAnsi="仿宋_GB2312" w:cs="仿宋_GB2312" w:eastAsia="仿宋_GB2312"/>
                <w:sz w:val="24"/>
                <w:color w:val="000000"/>
              </w:rPr>
              <w:t>（2）投标报价应包含所有应向所有权人支付的专利权、商标权或其它知识产权的一切相关费用，并保证所有投标产品使用的软件为正版软件。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4"/>
                <w:b/>
                <w:color w:val="000000"/>
              </w:rPr>
              <w:t>验收标准：</w:t>
            </w:r>
          </w:p>
          <w:p>
            <w:pPr>
              <w:pStyle w:val="null3"/>
              <w:jc w:val="both"/>
            </w:pPr>
            <w:r>
              <w:rPr>
                <w:rFonts w:ascii="仿宋_GB2312" w:hAnsi="仿宋_GB2312" w:cs="仿宋_GB2312" w:eastAsia="仿宋_GB2312"/>
                <w:sz w:val="24"/>
                <w:color w:val="000000"/>
              </w:rPr>
              <w:t>是否满足合同规定的相关要求；</w:t>
            </w:r>
          </w:p>
          <w:p>
            <w:pPr>
              <w:pStyle w:val="null3"/>
              <w:jc w:val="both"/>
            </w:pPr>
            <w:r>
              <w:rPr>
                <w:rFonts w:ascii="仿宋_GB2312" w:hAnsi="仿宋_GB2312" w:cs="仿宋_GB2312" w:eastAsia="仿宋_GB2312"/>
                <w:sz w:val="24"/>
                <w:color w:val="000000"/>
              </w:rPr>
              <w:t>是否达到了招标文件采购需求的实质性要求。</w:t>
            </w:r>
          </w:p>
          <w:p>
            <w:pPr>
              <w:pStyle w:val="null3"/>
              <w:jc w:val="left"/>
            </w:pPr>
            <w:r>
              <w:rPr>
                <w:rFonts w:ascii="仿宋_GB2312" w:hAnsi="仿宋_GB2312" w:cs="仿宋_GB2312" w:eastAsia="仿宋_GB2312"/>
                <w:sz w:val="24"/>
                <w:color w:val="000000"/>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4"/>
                <w:b/>
                <w:color w:val="000000"/>
              </w:rPr>
              <w:t>售后服务：</w:t>
            </w:r>
          </w:p>
          <w:p>
            <w:pPr>
              <w:pStyle w:val="null3"/>
              <w:jc w:val="both"/>
            </w:pPr>
            <w:r>
              <w:rPr>
                <w:rFonts w:ascii="仿宋_GB2312" w:hAnsi="仿宋_GB2312" w:cs="仿宋_GB2312" w:eastAsia="仿宋_GB2312"/>
                <w:sz w:val="24"/>
                <w:color w:val="000000"/>
              </w:rPr>
              <w:t>（1）所有产品质保期≥1年（国家有关行业规定或厂家承诺的质保期更优的，按最优的执行），质保期内，中标人需免费实行“三包”服务，在此期间内免费保修所产生的一切费用（产品质量问题引起的）由中标方负责，并免费软件升级（如有）；并提供质保期满后的终生应用支持，保修期满后，中标人继续为用户提供技术咨询和产品维修。</w:t>
            </w:r>
          </w:p>
          <w:p>
            <w:pPr>
              <w:pStyle w:val="null3"/>
              <w:jc w:val="both"/>
            </w:pPr>
            <w:r>
              <w:rPr>
                <w:rFonts w:ascii="仿宋_GB2312" w:hAnsi="仿宋_GB2312" w:cs="仿宋_GB2312" w:eastAsia="仿宋_GB2312"/>
                <w:sz w:val="24"/>
                <w:color w:val="000000"/>
              </w:rPr>
              <w:t>（2）供应商应具有可靠的售后服务保障，提供正常的技术、备品备件服务，其费用应包括在投标价格之内。</w:t>
            </w:r>
          </w:p>
          <w:p>
            <w:pPr>
              <w:pStyle w:val="null3"/>
              <w:jc w:val="both"/>
            </w:pPr>
            <w:r>
              <w:rPr>
                <w:rFonts w:ascii="仿宋_GB2312" w:hAnsi="仿宋_GB2312" w:cs="仿宋_GB2312" w:eastAsia="仿宋_GB2312"/>
                <w:sz w:val="24"/>
                <w:color w:val="000000"/>
              </w:rPr>
              <w:t>（3）质保期内，供应商免费对所供设备进行维修，包括免费提供更换的配件或设备。须在接到故障通知后做出响应，及时到达现场进行维修 。质保期满后，供应商应保证以合理的价格提供备件和保养服务，当发生损坏或故障时，供应商应按质保期内同样的要求进行维修处理，合理收取维修费。</w:t>
            </w:r>
          </w:p>
          <w:p>
            <w:pPr>
              <w:pStyle w:val="null3"/>
              <w:jc w:val="both"/>
            </w:pPr>
            <w:r>
              <w:rPr>
                <w:rFonts w:ascii="仿宋_GB2312" w:hAnsi="仿宋_GB2312" w:cs="仿宋_GB2312" w:eastAsia="仿宋_GB2312"/>
                <w:sz w:val="24"/>
                <w:color w:val="000000"/>
              </w:rPr>
              <w:t>（4）提供售后服务联系电话及联系人。质保期内，接到故障通知后 1 小时内响应，24 小时内派工程技术人员上门维修处理完毕。规定时间内未处理完毕的，供应商提供不低于同等档次货物供用户使用至故障货物正常使用为止。如果需要更换配件的，要求更换的配件跟被更换的品牌、类型相一致或者是同类同档次的替代品，后者需征得用户方管理人</w:t>
            </w:r>
          </w:p>
          <w:p>
            <w:pPr>
              <w:pStyle w:val="null3"/>
              <w:jc w:val="both"/>
            </w:pPr>
            <w:r>
              <w:rPr>
                <w:rFonts w:ascii="仿宋_GB2312" w:hAnsi="仿宋_GB2312" w:cs="仿宋_GB2312" w:eastAsia="仿宋_GB2312"/>
                <w:sz w:val="24"/>
                <w:color w:val="000000"/>
              </w:rPr>
              <w:t>员同意。</w:t>
            </w:r>
          </w:p>
          <w:p>
            <w:pPr>
              <w:pStyle w:val="null3"/>
              <w:jc w:val="both"/>
            </w:pPr>
            <w:r>
              <w:rPr>
                <w:rFonts w:ascii="仿宋_GB2312" w:hAnsi="仿宋_GB2312" w:cs="仿宋_GB2312" w:eastAsia="仿宋_GB2312"/>
                <w:sz w:val="24"/>
                <w:color w:val="000000"/>
              </w:rPr>
              <w:t>（5）对质保期内的故障报修，如供应商未能做到上款的服务承诺，用户可采取必要的补救措施，但其风险和费用由供应商承担，由于供应商的保证服务不到位，质保期的到期时间将顺延。</w:t>
            </w:r>
          </w:p>
          <w:p>
            <w:pPr>
              <w:pStyle w:val="null3"/>
              <w:jc w:val="both"/>
            </w:pPr>
            <w:r>
              <w:rPr>
                <w:rFonts w:ascii="仿宋_GB2312" w:hAnsi="仿宋_GB2312" w:cs="仿宋_GB2312" w:eastAsia="仿宋_GB2312"/>
                <w:sz w:val="24"/>
                <w:color w:val="000000"/>
              </w:rPr>
              <w:t>（6）定期（每季度最少 1 次）到采购单位回访，及时向用户了解设备使用情况，协助用户进行设备日常维护与保养。</w:t>
            </w:r>
          </w:p>
          <w:p>
            <w:pPr>
              <w:pStyle w:val="null3"/>
              <w:jc w:val="both"/>
            </w:pPr>
            <w:r>
              <w:rPr>
                <w:rFonts w:ascii="仿宋_GB2312" w:hAnsi="仿宋_GB2312" w:cs="仿宋_GB2312" w:eastAsia="仿宋_GB2312"/>
                <w:sz w:val="24"/>
                <w:color w:val="000000"/>
              </w:rPr>
              <w:t>（7）中标人应长期提供优良的技术支持，</w:t>
            </w:r>
            <w:r>
              <w:rPr>
                <w:rFonts w:ascii="仿宋_GB2312" w:hAnsi="仿宋_GB2312" w:cs="仿宋_GB2312" w:eastAsia="仿宋_GB2312"/>
                <w:sz w:val="24"/>
                <w:color w:val="E74C3C"/>
              </w:rPr>
              <w:t>在保修期外的维保服务应在</w:t>
            </w:r>
            <w:r>
              <w:rPr>
                <w:rFonts w:ascii="仿宋_GB2312" w:hAnsi="仿宋_GB2312" w:cs="仿宋_GB2312" w:eastAsia="仿宋_GB2312"/>
                <w:sz w:val="24"/>
                <w:b/>
                <w:color w:val="E74C3C"/>
              </w:rPr>
              <w:t>投标文件中提供维修机构详细情况和价格表。</w:t>
            </w:r>
          </w:p>
          <w:p>
            <w:pPr>
              <w:pStyle w:val="null3"/>
              <w:jc w:val="left"/>
            </w:pPr>
            <w:r>
              <w:rPr>
                <w:rFonts w:ascii="仿宋_GB2312" w:hAnsi="仿宋_GB2312" w:cs="仿宋_GB2312" w:eastAsia="仿宋_GB2312"/>
                <w:sz w:val="24"/>
                <w:color w:val="000000"/>
              </w:rPr>
              <w:t>（8）中标人可提供优于本售后服务的其他服务。</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sz w:val="24"/>
                <w:b/>
                <w:color w:val="000000"/>
              </w:rPr>
              <w:t>项目团队人员要求：</w:t>
            </w:r>
            <w:r>
              <w:rPr>
                <w:rFonts w:ascii="仿宋_GB2312" w:hAnsi="仿宋_GB2312" w:cs="仿宋_GB2312" w:eastAsia="仿宋_GB2312"/>
                <w:sz w:val="24"/>
                <w:color w:val="000000"/>
              </w:rPr>
              <w:t>供应商应建立专门的项目团队，根据项目实际需求配备相关技术人员，负责整个项目的相关工作。</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4"/>
                <w:b/>
                <w:color w:val="000000"/>
              </w:rPr>
              <w:t>其他</w:t>
            </w:r>
            <w:r>
              <w:rPr>
                <w:rFonts w:ascii="仿宋_GB2312" w:hAnsi="仿宋_GB2312" w:cs="仿宋_GB2312" w:eastAsia="仿宋_GB2312"/>
                <w:sz w:val="24"/>
                <w:b/>
                <w:color w:val="000000"/>
              </w:rPr>
              <w:t>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）采购产品的塑料包装优先使用符合海南禁塑制品名录要求的材料，优先使用低（无）挥发性有机物（</w:t>
            </w:r>
            <w:r>
              <w:rPr>
                <w:rFonts w:ascii="仿宋_GB2312" w:hAnsi="仿宋_GB2312" w:cs="仿宋_GB2312" w:eastAsia="仿宋_GB2312"/>
                <w:sz w:val="24"/>
                <w:color w:val="000000"/>
              </w:rPr>
              <w:t>VOCs</w:t>
            </w:r>
            <w:r>
              <w:rPr>
                <w:rFonts w:ascii="仿宋_GB2312" w:hAnsi="仿宋_GB2312" w:cs="仿宋_GB2312" w:eastAsia="仿宋_GB2312"/>
                <w:sz w:val="24"/>
                <w:color w:val="000000"/>
              </w:rPr>
              <w:t>）含量油墨印刷标识和全生物降解塑料，对于采购产品的运输优先使用清洁能源汽车。</w:t>
            </w:r>
          </w:p>
          <w:p>
            <w:pPr>
              <w:pStyle w:val="null3"/>
              <w:jc w:val="left"/>
            </w:pPr>
            <w:r>
              <w:rPr>
                <w:rFonts w:ascii="仿宋_GB2312" w:hAnsi="仿宋_GB2312" w:cs="仿宋_GB2312" w:eastAsia="仿宋_GB2312"/>
                <w:sz w:val="24"/>
                <w:color w:val="000000"/>
              </w:rPr>
              <w:t>（2）中标人应根据项目的实际需求，在投标文件中提供各自详细具体的技术方案，包括但不限于对项目的了解和认识、项目实施方案、安装调试方案、培训方案、售后服务方案等。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E74C3C"/>
        </w:rPr>
        <w:t>（本项内容仅用于对本项目合同文本的解释说明，不作为商务要求的组成部分，不参与商务要求的相关评审。）</w:t>
      </w:r>
    </w:p>
    <w:p>
      <w:pPr>
        <w:pStyle w:val="null3"/>
        <w:jc w:val="left"/>
      </w:pPr>
      <w:r>
        <w:rPr>
          <w:rFonts w:ascii="仿宋_GB2312" w:hAnsi="仿宋_GB2312" w:cs="仿宋_GB2312" w:eastAsia="仿宋_GB2312"/>
          <w:sz w:val="28"/>
          <w:b/>
          <w:color w:val="E74C3C"/>
        </w:rPr>
        <w:t>采购文件附件：合同文本</w:t>
      </w:r>
      <w:r>
        <w:rPr>
          <w:rFonts w:ascii="仿宋_GB2312" w:hAnsi="仿宋_GB2312" w:cs="仿宋_GB2312" w:eastAsia="仿宋_GB2312"/>
          <w:sz w:val="28"/>
          <w:b/>
          <w:color w:val="3498DB"/>
        </w:rPr>
        <w:t>（采购文件“第五章政府采购合同”为系统自带内容，本项目的政府采购合同文本以此为准，未经采购人同意中标人不得变更。）</w:t>
      </w:r>
    </w:p>
    <w:p>
      <w:pPr>
        <w:pStyle w:val="null3"/>
        <w:jc w:val="left"/>
      </w:pPr>
      <w:r>
        <w:rPr>
          <w:rFonts w:ascii="仿宋_GB2312" w:hAnsi="仿宋_GB2312" w:cs="仿宋_GB2312" w:eastAsia="仿宋_GB2312"/>
          <w:sz w:val="30"/>
          <w:color w:val="000000"/>
        </w:rPr>
        <w:t>采购项目</w:t>
      </w:r>
    </w:p>
    <w:p>
      <w:pPr>
        <w:pStyle w:val="null3"/>
        <w:jc w:val="both"/>
        <w:outlineLvl w:val="4"/>
      </w:pPr>
      <w:r>
        <w:rPr>
          <w:rFonts w:ascii="仿宋_GB2312" w:hAnsi="仿宋_GB2312" w:cs="仿宋_GB2312" w:eastAsia="仿宋_GB2312"/>
          <w:sz w:val="44"/>
          <w:b/>
          <w:color w:val="000000"/>
        </w:rPr>
        <w:t>合   同   书</w:t>
      </w:r>
    </w:p>
    <w:p>
      <w:pPr>
        <w:pStyle w:val="null3"/>
        <w:jc w:val="center"/>
      </w:pPr>
      <w:r>
        <w:rPr>
          <w:rFonts w:ascii="仿宋_GB2312" w:hAnsi="仿宋_GB2312" w:cs="仿宋_GB2312" w:eastAsia="仿宋_GB2312"/>
          <w:sz w:val="32"/>
          <w:b/>
          <w:color w:val="000000"/>
        </w:rPr>
        <w:t>项目名称：</w:t>
      </w:r>
    </w:p>
    <w:p>
      <w:pPr>
        <w:pStyle w:val="null3"/>
        <w:ind w:right="-345" w:firstLine="1606"/>
        <w:jc w:val="both"/>
      </w:pPr>
      <w:r>
        <w:rPr>
          <w:rFonts w:ascii="仿宋_GB2312" w:hAnsi="仿宋_GB2312" w:cs="仿宋_GB2312" w:eastAsia="仿宋_GB2312"/>
          <w:sz w:val="32"/>
          <w:b/>
          <w:color w:val="000000"/>
        </w:rPr>
        <w:t>项目编号：</w:t>
      </w:r>
    </w:p>
    <w:p>
      <w:pPr>
        <w:pStyle w:val="null3"/>
        <w:ind w:right="-345" w:firstLine="1606"/>
        <w:jc w:val="both"/>
      </w:pPr>
      <w:r>
        <w:rPr>
          <w:rFonts w:ascii="仿宋_GB2312" w:hAnsi="仿宋_GB2312" w:cs="仿宋_GB2312" w:eastAsia="仿宋_GB2312"/>
          <w:sz w:val="32"/>
          <w:b/>
          <w:color w:val="000000"/>
        </w:rPr>
        <w:t>甲    方：</w:t>
      </w:r>
    </w:p>
    <w:p>
      <w:pPr>
        <w:pStyle w:val="null3"/>
        <w:ind w:right="-345" w:firstLine="1606"/>
        <w:jc w:val="both"/>
      </w:pPr>
      <w:r>
        <w:rPr>
          <w:rFonts w:ascii="仿宋_GB2312" w:hAnsi="仿宋_GB2312" w:cs="仿宋_GB2312" w:eastAsia="仿宋_GB2312"/>
          <w:sz w:val="32"/>
          <w:b/>
          <w:color w:val="000000"/>
        </w:rPr>
        <w:t>乙    方：</w:t>
      </w:r>
    </w:p>
    <w:p>
      <w:pPr>
        <w:pStyle w:val="null3"/>
        <w:ind w:right="-345" w:firstLine="1606"/>
        <w:jc w:val="both"/>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rPr>
        <w:t xml:space="preserve"> 月</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rPr>
        <w:t>日</w:t>
      </w:r>
    </w:p>
    <w:p>
      <w:pPr>
        <w:pStyle w:val="null3"/>
        <w:ind w:firstLine="1285"/>
        <w:jc w:val="both"/>
      </w:pPr>
      <w:r>
        <w:rPr>
          <w:rFonts w:ascii="仿宋_GB2312" w:hAnsi="仿宋_GB2312" w:cs="仿宋_GB2312" w:eastAsia="仿宋_GB2312"/>
          <w:sz w:val="32"/>
          <w:b/>
          <w:color w:val="000000"/>
        </w:rPr>
        <w:t>合同专用条款</w:t>
      </w:r>
    </w:p>
    <w:p>
      <w:pPr>
        <w:pStyle w:val="null3"/>
        <w:jc w:val="center"/>
      </w:pP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 xml:space="preserve">以 </w:t>
      </w:r>
      <w:r>
        <w:rPr>
          <w:rFonts w:ascii="仿宋_GB2312" w:hAnsi="仿宋_GB2312" w:cs="仿宋_GB2312" w:eastAsia="仿宋_GB2312"/>
          <w:sz w:val="24"/>
          <w:color w:val="000000"/>
          <w:u w:val="single"/>
        </w:rPr>
        <w:t xml:space="preserve">  （）  </w:t>
      </w:r>
      <w:r>
        <w:rPr>
          <w:rFonts w:ascii="仿宋_GB2312" w:hAnsi="仿宋_GB2312" w:cs="仿宋_GB2312" w:eastAsia="仿宋_GB2312"/>
          <w:sz w:val="24"/>
          <w:color w:val="000000"/>
        </w:rPr>
        <w:t xml:space="preserve">对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 xml:space="preserve">   项目（项目编号：）进行了采购，</w:t>
      </w:r>
      <w:r>
        <w:rPr>
          <w:rFonts w:ascii="仿宋_GB2312" w:hAnsi="仿宋_GB2312" w:cs="仿宋_GB2312" w:eastAsia="仿宋_GB2312"/>
          <w:sz w:val="24"/>
          <w:color w:val="000000"/>
          <w:u w:val="single"/>
        </w:rPr>
        <w:t xml:space="preserve">   （ ）</w:t>
      </w:r>
      <w:r>
        <w:rPr>
          <w:rFonts w:ascii="仿宋_GB2312" w:hAnsi="仿宋_GB2312" w:cs="仿宋_GB2312" w:eastAsia="仿宋_GB2312"/>
          <w:sz w:val="24"/>
          <w:color w:val="000000"/>
        </w:rPr>
        <w:t>为该项目中标供应商。</w:t>
      </w:r>
    </w:p>
    <w:p>
      <w:pPr>
        <w:pStyle w:val="null3"/>
        <w:ind w:firstLine="480"/>
        <w:jc w:val="both"/>
      </w:pP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(以下简称：甲方)</w:t>
      </w:r>
      <w:r>
        <w:rPr>
          <w:rFonts w:ascii="仿宋_GB2312" w:hAnsi="仿宋_GB2312" w:cs="仿宋_GB2312" w:eastAsia="仿宋_GB2312"/>
          <w:sz w:val="24"/>
          <w:color w:val="000000"/>
        </w:rPr>
        <w:t xml:space="preserve">和 </w:t>
      </w:r>
      <w:r>
        <w:rPr>
          <w:rFonts w:ascii="仿宋_GB2312" w:hAnsi="仿宋_GB2312" w:cs="仿宋_GB2312" w:eastAsia="仿宋_GB2312"/>
          <w:sz w:val="24"/>
          <w:color w:val="000000"/>
          <w:u w:val="single"/>
        </w:rPr>
        <w:t xml:space="preserve"> （ ）   </w:t>
      </w:r>
      <w:r>
        <w:rPr>
          <w:rFonts w:ascii="仿宋_GB2312" w:hAnsi="仿宋_GB2312" w:cs="仿宋_GB2312" w:eastAsia="仿宋_GB2312"/>
          <w:sz w:val="24"/>
          <w:color w:val="000000"/>
        </w:rPr>
        <w:t>(以下简称：乙方)</w:t>
      </w:r>
      <w:r>
        <w:rPr>
          <w:rFonts w:ascii="仿宋_GB2312" w:hAnsi="仿宋_GB2312" w:cs="仿宋_GB2312" w:eastAsia="仿宋_GB2312"/>
          <w:sz w:val="24"/>
          <w:color w:val="000000"/>
        </w:rPr>
        <w:t>根据《中华人民共和国民法典》、</w:t>
      </w:r>
      <w:r>
        <w:rPr>
          <w:rFonts w:ascii="仿宋_GB2312" w:hAnsi="仿宋_GB2312" w:cs="仿宋_GB2312" w:eastAsia="仿宋_GB2312"/>
          <w:sz w:val="24"/>
          <w:color w:val="000000"/>
        </w:rPr>
        <w:t>《中华人民共和国政府采购法》等相</w:t>
      </w:r>
      <w:r>
        <w:rPr>
          <w:rFonts w:ascii="仿宋_GB2312" w:hAnsi="仿宋_GB2312" w:cs="仿宋_GB2312" w:eastAsia="仿宋_GB2312"/>
          <w:sz w:val="24"/>
          <w:color w:val="000000"/>
        </w:rPr>
        <w:t>关法律法规，遵循平等、自愿、公平和诚实信用原则，同意按照下面的条款和条件订立本政府采购合同，共同信守。</w:t>
      </w:r>
    </w:p>
    <w:p>
      <w:pPr>
        <w:pStyle w:val="null3"/>
        <w:ind w:firstLine="482"/>
        <w:jc w:val="left"/>
      </w:pPr>
      <w:r>
        <w:rPr>
          <w:rFonts w:ascii="仿宋_GB2312" w:hAnsi="仿宋_GB2312" w:cs="仿宋_GB2312" w:eastAsia="仿宋_GB2312"/>
          <w:sz w:val="24"/>
          <w:b/>
          <w:color w:val="000000"/>
        </w:rPr>
        <w:t>一、政府采购合同文件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本政府采购合同所附下列文件是构成本政府采购合同不可分割的部分：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招标文件（含澄清或者修改文件）；</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招标文件的更正公告、变更公告；</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乙方提交的投标文件（含澄清或者说明文件）；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政府采购合同条款；</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中标通知书；</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政府采购合同的其它附件。</w:t>
      </w:r>
    </w:p>
    <w:p>
      <w:pPr>
        <w:pStyle w:val="null3"/>
        <w:ind w:firstLine="482"/>
        <w:jc w:val="left"/>
      </w:pPr>
      <w:r>
        <w:rPr>
          <w:rFonts w:ascii="仿宋_GB2312" w:hAnsi="仿宋_GB2312" w:cs="仿宋_GB2312" w:eastAsia="仿宋_GB2312"/>
          <w:sz w:val="24"/>
          <w:b/>
          <w:color w:val="000000"/>
        </w:rPr>
        <w:t>二、政府采购合同范围和条件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本政府采购合同的范围和条件与上述政府采购合同文件的规定相一致。</w:t>
      </w:r>
    </w:p>
    <w:p>
      <w:pPr>
        <w:pStyle w:val="null3"/>
        <w:ind w:firstLine="482"/>
        <w:jc w:val="left"/>
      </w:pPr>
      <w:r>
        <w:rPr>
          <w:rFonts w:ascii="仿宋_GB2312" w:hAnsi="仿宋_GB2312" w:cs="仿宋_GB2312" w:eastAsia="仿宋_GB2312"/>
          <w:sz w:val="24"/>
          <w:b/>
          <w:color w:val="000000"/>
        </w:rPr>
        <w:t>三、政府采购合同标的</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本政府采购合同的标的为政府采购合同货物清单(同投标文件中的开标一览表/分项报价明细表)中所列货物及相关服务。</w:t>
      </w:r>
    </w:p>
    <w:tbl>
      <w:tblPr>
        <w:tblW w:w="0" w:type="auto"/>
        <w:tblBorders>
          <w:top w:val="single"/>
          <w:left w:val="single"/>
          <w:bottom w:val="single"/>
          <w:right w:val="single"/>
          <w:insideH w:val="single"/>
          <w:insideV w:val="single"/>
        </w:tblBorders>
      </w:tblPr>
      <w:tblGrid>
        <w:gridCol w:w="666"/>
        <w:gridCol w:w="1358"/>
        <w:gridCol w:w="1797"/>
        <w:gridCol w:w="825"/>
        <w:gridCol w:w="1065"/>
        <w:gridCol w:w="1478"/>
        <w:gridCol w:w="1118"/>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货物名称</w:t>
            </w:r>
          </w:p>
        </w:tc>
        <w:tc>
          <w:tcPr>
            <w:tcW w:type="dxa" w:w="17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品牌、规格型号</w:t>
            </w:r>
          </w:p>
          <w:p>
            <w:pPr>
              <w:pStyle w:val="null3"/>
              <w:jc w:val="center"/>
            </w:pPr>
            <w:r>
              <w:rPr>
                <w:rFonts w:ascii="仿宋_GB2312" w:hAnsi="仿宋_GB2312" w:cs="仿宋_GB2312" w:eastAsia="仿宋_GB2312"/>
                <w:sz w:val="24"/>
                <w:b/>
                <w:color w:val="000000"/>
              </w:rPr>
              <w:t>（或服务要求）</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数量/单位</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单价</w:t>
            </w:r>
          </w:p>
          <w:p>
            <w:pPr>
              <w:pStyle w:val="null3"/>
              <w:jc w:val="center"/>
            </w:pPr>
            <w:r>
              <w:rPr>
                <w:rFonts w:ascii="仿宋_GB2312" w:hAnsi="仿宋_GB2312" w:cs="仿宋_GB2312" w:eastAsia="仿宋_GB2312"/>
                <w:sz w:val="24"/>
                <w:b/>
                <w:color w:val="000000"/>
              </w:rPr>
              <w:t>（元）</w:t>
            </w:r>
          </w:p>
        </w:tc>
        <w:tc>
          <w:tcPr>
            <w:tcW w:type="dxa" w:w="14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单项总价</w:t>
            </w:r>
          </w:p>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元)</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备注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17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0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4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17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0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4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13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17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0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4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3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w:t>
            </w:r>
          </w:p>
        </w:tc>
        <w:tc>
          <w:tcPr>
            <w:tcW w:type="dxa" w:w="17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0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4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71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总       价</w:t>
            </w:r>
          </w:p>
        </w:tc>
        <w:tc>
          <w:tcPr>
            <w:tcW w:type="dxa" w:w="147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bl>
    <w:p>
      <w:pPr>
        <w:pStyle w:val="null3"/>
        <w:ind w:firstLine="422"/>
        <w:jc w:val="left"/>
      </w:pPr>
      <w:r>
        <w:rPr>
          <w:rFonts w:ascii="仿宋_GB2312" w:hAnsi="仿宋_GB2312" w:cs="仿宋_GB2312" w:eastAsia="仿宋_GB2312"/>
          <w:sz w:val="21"/>
          <w:b/>
          <w:color w:val="000000"/>
        </w:rPr>
        <w:t>注：此表须备注核心产品。</w:t>
      </w:r>
    </w:p>
    <w:p>
      <w:pPr>
        <w:pStyle w:val="null3"/>
        <w:ind w:firstLine="482"/>
        <w:jc w:val="left"/>
      </w:pPr>
      <w:r>
        <w:rPr>
          <w:rFonts w:ascii="仿宋_GB2312" w:hAnsi="仿宋_GB2312" w:cs="仿宋_GB2312" w:eastAsia="仿宋_GB2312"/>
          <w:sz w:val="24"/>
          <w:b/>
          <w:color w:val="000000"/>
        </w:rPr>
        <w:t>四、政府采购合同金额</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根据上述政府采购合同文件要求，政府采购合同的总金额为人民币</w:t>
      </w:r>
      <w:r>
        <w:rPr>
          <w:rFonts w:ascii="仿宋_GB2312" w:hAnsi="仿宋_GB2312" w:cs="仿宋_GB2312" w:eastAsia="仿宋_GB2312"/>
          <w:sz w:val="24"/>
          <w:color w:val="000000"/>
          <w:u w:val="single"/>
        </w:rPr>
        <w:t>(      )</w:t>
      </w:r>
      <w:r>
        <w:rPr>
          <w:rFonts w:ascii="仿宋_GB2312" w:hAnsi="仿宋_GB2312" w:cs="仿宋_GB2312" w:eastAsia="仿宋_GB2312"/>
          <w:sz w:val="24"/>
          <w:color w:val="000000"/>
        </w:rPr>
        <w:t>，小写：¥</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元。 （此合同价指验收合格并将货物送到交货地点的全部货款）</w:t>
      </w:r>
    </w:p>
    <w:p>
      <w:pPr>
        <w:pStyle w:val="null3"/>
        <w:ind w:firstLine="482"/>
        <w:jc w:val="left"/>
      </w:pPr>
      <w:r>
        <w:rPr>
          <w:rFonts w:ascii="仿宋_GB2312" w:hAnsi="仿宋_GB2312" w:cs="仿宋_GB2312" w:eastAsia="仿宋_GB2312"/>
          <w:sz w:val="24"/>
          <w:b/>
          <w:color w:val="000000"/>
        </w:rPr>
        <w:t>五、付款方式</w:t>
      </w:r>
      <w:r>
        <w:rPr>
          <w:rFonts w:ascii="仿宋_GB2312" w:hAnsi="仿宋_GB2312" w:cs="仿宋_GB2312" w:eastAsia="仿宋_GB2312"/>
          <w:sz w:val="24"/>
          <w:b/>
          <w:color w:val="000000"/>
        </w:rPr>
        <w:t>：转账支付</w:t>
      </w:r>
    </w:p>
    <w:p>
      <w:pPr>
        <w:pStyle w:val="null3"/>
        <w:ind w:firstLine="480"/>
        <w:jc w:val="left"/>
      </w:pPr>
      <w:r>
        <w:rPr>
          <w:rFonts w:ascii="仿宋_GB2312" w:hAnsi="仿宋_GB2312" w:cs="仿宋_GB2312" w:eastAsia="仿宋_GB2312"/>
          <w:sz w:val="24"/>
          <w:color w:val="000000"/>
        </w:rPr>
        <w:t>（1）履约保证金</w:t>
      </w:r>
    </w:p>
    <w:p>
      <w:pPr>
        <w:pStyle w:val="null3"/>
        <w:ind w:firstLine="480"/>
        <w:jc w:val="left"/>
      </w:pPr>
      <w:r>
        <w:rPr>
          <w:rFonts w:ascii="仿宋_GB2312" w:hAnsi="仿宋_GB2312" w:cs="仿宋_GB2312" w:eastAsia="仿宋_GB2312"/>
          <w:sz w:val="24"/>
          <w:color w:val="000000"/>
        </w:rPr>
        <w:t>合同乙方应在合同签订后10个工作日内向合同甲方提交合同总价款5%的履约保证金（乙方应当以支票、汇票、本票或者金融机构、担保机构出具的保函等非现金形式提交，且履约保证金的有效期应在乙方投标承诺的质保期限结束后第30天内一直保持有效，质保期满经甲方确认在此期间产品质量良好且使用正常后 15 个工作日内甲方将履约保证金退还乙方。</w:t>
      </w:r>
    </w:p>
    <w:p>
      <w:pPr>
        <w:pStyle w:val="null3"/>
        <w:ind w:firstLine="480"/>
        <w:jc w:val="left"/>
      </w:pPr>
      <w:r>
        <w:rPr>
          <w:rFonts w:ascii="仿宋_GB2312" w:hAnsi="仿宋_GB2312" w:cs="仿宋_GB2312" w:eastAsia="仿宋_GB2312"/>
          <w:sz w:val="24"/>
          <w:color w:val="000000"/>
        </w:rPr>
        <w:t>注：乙方未按上述要求提交履约保证金的，甲方有权单方面取消采购合同 。</w:t>
      </w:r>
    </w:p>
    <w:p>
      <w:pPr>
        <w:pStyle w:val="null3"/>
        <w:ind w:firstLine="480"/>
        <w:jc w:val="left"/>
      </w:pPr>
      <w:r>
        <w:rPr>
          <w:rFonts w:ascii="仿宋_GB2312" w:hAnsi="仿宋_GB2312" w:cs="仿宋_GB2312" w:eastAsia="仿宋_GB2312"/>
          <w:sz w:val="24"/>
          <w:color w:val="000000"/>
        </w:rPr>
        <w:t>（2） 采购资金的支付方式、时间、条件</w:t>
      </w:r>
    </w:p>
    <w:p>
      <w:pPr>
        <w:pStyle w:val="null3"/>
        <w:ind w:firstLine="480"/>
        <w:jc w:val="left"/>
      </w:pPr>
      <w:r>
        <w:rPr>
          <w:rFonts w:ascii="仿宋_GB2312" w:hAnsi="仿宋_GB2312" w:cs="仿宋_GB2312" w:eastAsia="仿宋_GB2312"/>
          <w:sz w:val="24"/>
          <w:color w:val="000000"/>
        </w:rPr>
        <w:t>第一期：合同签订后，乙方向甲方提供发票，甲方在法定时间内支付合同总价款的30%，即人民币xx元；</w:t>
      </w:r>
    </w:p>
    <w:p>
      <w:pPr>
        <w:pStyle w:val="null3"/>
        <w:ind w:firstLine="480"/>
        <w:jc w:val="left"/>
      </w:pPr>
      <w:r>
        <w:rPr>
          <w:rFonts w:ascii="仿宋_GB2312" w:hAnsi="仿宋_GB2312" w:cs="仿宋_GB2312" w:eastAsia="仿宋_GB2312"/>
          <w:sz w:val="24"/>
          <w:color w:val="000000"/>
        </w:rPr>
        <w:t>第二期：甲方收到全部货物后，乙方向甲方提供发票，甲方在法定时间内支付合同总价款的40%，即人民币xx元；</w:t>
      </w:r>
    </w:p>
    <w:p>
      <w:pPr>
        <w:pStyle w:val="null3"/>
        <w:ind w:firstLine="480"/>
        <w:jc w:val="left"/>
      </w:pPr>
      <w:r>
        <w:rPr>
          <w:rFonts w:ascii="仿宋_GB2312" w:hAnsi="仿宋_GB2312" w:cs="仿宋_GB2312" w:eastAsia="仿宋_GB2312"/>
          <w:sz w:val="24"/>
          <w:color w:val="000000"/>
        </w:rPr>
        <w:t>第三期：安装、调试经双方验收合格后，乙方向甲方提供发票，甲方在法定时间内支付合同总价款的30%，即人民币xx元；</w:t>
      </w:r>
    </w:p>
    <w:p>
      <w:pPr>
        <w:pStyle w:val="null3"/>
        <w:ind w:firstLine="480"/>
        <w:jc w:val="left"/>
      </w:pPr>
      <w:r>
        <w:rPr>
          <w:rFonts w:ascii="仿宋_GB2312" w:hAnsi="仿宋_GB2312" w:cs="仿宋_GB2312" w:eastAsia="仿宋_GB2312"/>
          <w:sz w:val="24"/>
          <w:color w:val="000000"/>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p>
      <w:pPr>
        <w:pStyle w:val="null3"/>
        <w:ind w:firstLine="482"/>
        <w:jc w:val="left"/>
      </w:pPr>
      <w:r>
        <w:rPr>
          <w:rFonts w:ascii="仿宋_GB2312" w:hAnsi="仿宋_GB2312" w:cs="仿宋_GB2312" w:eastAsia="仿宋_GB2312"/>
          <w:sz w:val="24"/>
          <w:b/>
          <w:color w:val="000000"/>
        </w:rPr>
        <w:t>六、交付时间、交付地点和方式</w:t>
      </w:r>
    </w:p>
    <w:p>
      <w:pPr>
        <w:pStyle w:val="null3"/>
        <w:ind w:firstLine="480"/>
        <w:jc w:val="left"/>
      </w:pPr>
      <w:r>
        <w:rPr>
          <w:rFonts w:ascii="仿宋_GB2312" w:hAnsi="仿宋_GB2312" w:cs="仿宋_GB2312" w:eastAsia="仿宋_GB2312"/>
          <w:sz w:val="24"/>
          <w:color w:val="000000"/>
        </w:rPr>
        <w:t>交付时间：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交付地点：</w:t>
      </w:r>
      <w:r>
        <w:rPr>
          <w:rFonts w:ascii="仿宋_GB2312" w:hAnsi="仿宋_GB2312" w:cs="仿宋_GB2312" w:eastAsia="仿宋_GB2312"/>
          <w:sz w:val="24"/>
          <w:color w:val="000000"/>
          <w:u w:val="single"/>
        </w:rPr>
        <w:t>采购人指定地点（海南省内）</w:t>
      </w:r>
    </w:p>
    <w:p>
      <w:pPr>
        <w:pStyle w:val="null3"/>
        <w:ind w:firstLine="480"/>
        <w:jc w:val="left"/>
      </w:pPr>
      <w:r>
        <w:rPr>
          <w:rFonts w:ascii="仿宋_GB2312" w:hAnsi="仿宋_GB2312" w:cs="仿宋_GB2312" w:eastAsia="仿宋_GB2312"/>
          <w:sz w:val="24"/>
          <w:color w:val="000000"/>
        </w:rPr>
        <w:t>交付方式</w:t>
      </w:r>
      <w:r>
        <w:rPr>
          <w:rFonts w:ascii="仿宋_GB2312" w:hAnsi="仿宋_GB2312" w:cs="仿宋_GB2312" w:eastAsia="仿宋_GB2312"/>
          <w:sz w:val="24"/>
          <w:color w:val="000000"/>
        </w:rPr>
        <w:t>：按上述交货地点现场交货。乙方负责办理运输，将货物运抵现场。有关运输的一切费用由乙方承担。所有货物运抵现扬的日期为交货日期。</w:t>
      </w:r>
    </w:p>
    <w:p>
      <w:pPr>
        <w:pStyle w:val="null3"/>
        <w:ind w:firstLine="482"/>
        <w:jc w:val="left"/>
      </w:pPr>
      <w:r>
        <w:rPr>
          <w:rFonts w:ascii="仿宋_GB2312" w:hAnsi="仿宋_GB2312" w:cs="仿宋_GB2312" w:eastAsia="仿宋_GB2312"/>
          <w:sz w:val="24"/>
          <w:b/>
          <w:color w:val="000000"/>
        </w:rPr>
        <w:t>七、售后服务（以中标人的投标文件响应为准）</w:t>
      </w:r>
    </w:p>
    <w:p>
      <w:pPr>
        <w:pStyle w:val="null3"/>
        <w:ind w:firstLine="480"/>
        <w:jc w:val="left"/>
      </w:pPr>
      <w:r>
        <w:rPr>
          <w:rFonts w:ascii="仿宋_GB2312" w:hAnsi="仿宋_GB2312" w:cs="仿宋_GB2312" w:eastAsia="仿宋_GB2312"/>
          <w:sz w:val="24"/>
          <w:color w:val="000000"/>
        </w:rPr>
        <w:t>（一）保修期从设备验收合格之日起算，保修期（如下表）。由乙方负责联系设备生产厂家安排专职工程技术人员对设备负责免费维护维修。</w:t>
      </w:r>
    </w:p>
    <w:tbl>
      <w:tblPr>
        <w:tblW w:w="0" w:type="auto"/>
        <w:tblBorders>
          <w:top w:val="none" w:color="000000" w:sz="4"/>
          <w:left w:val="none" w:color="000000" w:sz="4"/>
          <w:bottom w:val="none" w:color="000000" w:sz="4"/>
          <w:right w:val="none" w:color="000000" w:sz="4"/>
          <w:insideH w:val="none"/>
          <w:insideV w:val="none"/>
        </w:tblBorders>
      </w:tblPr>
      <w:tblGrid>
        <w:gridCol w:w="419"/>
        <w:gridCol w:w="4363"/>
        <w:gridCol w:w="1762"/>
        <w:gridCol w:w="1762"/>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4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货物名称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品牌规格型号</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保修期（月）</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rFonts w:ascii="仿宋_GB2312" w:hAnsi="仿宋_GB2312" w:cs="仿宋_GB2312" w:eastAsia="仿宋_GB2312"/>
          <w:sz w:val="24"/>
          <w:color w:val="000000"/>
        </w:rPr>
        <w:t>（二）在保修期内，及时提供软件免费升级。乙方无偿指导和培训甲方的维修及使用人员，主要内容为设备的基本结构、性能、主要部件的构造及修理，日常使用保养与管理，常见故障的排除、紧急情况的处理等，培训地点主要在设备安装现场或由甲方安排。</w:t>
      </w:r>
    </w:p>
    <w:p>
      <w:pPr>
        <w:pStyle w:val="null3"/>
        <w:ind w:firstLine="480"/>
        <w:jc w:val="left"/>
      </w:pPr>
      <w:r>
        <w:rPr>
          <w:rFonts w:ascii="仿宋_GB2312" w:hAnsi="仿宋_GB2312" w:cs="仿宋_GB2312" w:eastAsia="仿宋_GB2312"/>
          <w:sz w:val="24"/>
          <w:color w:val="000000"/>
        </w:rPr>
        <w:t>（三）在保修期内，乙方技术人员应至少每 3 个月上门对设备进行维护保养；接到甲方设备故障报修后乙方技术人员应在 24-48 小时内到现场检修排除故障（不可抗拒力量除外）。</w:t>
      </w:r>
    </w:p>
    <w:p>
      <w:pPr>
        <w:pStyle w:val="null3"/>
        <w:ind w:firstLine="480"/>
        <w:jc w:val="left"/>
      </w:pPr>
      <w:r>
        <w:rPr>
          <w:rFonts w:ascii="仿宋_GB2312" w:hAnsi="仿宋_GB2312" w:cs="仿宋_GB2312" w:eastAsia="仿宋_GB2312"/>
          <w:sz w:val="24"/>
          <w:color w:val="000000"/>
        </w:rPr>
        <w:t>（四）在送货、安装、调试、培训、维修运维操作中，乙方操作人员严格遵守操作规程，并对自身人身财产安全负责。</w:t>
      </w:r>
    </w:p>
    <w:p>
      <w:pPr>
        <w:pStyle w:val="null3"/>
        <w:ind w:firstLine="480"/>
        <w:jc w:val="left"/>
      </w:pPr>
      <w:r>
        <w:rPr>
          <w:rFonts w:ascii="仿宋_GB2312" w:hAnsi="仿宋_GB2312" w:cs="仿宋_GB2312" w:eastAsia="仿宋_GB2312"/>
          <w:sz w:val="24"/>
          <w:color w:val="000000"/>
        </w:rPr>
        <w:t>（五）乙方做好每次维修运维保养内容或项目记录，并由甲方使用科室、乙方技术人员共三方签字，交由甲方备案。</w:t>
      </w:r>
    </w:p>
    <w:p>
      <w:pPr>
        <w:pStyle w:val="null3"/>
        <w:ind w:firstLine="482"/>
        <w:jc w:val="left"/>
      </w:pPr>
      <w:r>
        <w:rPr>
          <w:rFonts w:ascii="仿宋_GB2312" w:hAnsi="仿宋_GB2312" w:cs="仿宋_GB2312" w:eastAsia="仿宋_GB2312"/>
          <w:sz w:val="24"/>
          <w:b/>
          <w:color w:val="000000"/>
        </w:rPr>
        <w:t>八、质量保证</w:t>
      </w:r>
    </w:p>
    <w:p>
      <w:pPr>
        <w:pStyle w:val="null3"/>
        <w:ind w:firstLine="480"/>
        <w:jc w:val="left"/>
      </w:pPr>
      <w:r>
        <w:rPr>
          <w:rFonts w:ascii="仿宋_GB2312" w:hAnsi="仿宋_GB2312" w:cs="仿宋_GB2312" w:eastAsia="仿宋_GB2312"/>
          <w:sz w:val="24"/>
          <w:color w:val="000000"/>
        </w:rPr>
        <w:t>乙方保证提供的设备必须为正规渠道销售的设备，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pPr>
        <w:pStyle w:val="null3"/>
        <w:ind w:firstLine="482"/>
        <w:jc w:val="left"/>
      </w:pPr>
      <w:r>
        <w:rPr>
          <w:rFonts w:ascii="仿宋_GB2312" w:hAnsi="仿宋_GB2312" w:cs="仿宋_GB2312" w:eastAsia="仿宋_GB2312"/>
          <w:sz w:val="24"/>
          <w:b/>
          <w:color w:val="000000"/>
        </w:rPr>
        <w:t>九、验收要求</w:t>
      </w:r>
    </w:p>
    <w:p>
      <w:pPr>
        <w:pStyle w:val="null3"/>
        <w:numPr>
          <w:ilvl w:val="0"/>
          <w:numId w:val="1"/>
        </w:numPr>
        <w:jc w:val="left"/>
      </w:pPr>
      <w:r>
        <w:rPr>
          <w:rFonts w:ascii="仿宋_GB2312" w:hAnsi="仿宋_GB2312" w:cs="仿宋_GB2312" w:eastAsia="仿宋_GB2312"/>
          <w:sz w:val="24"/>
          <w:color w:val="000000"/>
        </w:rPr>
        <w:t>采购人应在中标人交货之日起7 个工作日内组织验收工作。验收时，中标人代表必须在场。采购人将对货物的质量、规格和数量进行检验，并出具验收意见。验收标准除中标人投标文件所响应的质量、规格和数量外，可溯源到国家、行业相关标准。验收后，中标人可在 7 个工作日内提出书面验收异议，否则，视为同意验收意见。</w:t>
      </w:r>
    </w:p>
    <w:p>
      <w:pPr>
        <w:pStyle w:val="null3"/>
        <w:numPr>
          <w:ilvl w:val="0"/>
          <w:numId w:val="1"/>
        </w:numPr>
        <w:jc w:val="left"/>
      </w:pPr>
      <w:r>
        <w:rPr>
          <w:rFonts w:ascii="仿宋_GB2312" w:hAnsi="仿宋_GB2312" w:cs="仿宋_GB2312" w:eastAsia="仿宋_GB2312"/>
          <w:sz w:val="24"/>
          <w:color w:val="000000"/>
        </w:rPr>
        <w:t>采购人有权邀请第三方机构参与验收。</w:t>
      </w:r>
    </w:p>
    <w:p>
      <w:pPr>
        <w:pStyle w:val="null3"/>
        <w:numPr>
          <w:ilvl w:val="0"/>
          <w:numId w:val="1"/>
        </w:numPr>
        <w:jc w:val="left"/>
      </w:pPr>
      <w:r>
        <w:rPr>
          <w:rFonts w:ascii="仿宋_GB2312" w:hAnsi="仿宋_GB2312" w:cs="仿宋_GB2312" w:eastAsia="仿宋_GB2312"/>
          <w:sz w:val="24"/>
          <w:color w:val="000000"/>
        </w:rPr>
        <w:t>如设备的规格或质量、规格或性能与合同不符，或设备存在缺陷，中标人应接到采购人书面通知后7日内按合同确定的质量、规格或性能予以更换，由此产生的一切费用及给采购人造成的一切损失由中标人承担。同时相应延长质量保证期。</w:t>
      </w:r>
    </w:p>
    <w:p>
      <w:pPr>
        <w:pStyle w:val="null3"/>
        <w:numPr>
          <w:ilvl w:val="0"/>
          <w:numId w:val="1"/>
        </w:numPr>
        <w:jc w:val="left"/>
      </w:pPr>
      <w:r>
        <w:rPr>
          <w:rFonts w:ascii="仿宋_GB2312" w:hAnsi="仿宋_GB2312" w:cs="仿宋_GB2312" w:eastAsia="仿宋_GB2312"/>
          <w:sz w:val="24"/>
          <w:color w:val="000000"/>
        </w:rPr>
        <w:t>如因质量、规格或性能问题，中标人未按本合同第3条的约定处理，采购人有权要求中标人退货，中标人必须按合同约定的货款并加算银行同期贷款利息，退款给采购人；并承担由退货给采购人造成的损失。</w:t>
      </w:r>
    </w:p>
    <w:p>
      <w:pPr>
        <w:pStyle w:val="null3"/>
        <w:numPr>
          <w:ilvl w:val="0"/>
          <w:numId w:val="1"/>
        </w:numPr>
        <w:jc w:val="left"/>
      </w:pPr>
      <w:r>
        <w:rPr>
          <w:rFonts w:ascii="仿宋_GB2312" w:hAnsi="仿宋_GB2312" w:cs="仿宋_GB2312" w:eastAsia="仿宋_GB2312"/>
          <w:sz w:val="24"/>
          <w:color w:val="000000"/>
        </w:rPr>
        <w:t>如因设备的质量问题发生纠纷，应由中标人指定机构进行质量鉴定。如鉴定结果证明中标人所供货物存在质量问题，费用由中标人承担。</w:t>
      </w:r>
    </w:p>
    <w:p>
      <w:pPr>
        <w:pStyle w:val="null3"/>
        <w:ind w:left="420"/>
        <w:jc w:val="left"/>
      </w:pPr>
      <w:r>
        <w:rPr>
          <w:rFonts w:ascii="仿宋_GB2312" w:hAnsi="仿宋_GB2312" w:cs="仿宋_GB2312" w:eastAsia="仿宋_GB2312"/>
          <w:sz w:val="24"/>
          <w:b/>
          <w:color w:val="000000"/>
        </w:rPr>
        <w:t>十、包装材料及运输环节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包装材料的具体要求：采购产品的塑料包装材料应符合海南禁塑制品名录要求，优先使用低（无）挥发性有机物（VOCs）含量油墨印刷标识和全生物降解塑料。</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运输环节的具体要求：采购产品的运输优先使用清洁能源汽车。</w:t>
      </w:r>
    </w:p>
    <w:p>
      <w:pPr>
        <w:pStyle w:val="null3"/>
        <w:ind w:firstLine="482"/>
        <w:jc w:val="left"/>
      </w:pPr>
      <w:r>
        <w:rPr>
          <w:rFonts w:ascii="仿宋_GB2312" w:hAnsi="仿宋_GB2312" w:cs="仿宋_GB2312" w:eastAsia="仿宋_GB2312"/>
          <w:sz w:val="24"/>
          <w:b/>
          <w:color w:val="000000"/>
        </w:rPr>
        <w:t>十一、违约责任</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如甲方验收不符合产品目录或达不到国家标准，经更换后仍不达标的，乙方无条件退货退款并向甲方支付货款</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%的违约金。</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如乙方不能按期交货，每日向甲方偿付不能交货的货款</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的违约金。</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如乙方交付货物使用的塑料包装材料不符合海南禁塑制品名录要求或者运输车辆达不到国家标准，乙方无条件退货退款并偿付货款</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%的违约金。</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一方违反本协议中的约定的，应当赔偿给守约方造成的全部损失，包括但不限于对方的直接经济损失，以及为此支出的诉讼费(或仲裁费)、保全费、保全保险费、评估费、拍卖费、执行费、律师代理费、调查取证费等费用。</w:t>
      </w:r>
    </w:p>
    <w:p>
      <w:pPr>
        <w:pStyle w:val="null3"/>
        <w:ind w:firstLine="472"/>
        <w:jc w:val="both"/>
      </w:pPr>
      <w:r>
        <w:rPr>
          <w:rFonts w:ascii="仿宋_GB2312" w:hAnsi="仿宋_GB2312" w:cs="仿宋_GB2312" w:eastAsia="仿宋_GB2312"/>
          <w:sz w:val="24"/>
          <w:b/>
          <w:color w:val="000000"/>
        </w:rPr>
        <w:t>十二、合同纠纷处理</w:t>
      </w:r>
    </w:p>
    <w:p>
      <w:pPr>
        <w:pStyle w:val="null3"/>
        <w:ind w:firstLine="470"/>
        <w:jc w:val="both"/>
      </w:pPr>
      <w:r>
        <w:rPr>
          <w:rFonts w:ascii="仿宋_GB2312" w:hAnsi="仿宋_GB2312" w:cs="仿宋_GB2312" w:eastAsia="仿宋_GB2312"/>
          <w:sz w:val="24"/>
          <w:color w:val="000000"/>
        </w:rPr>
        <w:t>本合同履行过程中发生的任何争议，甲乙双方当事人均可通过和解或者调解解决；不愿和解、调解或者和解、调解不成的，可以选择下列第</w:t>
      </w:r>
      <w:r>
        <w:rPr>
          <w:rFonts w:ascii="仿宋_GB2312" w:hAnsi="仿宋_GB2312" w:cs="仿宋_GB2312" w:eastAsia="仿宋_GB2312"/>
          <w:sz w:val="24"/>
          <w:color w:val="000000"/>
          <w:u w:val="single"/>
        </w:rPr>
        <w:t xml:space="preserve">  （1）  </w:t>
      </w:r>
      <w:r>
        <w:rPr>
          <w:rFonts w:ascii="仿宋_GB2312" w:hAnsi="仿宋_GB2312" w:cs="仿宋_GB2312" w:eastAsia="仿宋_GB2312"/>
          <w:sz w:val="24"/>
          <w:color w:val="000000"/>
        </w:rPr>
        <w:t>种方式解决：</w:t>
      </w:r>
    </w:p>
    <w:p>
      <w:pPr>
        <w:pStyle w:val="null3"/>
        <w:numPr>
          <w:ilvl w:val="0"/>
          <w:numId w:val="1"/>
        </w:numPr>
        <w:jc w:val="left"/>
      </w:pPr>
      <w:r>
        <w:rPr>
          <w:rFonts w:ascii="仿宋_GB2312" w:hAnsi="仿宋_GB2312" w:cs="仿宋_GB2312" w:eastAsia="仿宋_GB2312"/>
          <w:sz w:val="24"/>
          <w:color w:val="000000"/>
        </w:rPr>
        <w:t>向甲方所在地人民法院提起诉讼 ；</w:t>
      </w:r>
    </w:p>
    <w:p>
      <w:pPr>
        <w:pStyle w:val="null3"/>
        <w:ind w:firstLine="470"/>
        <w:jc w:val="both"/>
      </w:pPr>
      <w:r>
        <w:rPr>
          <w:rFonts w:ascii="仿宋_GB2312" w:hAnsi="仿宋_GB2312" w:cs="仿宋_GB2312" w:eastAsia="仿宋_GB2312"/>
          <w:sz w:val="24"/>
          <w:color w:val="000000"/>
        </w:rPr>
        <w:t>（2） 向</w:t>
      </w:r>
      <w:r>
        <w:rPr>
          <w:rFonts w:ascii="仿宋_GB2312" w:hAnsi="仿宋_GB2312" w:cs="仿宋_GB2312" w:eastAsia="仿宋_GB2312"/>
          <w:sz w:val="24"/>
          <w:color w:val="000000"/>
          <w:u w:val="single"/>
        </w:rPr>
        <w:t xml:space="preserve">   （被告住所地、合同履行地、合同签订地、原告住所地、标的物所在地等与争议有实际联系的地点中选出的人民法院名称）    </w:t>
      </w:r>
      <w:r>
        <w:rPr>
          <w:rFonts w:ascii="仿宋_GB2312" w:hAnsi="仿宋_GB2312" w:cs="仿宋_GB2312" w:eastAsia="仿宋_GB2312"/>
          <w:sz w:val="24"/>
          <w:color w:val="000000"/>
        </w:rPr>
        <w:t>人民法院起诉</w:t>
      </w:r>
      <w:r>
        <w:rPr>
          <w:rFonts w:ascii="仿宋_GB2312" w:hAnsi="仿宋_GB2312" w:cs="仿宋_GB2312" w:eastAsia="仿宋_GB2312"/>
          <w:sz w:val="24"/>
          <w:color w:val="000000"/>
          <w:shd w:fill="FFFFFF" w:val="clear"/>
        </w:rPr>
        <w:t>。</w:t>
      </w:r>
    </w:p>
    <w:p>
      <w:pPr>
        <w:pStyle w:val="null3"/>
        <w:ind w:firstLine="482"/>
        <w:jc w:val="left"/>
      </w:pPr>
      <w:r>
        <w:rPr>
          <w:rFonts w:ascii="仿宋_GB2312" w:hAnsi="仿宋_GB2312" w:cs="仿宋_GB2312" w:eastAsia="仿宋_GB2312"/>
          <w:sz w:val="24"/>
          <w:b/>
          <w:color w:val="000000"/>
        </w:rPr>
        <w:t>十三、政府采购合同生效</w:t>
      </w:r>
    </w:p>
    <w:p>
      <w:pPr>
        <w:pStyle w:val="null3"/>
        <w:ind w:firstLine="480"/>
        <w:jc w:val="left"/>
      </w:pPr>
      <w:r>
        <w:rPr>
          <w:rFonts w:ascii="仿宋_GB2312" w:hAnsi="仿宋_GB2312" w:cs="仿宋_GB2312" w:eastAsia="仿宋_GB2312"/>
          <w:sz w:val="24"/>
          <w:color w:val="000000"/>
        </w:rPr>
        <w:t>本政府采购合同经甲乙双方授权代表签字盖章后生效。</w:t>
      </w:r>
    </w:p>
    <w:p>
      <w:pPr>
        <w:pStyle w:val="null3"/>
        <w:ind w:firstLine="480"/>
        <w:jc w:val="left"/>
      </w:pPr>
      <w:r>
        <w:rPr>
          <w:rFonts w:ascii="仿宋_GB2312" w:hAnsi="仿宋_GB2312" w:cs="仿宋_GB2312" w:eastAsia="仿宋_GB2312"/>
          <w:sz w:val="24"/>
          <w:color w:val="000000"/>
        </w:rPr>
        <w:t>本合同共柒份：甲方执肆份、乙方执贰份、代理机构执壹份。</w:t>
      </w:r>
    </w:p>
    <w:p>
      <w:pPr>
        <w:pStyle w:val="null3"/>
        <w:ind w:firstLine="482"/>
        <w:jc w:val="left"/>
      </w:pPr>
      <w:r>
        <w:rPr>
          <w:rFonts w:ascii="仿宋_GB2312" w:hAnsi="仿宋_GB2312" w:cs="仿宋_GB2312" w:eastAsia="仿宋_GB2312"/>
          <w:sz w:val="24"/>
          <w:b/>
          <w:color w:val="000000"/>
        </w:rPr>
        <w:t>十四、其他</w:t>
      </w:r>
    </w:p>
    <w:p>
      <w:pPr>
        <w:pStyle w:val="null3"/>
        <w:ind w:firstLine="480"/>
        <w:jc w:val="left"/>
      </w:pPr>
      <w:r>
        <w:rPr>
          <w:rFonts w:ascii="仿宋_GB2312" w:hAnsi="仿宋_GB2312" w:cs="仿宋_GB2312" w:eastAsia="仿宋_GB2312"/>
          <w:sz w:val="24"/>
          <w:color w:val="000000"/>
        </w:rPr>
        <w:t>本合同未尽事宜，双方可以增加条款或补充协议的形式加以补充，但增加或补充协议的条款不得对招标文件和投标文件约定的内容作实质性修改。补充协议与本合同具有相同的法律效力。</w:t>
      </w:r>
    </w:p>
    <w:p>
      <w:pPr>
        <w:pStyle w:val="null3"/>
        <w:ind w:firstLine="480"/>
        <w:jc w:val="left"/>
      </w:pPr>
      <w:r>
        <w:rPr>
          <w:rFonts w:ascii="仿宋_GB2312" w:hAnsi="仿宋_GB2312" w:cs="仿宋_GB2312" w:eastAsia="仿宋_GB2312"/>
          <w:sz w:val="24"/>
          <w:color w:val="000000"/>
        </w:rPr>
        <w:t>附件：1.中标通知书</w:t>
      </w:r>
    </w:p>
    <w:p>
      <w:pPr>
        <w:pStyle w:val="null3"/>
        <w:ind w:firstLine="420"/>
        <w:jc w:val="left"/>
      </w:pP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营业执照</w:t>
      </w:r>
    </w:p>
    <w:p>
      <w:pPr>
        <w:pStyle w:val="null3"/>
        <w:jc w:val="both"/>
      </w:pPr>
      <w:r>
        <w:rPr>
          <w:rFonts w:ascii="仿宋_GB2312" w:hAnsi="仿宋_GB2312" w:cs="仿宋_GB2312" w:eastAsia="仿宋_GB2312"/>
          <w:sz w:val="24"/>
          <w:color w:val="000000"/>
        </w:rPr>
        <w:t xml:space="preserve">甲方（公章）: 海南省疾病预防控制中心 </w:t>
      </w:r>
    </w:p>
    <w:p>
      <w:pPr>
        <w:pStyle w:val="null3"/>
        <w:jc w:val="both"/>
      </w:pPr>
      <w:r>
        <w:rPr>
          <w:rFonts w:ascii="仿宋_GB2312" w:hAnsi="仿宋_GB2312" w:cs="仿宋_GB2312" w:eastAsia="仿宋_GB2312"/>
          <w:sz w:val="24"/>
          <w:color w:val="000000"/>
        </w:rPr>
        <w:t>办公地址：</w:t>
      </w:r>
    </w:p>
    <w:p>
      <w:pPr>
        <w:pStyle w:val="null3"/>
        <w:jc w:val="both"/>
      </w:pPr>
      <w:r>
        <w:rPr>
          <w:rFonts w:ascii="仿宋_GB2312" w:hAnsi="仿宋_GB2312" w:cs="仿宋_GB2312" w:eastAsia="仿宋_GB2312"/>
          <w:sz w:val="24"/>
          <w:color w:val="000000"/>
        </w:rPr>
        <w:t xml:space="preserve">法定代表人 ：                  </w:t>
      </w:r>
    </w:p>
    <w:p>
      <w:pPr>
        <w:pStyle w:val="null3"/>
        <w:jc w:val="both"/>
      </w:pPr>
      <w:r>
        <w:rPr>
          <w:rFonts w:ascii="仿宋_GB2312" w:hAnsi="仿宋_GB2312" w:cs="仿宋_GB2312" w:eastAsia="仿宋_GB2312"/>
          <w:sz w:val="24"/>
          <w:color w:val="000000"/>
        </w:rPr>
        <w:t xml:space="preserve">或授权代表(签字):               </w:t>
      </w:r>
    </w:p>
    <w:p>
      <w:pPr>
        <w:pStyle w:val="null3"/>
        <w:jc w:val="both"/>
      </w:pPr>
      <w:r>
        <w:rPr>
          <w:rFonts w:ascii="仿宋_GB2312" w:hAnsi="仿宋_GB2312" w:cs="仿宋_GB2312" w:eastAsia="仿宋_GB2312"/>
          <w:sz w:val="24"/>
          <w:color w:val="000000"/>
        </w:rPr>
        <w:t xml:space="preserve">联系人：                </w:t>
      </w:r>
    </w:p>
    <w:p>
      <w:pPr>
        <w:pStyle w:val="null3"/>
        <w:jc w:val="both"/>
      </w:pPr>
      <w:r>
        <w:rPr>
          <w:rFonts w:ascii="仿宋_GB2312" w:hAnsi="仿宋_GB2312" w:cs="仿宋_GB2312" w:eastAsia="仿宋_GB2312"/>
          <w:sz w:val="24"/>
          <w:color w:val="000000"/>
        </w:rPr>
        <w:t xml:space="preserve">电话：                       </w:t>
      </w:r>
    </w:p>
    <w:p>
      <w:pPr>
        <w:pStyle w:val="null3"/>
        <w:jc w:val="both"/>
      </w:pPr>
      <w:r>
        <w:rPr>
          <w:rFonts w:ascii="仿宋_GB2312" w:hAnsi="仿宋_GB2312" w:cs="仿宋_GB2312" w:eastAsia="仿宋_GB2312"/>
          <w:sz w:val="24"/>
          <w:color w:val="000000"/>
        </w:rPr>
        <w:t xml:space="preserve">传真:                         </w:t>
      </w:r>
    </w:p>
    <w:p>
      <w:pPr>
        <w:pStyle w:val="null3"/>
        <w:jc w:val="both"/>
      </w:pPr>
      <w:r>
        <w:rPr>
          <w:rFonts w:ascii="仿宋_GB2312" w:hAnsi="仿宋_GB2312" w:cs="仿宋_GB2312" w:eastAsia="仿宋_GB2312"/>
          <w:sz w:val="24"/>
          <w:color w:val="000000"/>
        </w:rPr>
        <w:t xml:space="preserve">电子邮箱：                 </w:t>
      </w:r>
    </w:p>
    <w:p>
      <w:pPr>
        <w:pStyle w:val="null3"/>
        <w:jc w:val="both"/>
      </w:pPr>
      <w:r>
        <w:rPr>
          <w:rFonts w:ascii="仿宋_GB2312" w:hAnsi="仿宋_GB2312" w:cs="仿宋_GB2312" w:eastAsia="仿宋_GB2312"/>
          <w:sz w:val="24"/>
          <w:color w:val="000000"/>
        </w:rPr>
        <w:t xml:space="preserve">开户银行：                  </w:t>
      </w:r>
    </w:p>
    <w:p>
      <w:pPr>
        <w:pStyle w:val="null3"/>
        <w:jc w:val="both"/>
      </w:pPr>
      <w:r>
        <w:rPr>
          <w:rFonts w:ascii="仿宋_GB2312" w:hAnsi="仿宋_GB2312" w:cs="仿宋_GB2312" w:eastAsia="仿宋_GB2312"/>
          <w:sz w:val="24"/>
          <w:color w:val="000000"/>
        </w:rPr>
        <w:t xml:space="preserve">开户名称：                </w:t>
      </w:r>
    </w:p>
    <w:p>
      <w:pPr>
        <w:pStyle w:val="null3"/>
        <w:jc w:val="both"/>
      </w:pPr>
      <w:r>
        <w:rPr>
          <w:rFonts w:ascii="仿宋_GB2312" w:hAnsi="仿宋_GB2312" w:cs="仿宋_GB2312" w:eastAsia="仿宋_GB2312"/>
          <w:sz w:val="24"/>
          <w:color w:val="000000"/>
        </w:rPr>
        <w:t>开户账号：</w:t>
      </w:r>
      <w:r>
        <w:rPr>
          <w:rFonts w:ascii="仿宋_GB2312" w:hAnsi="仿宋_GB2312" w:cs="仿宋_GB2312" w:eastAsia="仿宋_GB2312"/>
          <w:sz w:val="21"/>
          <w:color w:val="000000"/>
        </w:rPr>
        <w:t xml:space="preserve">                  </w:t>
      </w:r>
    </w:p>
    <w:p>
      <w:pPr>
        <w:pStyle w:val="null3"/>
        <w:ind w:firstLine="960"/>
        <w:jc w:val="both"/>
      </w:pPr>
      <w:r>
        <w:rPr>
          <w:rFonts w:ascii="仿宋_GB2312" w:hAnsi="仿宋_GB2312" w:cs="仿宋_GB2312" w:eastAsia="仿宋_GB2312"/>
          <w:sz w:val="24"/>
          <w:color w:val="000000"/>
        </w:rPr>
        <w:t>乙方(公章):</w:t>
      </w:r>
    </w:p>
    <w:p>
      <w:pPr>
        <w:pStyle w:val="null3"/>
        <w:jc w:val="both"/>
      </w:pPr>
      <w:r>
        <w:rPr>
          <w:rFonts w:ascii="仿宋_GB2312" w:hAnsi="仿宋_GB2312" w:cs="仿宋_GB2312" w:eastAsia="仿宋_GB2312"/>
          <w:sz w:val="24"/>
          <w:color w:val="000000"/>
        </w:rPr>
        <w:t>办公地址：</w:t>
      </w:r>
    </w:p>
    <w:p>
      <w:pPr>
        <w:pStyle w:val="null3"/>
        <w:jc w:val="both"/>
      </w:pPr>
      <w:r>
        <w:rPr>
          <w:rFonts w:ascii="仿宋_GB2312" w:hAnsi="仿宋_GB2312" w:cs="仿宋_GB2312" w:eastAsia="仿宋_GB2312"/>
          <w:sz w:val="24"/>
          <w:color w:val="000000"/>
        </w:rPr>
        <w:t xml:space="preserve">法定代表人或授权代表(签字):                 </w:t>
      </w:r>
    </w:p>
    <w:p>
      <w:pPr>
        <w:pStyle w:val="null3"/>
        <w:jc w:val="both"/>
      </w:pPr>
      <w:r>
        <w:rPr>
          <w:rFonts w:ascii="仿宋_GB2312" w:hAnsi="仿宋_GB2312" w:cs="仿宋_GB2312" w:eastAsia="仿宋_GB2312"/>
          <w:sz w:val="24"/>
          <w:color w:val="000000"/>
        </w:rPr>
        <w:t>联系人：</w:t>
      </w:r>
    </w:p>
    <w:p>
      <w:pPr>
        <w:pStyle w:val="null3"/>
        <w:jc w:val="both"/>
      </w:pPr>
      <w:r>
        <w:rPr>
          <w:rFonts w:ascii="仿宋_GB2312" w:hAnsi="仿宋_GB2312" w:cs="仿宋_GB2312" w:eastAsia="仿宋_GB2312"/>
          <w:sz w:val="24"/>
          <w:color w:val="000000"/>
        </w:rPr>
        <w:t>电 话：</w:t>
      </w:r>
    </w:p>
    <w:p>
      <w:pPr>
        <w:pStyle w:val="null3"/>
        <w:jc w:val="both"/>
      </w:pPr>
      <w:r>
        <w:rPr>
          <w:rFonts w:ascii="仿宋_GB2312" w:hAnsi="仿宋_GB2312" w:cs="仿宋_GB2312" w:eastAsia="仿宋_GB2312"/>
          <w:sz w:val="24"/>
          <w:color w:val="000000"/>
        </w:rPr>
        <w:t xml:space="preserve">传真:  /                          </w:t>
      </w:r>
    </w:p>
    <w:p>
      <w:pPr>
        <w:pStyle w:val="null3"/>
        <w:jc w:val="both"/>
      </w:pPr>
      <w:r>
        <w:rPr>
          <w:rFonts w:ascii="仿宋_GB2312" w:hAnsi="仿宋_GB2312" w:cs="仿宋_GB2312" w:eastAsia="仿宋_GB2312"/>
          <w:sz w:val="24"/>
          <w:color w:val="000000"/>
        </w:rPr>
        <w:t>电子邮箱</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开户银行：</w:t>
      </w:r>
    </w:p>
    <w:p>
      <w:pPr>
        <w:pStyle w:val="null3"/>
        <w:jc w:val="both"/>
      </w:pPr>
      <w:r>
        <w:rPr>
          <w:rFonts w:ascii="仿宋_GB2312" w:hAnsi="仿宋_GB2312" w:cs="仿宋_GB2312" w:eastAsia="仿宋_GB2312"/>
          <w:sz w:val="24"/>
          <w:color w:val="000000"/>
        </w:rPr>
        <w:t>开户名称：</w:t>
      </w:r>
    </w:p>
    <w:p>
      <w:pPr>
        <w:pStyle w:val="null3"/>
        <w:jc w:val="both"/>
      </w:pPr>
      <w:r>
        <w:rPr>
          <w:rFonts w:ascii="仿宋_GB2312" w:hAnsi="仿宋_GB2312" w:cs="仿宋_GB2312" w:eastAsia="仿宋_GB2312"/>
          <w:sz w:val="24"/>
          <w:color w:val="000000"/>
        </w:rPr>
        <w:t>开户账号：</w:t>
      </w:r>
    </w:p>
    <w:p>
      <w:pPr>
        <w:pStyle w:val="null3"/>
        <w:jc w:val="both"/>
      </w:pPr>
      <w:r>
        <w:rPr>
          <w:rFonts w:ascii="仿宋_GB2312" w:hAnsi="仿宋_GB2312" w:cs="仿宋_GB2312" w:eastAsia="仿宋_GB2312"/>
          <w:sz w:val="24"/>
          <w:color w:val="000000"/>
        </w:rPr>
        <w:t>招标代理机构：</w:t>
      </w:r>
    </w:p>
    <w:p>
      <w:pPr>
        <w:pStyle w:val="null3"/>
        <w:jc w:val="both"/>
      </w:pPr>
      <w:r>
        <w:rPr>
          <w:rFonts w:ascii="仿宋_GB2312" w:hAnsi="仿宋_GB2312" w:cs="仿宋_GB2312" w:eastAsia="仿宋_GB2312"/>
          <w:sz w:val="24"/>
          <w:color w:val="000000"/>
        </w:rPr>
        <w:t>地  址：</w:t>
      </w:r>
    </w:p>
    <w:p>
      <w:pPr>
        <w:pStyle w:val="null3"/>
        <w:jc w:val="both"/>
      </w:pPr>
      <w:r>
        <w:rPr>
          <w:rFonts w:ascii="仿宋_GB2312" w:hAnsi="仿宋_GB2312" w:cs="仿宋_GB2312" w:eastAsia="仿宋_GB2312"/>
          <w:sz w:val="24"/>
          <w:color w:val="000000"/>
        </w:rPr>
        <w:t>经办人：</w:t>
      </w:r>
    </w:p>
    <w:p>
      <w:pPr>
        <w:pStyle w:val="null3"/>
        <w:jc w:val="both"/>
      </w:pPr>
      <w:r>
        <w:rPr>
          <w:rFonts w:ascii="仿宋_GB2312" w:hAnsi="仿宋_GB2312" w:cs="仿宋_GB2312" w:eastAsia="仿宋_GB2312"/>
          <w:sz w:val="24"/>
          <w:color w:val="000000"/>
        </w:rPr>
        <w:t>年   月    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带“★”条款为实质性条款，必须完全响应，不允许负偏离，否则作无效响应处理。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具备特定行业法定准入要求</w:t>
            </w:r>
          </w:p>
        </w:tc>
        <w:tc>
          <w:tcPr>
            <w:tcW w:type="dxa" w:w="3322"/>
          </w:tcPr>
          <w:p>
            <w:pPr>
              <w:pStyle w:val="null3"/>
              <w:jc w:val="left"/>
            </w:pPr>
            <w:r>
              <w:rPr>
                <w:rFonts w:ascii="仿宋_GB2312" w:hAnsi="仿宋_GB2312" w:cs="仿宋_GB2312" w:eastAsia="仿宋_GB2312"/>
              </w:rPr>
              <w:t>（1）投标人不是所投产品生产厂家的，所投产品属于三类医疗器械的须具有医疗器械经营企业许可证，属于二类医疗器械的须具有医疗器械经营企业备案登记凭证；（提供相关证明材料） （2）所投产品属于二、三类医疗器械产品的，该产品须具有医疗器械注册证（注册证到期的，应说明所投设备是在该医疗器械注册证有效期内生产的医疗器械，并同时提供医疗器械注册证和医疗器械注册受理号），属于一类医疗器械产品的须具有产品备案登记凭证；（提供相关证明材料）</w:t>
            </w:r>
          </w:p>
        </w:tc>
        <w:tc>
          <w:tcPr>
            <w:tcW w:type="dxa" w:w="1661"/>
          </w:tcPr>
          <w:p>
            <w:pPr>
              <w:pStyle w:val="null3"/>
              <w:jc w:val="left"/>
            </w:pPr>
            <w:r>
              <w:rPr>
                <w:rFonts w:ascii="仿宋_GB2312" w:hAnsi="仿宋_GB2312" w:cs="仿宋_GB2312" w:eastAsia="仿宋_GB2312"/>
              </w:rPr>
              <w:t>特定资格要求的证明材料 “供应商资格要求”中要求的其他相关文件 开标（报价）一览表 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本项目部分产品接受进口产品的投标（具体详见第三章），如所投产品为进口产品的，需提供货物制造厂商或国内具有授权权限的代理商针对本项目的授权（代理商授权的，需同时提供该代理商具有有效授权权限的相关证明文件，证明文件需能显示货物制造商对投标产品授权链条的完整性）。</w:t>
            </w:r>
          </w:p>
        </w:tc>
        <w:tc>
          <w:tcPr>
            <w:tcW w:type="dxa" w:w="1661"/>
          </w:tcPr>
          <w:p>
            <w:pPr>
              <w:pStyle w:val="null3"/>
              <w:jc w:val="left"/>
            </w:pPr>
            <w:r>
              <w:rPr>
                <w:rFonts w:ascii="仿宋_GB2312" w:hAnsi="仿宋_GB2312" w:cs="仿宋_GB2312" w:eastAsia="仿宋_GB2312"/>
              </w:rPr>
              <w:t>特定资格要求的证明材料 “供应商资格要求”中要求的其他相关文件 开标（报价）一览表 投标（响应）报价明细表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投标人所投产品与招标文件第三章采购需求中的技术要求进行点对点比较：所投产品完全满足招标文件所有带“▲”技术要求（共16项）的得16分；每负偏离1项带“▲”技术要求的扣1分，最多扣16分。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非“▲/★”技术要求响应情况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投标人所投产品与招标文件第三章采购需求中的技术要求进行点对点比较：所投产品完全满足招标文件所有非“▲/★”技术要求（共150项）的得30分；每负偏离1项非“▲/★”技术要求的扣0.2分，最多扣30分。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项目实施方案的内容包括但不限于：①对本项目背景和技术需求的分析；②对项目重点、难点的分析及应对措施；③项目管理机构和职责分工；④项目的各个阶段（进货、运输、交接货、安装调试和验收）实施细则；⑤质量保障及风险控制措施；⑥技术培训。评委根据所投方案进行综合性评分： 提供的方案含上述6项内容，且内容详细全面且满足采购需求的，得6分。以上6项内容每缺1项扣1分；每项内容存在1处缺陷的扣0.5分，每项最多扣1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售后服务方案内容包含但不限于：①服务内容；②技术支持；③售后服务流程；④响应时间；⑤应急预案。评委根据所投方案进行综合性评分： 提供的方案含上述5项内容，且内容详细全面且满足采购需求的，得5分。以上5项内容每缺1项扣1分；每项内容存在1处缺陷的扣0.5分，每项最多扣1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2022年1月1日至今（以合同签订时间为准），投标人承接过类似（职业病或工作场所物理因素相关检测、监测设备）业绩的，每提供一份合同得2分，满分8分。 证明材料：提供合同关键页复印件，加盖公章，不提供或资料不齐全的不得分。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HNZT2025-112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2024年职业病危害工程防护能力提升设备采购项目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2024年职业病危害工程防护能力提升设备采购项目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产地</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噪声频谱分析仪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噪声测试分析仪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双通道个体噪声剂量计</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其他仪器仪表（7项国产）</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1204400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呼吸器适合性检验系统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声暴露计（五台组）</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护听器防护效果检验平台（听力适合性检验装置）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详见附件：“供应商资格要求”中要求的其他相关文件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详见附件：特定资格要求的证明材料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