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(以最终签订合同为准)</w:t>
      </w:r>
    </w:p>
    <w:p>
      <w:pPr>
        <w:rPr>
          <w:rFonts w:hint="eastAsia"/>
          <w:color w:val="auto"/>
          <w:highlight w:val="none"/>
        </w:rPr>
      </w:pPr>
    </w:p>
    <w:p>
      <w:pPr>
        <w:bidi w:val="0"/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pStyle w:val="17"/>
        <w:rPr>
          <w:rFonts w:hint="eastAsia"/>
          <w:color w:val="auto"/>
          <w:highlight w:val="none"/>
        </w:rPr>
      </w:pPr>
    </w:p>
    <w:p>
      <w:pPr>
        <w:rPr>
          <w:rFonts w:hint="eastAsia"/>
          <w:color w:val="auto"/>
          <w:highlight w:val="none"/>
        </w:rPr>
      </w:pPr>
    </w:p>
    <w:p>
      <w:pPr>
        <w:bidi w:val="0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ind w:right="17" w:rightChars="8"/>
        <w:jc w:val="center"/>
        <w:outlineLvl w:val="2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南繁基地土壤地力提升项目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  <w:lang w:val="en-US" w:eastAsia="zh-CN"/>
        </w:rPr>
        <w:t>委托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合同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ascii="Times New Roman"/>
          <w:color w:val="auto"/>
          <w:sz w:val="21"/>
          <w:szCs w:val="21"/>
          <w:highlight w:val="none"/>
        </w:rPr>
      </w:pPr>
    </w:p>
    <w:p>
      <w:pPr>
        <w:pStyle w:val="17"/>
        <w:rPr>
          <w:rFonts w:ascii="Times New Roman"/>
          <w:color w:val="auto"/>
          <w:sz w:val="21"/>
          <w:szCs w:val="21"/>
          <w:highlight w:val="none"/>
        </w:rPr>
      </w:pPr>
    </w:p>
    <w:p>
      <w:pPr>
        <w:rPr>
          <w:rFonts w:ascii="Times New Roman"/>
          <w:color w:val="auto"/>
          <w:sz w:val="21"/>
          <w:szCs w:val="21"/>
          <w:highlight w:val="none"/>
        </w:rPr>
      </w:pPr>
    </w:p>
    <w:p>
      <w:pPr>
        <w:pStyle w:val="17"/>
        <w:rPr>
          <w:rFonts w:ascii="Times New Roman"/>
          <w:color w:val="auto"/>
          <w:sz w:val="21"/>
          <w:szCs w:val="21"/>
          <w:highlight w:val="none"/>
        </w:rPr>
      </w:pPr>
    </w:p>
    <w:p>
      <w:pPr>
        <w:rPr>
          <w:rFonts w:ascii="Times New Roman"/>
          <w:color w:val="auto"/>
          <w:sz w:val="21"/>
          <w:szCs w:val="21"/>
          <w:highlight w:val="none"/>
        </w:rPr>
      </w:pPr>
    </w:p>
    <w:p>
      <w:pPr>
        <w:pStyle w:val="17"/>
        <w:rPr>
          <w:rFonts w:ascii="Times New Roman"/>
          <w:color w:val="auto"/>
          <w:sz w:val="21"/>
          <w:szCs w:val="21"/>
          <w:highlight w:val="none"/>
        </w:rPr>
      </w:pPr>
    </w:p>
    <w:p>
      <w:pPr>
        <w:rPr>
          <w:rFonts w:ascii="Times New Roman"/>
          <w:color w:val="auto"/>
          <w:sz w:val="21"/>
          <w:szCs w:val="21"/>
          <w:highlight w:val="none"/>
        </w:rPr>
      </w:pPr>
    </w:p>
    <w:p>
      <w:pPr>
        <w:pStyle w:val="17"/>
        <w:rPr>
          <w:color w:val="auto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ind w:firstLine="1920" w:firstLineChars="6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>南繁基地土壤地力提升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ind w:firstLine="1920" w:firstLineChars="6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委托方（甲方）：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</w:rPr>
        <w:t>海南省南繁管理局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ind w:firstLine="1920" w:firstLineChars="6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受托方（乙方）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ind w:firstLine="1920" w:firstLineChars="60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签订时间：</w:t>
      </w:r>
      <w:bookmarkStart w:id="0" w:name="OLE_LINK6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jc w:val="center"/>
        <w:rPr>
          <w:rFonts w:ascii="Times New Roman"/>
          <w:color w:val="auto"/>
          <w:sz w:val="28"/>
          <w:szCs w:val="28"/>
          <w:highlight w:val="none"/>
        </w:rPr>
      </w:pPr>
      <w:r>
        <w:rPr>
          <w:rFonts w:ascii="Times New Roman"/>
          <w:b/>
          <w:bCs/>
          <w:color w:val="auto"/>
          <w:sz w:val="28"/>
          <w:szCs w:val="28"/>
          <w:highlight w:val="none"/>
        </w:rPr>
        <w:br w:type="page"/>
      </w:r>
    </w:p>
    <w:p>
      <w:pPr>
        <w:snapToGrid w:val="0"/>
        <w:spacing w:afterLines="0" w:line="61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委托方（甲方）：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海南省南繁管理局</w:t>
      </w:r>
    </w:p>
    <w:p>
      <w:pPr>
        <w:snapToGrid w:val="0"/>
        <w:spacing w:afterLines="0" w:line="610" w:lineRule="exact"/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统一社会信用代码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1246 000 3240 859  441</w:t>
      </w:r>
    </w:p>
    <w:p>
      <w:pPr>
        <w:snapToGrid w:val="0"/>
        <w:spacing w:afterLines="0" w:line="61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法定代表人：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eastAsia="zh-CN"/>
        </w:rPr>
        <w:t>郭涛</w:t>
      </w:r>
    </w:p>
    <w:p>
      <w:pPr>
        <w:tabs>
          <w:tab w:val="left" w:pos="1050"/>
        </w:tabs>
        <w:snapToGrid w:val="0"/>
        <w:spacing w:afterLines="0" w:line="61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项目联系人：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何俊燕</w:t>
      </w:r>
    </w:p>
    <w:p>
      <w:pPr>
        <w:snapToGrid w:val="0"/>
        <w:spacing w:afterLines="0" w:line="61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联系方式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0898-88292737</w:t>
      </w:r>
    </w:p>
    <w:p>
      <w:pPr>
        <w:tabs>
          <w:tab w:val="left" w:pos="8100"/>
        </w:tabs>
        <w:snapToGrid w:val="0"/>
        <w:spacing w:afterLines="0" w:line="61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通讯地址：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海南省三亚市吉阳区兆龙西路岭仔小组149号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电子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箱：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gjnfb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@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126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</w:rPr>
        <w:t>.c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  <w:t>om</w:t>
      </w:r>
    </w:p>
    <w:p>
      <w:pPr>
        <w:pStyle w:val="16"/>
        <w:spacing w:afterLines="0" w:line="610" w:lineRule="exact"/>
        <w:ind w:firstLine="640" w:firstLineChars="200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受托方（乙方）：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统一社会信用代码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联系方式：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</w:p>
    <w:p>
      <w:pPr>
        <w:keepNext w:val="0"/>
        <w:keepLines w:val="0"/>
        <w:pageBreakBefore w:val="0"/>
        <w:tabs>
          <w:tab w:val="left" w:pos="8100"/>
        </w:tabs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通讯地址：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61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电子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</w:t>
      </w:r>
    </w:p>
    <w:p>
      <w:pPr>
        <w:pStyle w:val="16"/>
        <w:spacing w:afterLines="0" w:line="590" w:lineRule="exact"/>
        <w:ind w:firstLine="640" w:firstLineChars="200"/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海南省南繁管理局（以下简称“甲方”）委托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（以下简称“乙方”）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>南繁基地土壤地力提升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技术服务。双方经过平等协商，在真实、充分地表达各自意愿的基础上，根据《中华人民共和国民法典》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等法律法规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的规定，达成如下协议，并由双方共同恪守。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一、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服务内容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及要求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snapToGrid w:val="0"/>
        <w:spacing w:afterLines="0" w:line="590" w:lineRule="exact"/>
        <w:ind w:firstLine="643" w:firstLineChars="200"/>
        <w:jc w:val="both"/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</w:rPr>
        <w:t>服务目标</w:t>
      </w:r>
    </w:p>
    <w:p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以保障粮食生产安全为主线，提升国家南繁科研育种基地耕地质量为目标，采取</w:t>
      </w:r>
      <w:bookmarkStart w:id="1" w:name="OLE_LINK1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非南繁季种植绿肥（如田菁、紫云英等），改善不超过10000亩农田质量</w:t>
      </w:r>
      <w:bookmarkEnd w:id="1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，为南繁科研育种提供优质的土壤基础，提升保障国家粮食安全能力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3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（二）服务内容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1.种植绿肥。利用非南繁季，在乐东县国家南繁科研育种基地种植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10000亩绿肥，通过病虫害防治、绿肥粉碎还田、并辅以撒施石灰、旋耕等措施，改良土壤，保障南繁用地质量。项目实施后，</w:t>
      </w:r>
      <w:bookmarkStart w:id="2" w:name="OLE_LINK8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有机质提高10%—15%。</w:t>
      </w:r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2.服务对象满意度调查。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通过上门走访、谈话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或发放调查问卷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等方式开展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服务对象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满意度调查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，收集南繁基地对地力提升项目的意见反馈。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3.绿肥沃土模式宣传推广。制定绿肥种植</w:t>
      </w:r>
      <w:bookmarkStart w:id="3" w:name="OLE_LINK2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技术</w:t>
      </w:r>
      <w:bookmarkEnd w:id="3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规程，</w:t>
      </w:r>
      <w:bookmarkStart w:id="4" w:name="OLE_LINK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制作科普宣传视频，</w:t>
      </w:r>
      <w:bookmarkEnd w:id="4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加大非南繁季绿肥沃土模式推广应用力度。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3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（三）项目成果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乐东县南繁基地土壤地力提升项目总结报告。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示范种植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不超过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10000亩绿肥，有机质提高10%—15%。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提交绿肥种植技术规程各1份、科普宣传视频1套。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3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highlight w:val="none"/>
          <w:lang w:val="en-US" w:eastAsia="zh-CN"/>
        </w:rPr>
        <w:t>（四）服务要求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1．服务地点：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乐东县国家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南繁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科研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育种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基地，具体地块由甲方指定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．服务进度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2025年7月至8月：确定具体实施地块及工作量，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完成种子采购、播前整地、绿肥播种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田间管理、病虫害防治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等工作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（2）2025年9月至10月：完成绿肥秸秆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粉碎、撒施石灰、旋耕等工作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完成服务对象满意度调查及项目验收材料整理工作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至12月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完成项目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服务内容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提交项目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成果资料文件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snapToGrid w:val="0"/>
        <w:spacing w:afterLines="0" w:line="59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具体进度根据实际情况进行调整。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履行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期限：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合同签订之日起至2025年12月10日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0" w:line="59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u w:val="none"/>
          <w:lang w:val="en-US" w:eastAsia="zh-CN"/>
        </w:rPr>
        <w:t>（五）验收</w:t>
      </w:r>
    </w:p>
    <w:p>
      <w:pPr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i w:val="0"/>
          <w:iCs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验收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内容：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根据采购文件要求及有关规定进行验收。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完成整地、播种，且绿肥作物进入花期后，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自行组织中期验收，主要验收内容为种植情况核查结果；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执行完中期验收的工作量后，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委托第三方验收，主要验收内容为种植情况核查结果、地力提升指标核查、总结报告及相关佐证材料等。</w:t>
      </w:r>
      <w:r>
        <w:rPr>
          <w:rFonts w:hint="eastAsia" w:ascii="仿宋_GB2312" w:hAnsi="仿宋_GB2312" w:eastAsia="仿宋_GB2312" w:cs="仿宋_GB2312"/>
          <w:i w:val="0"/>
          <w:iCs/>
          <w:sz w:val="32"/>
          <w:szCs w:val="32"/>
          <w:u w:val="none"/>
        </w:rPr>
        <w:t>。</w:t>
      </w:r>
    </w:p>
    <w:p>
      <w:pPr>
        <w:numPr>
          <w:ilvl w:val="0"/>
          <w:numId w:val="0"/>
        </w:numPr>
        <w:spacing w:afterLines="0" w:line="59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验收方式：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中期验收由甲方自行组织，项目终验由甲方委托第三方验收。</w:t>
      </w:r>
    </w:p>
    <w:p>
      <w:pPr>
        <w:numPr>
          <w:ilvl w:val="0"/>
          <w:numId w:val="0"/>
        </w:numPr>
        <w:spacing w:afterLines="0" w:line="590" w:lineRule="exact"/>
        <w:ind w:left="0" w:leftChars="0" w:firstLine="640" w:firstLineChars="200"/>
        <w:jc w:val="left"/>
        <w:outlineLvl w:val="9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履约验收时间</w:t>
      </w:r>
    </w:p>
    <w:p>
      <w:pPr>
        <w:numPr>
          <w:ilvl w:val="0"/>
          <w:numId w:val="0"/>
        </w:numPr>
        <w:spacing w:afterLines="0" w:line="590" w:lineRule="exact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（1）中期验收：供应商自验合格后及时向采购人书面提出履约验收申请，采购人自收到验收申请之日起7个工作日内组织中期验收；</w:t>
      </w:r>
    </w:p>
    <w:p>
      <w:pPr>
        <w:numPr>
          <w:ilvl w:val="0"/>
          <w:numId w:val="0"/>
        </w:numPr>
        <w:spacing w:afterLines="0" w:line="590" w:lineRule="exact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（2）项目终验：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  <w:lang w:val="en-US" w:eastAsia="zh-CN"/>
        </w:rPr>
        <w:t>执行完中期验收的工作量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kern w:val="0"/>
          <w:sz w:val="32"/>
          <w:szCs w:val="32"/>
          <w:u w:val="none"/>
          <w:lang w:val="en-US" w:eastAsia="zh-CN"/>
        </w:rPr>
        <w:t>，供应商组织内部自验，自验合格后及时向采购人书面提出履约验收申请，采购人自收到验收申请之日起7个工作日内组织终验。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Lines="0" w:line="590" w:lineRule="exact"/>
        <w:ind w:firstLine="640" w:firstLineChars="200"/>
        <w:outlineLvl w:val="9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技术服务报酬及支付方式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 w:val="0"/>
        <w:snapToGrid w:val="0"/>
        <w:spacing w:afterLines="0" w:line="59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kern w:val="2"/>
          <w:sz w:val="32"/>
          <w:szCs w:val="32"/>
          <w:u w:val="singl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"/>
        </w:rPr>
        <w:t>本合同按实际工作量进行结算，最高执行金额为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single"/>
          <w:lang w:val="en-US" w:eastAsia="zh-CN" w:bidi="ar"/>
        </w:rPr>
        <w:t>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"/>
        </w:rPr>
        <w:t xml:space="preserve">        元（大写：         整），其中每亩单价为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single"/>
          <w:lang w:val="en-US" w:eastAsia="zh-CN" w:bidi="ar"/>
        </w:rPr>
        <w:t>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"/>
        </w:rPr>
        <w:t xml:space="preserve">        元（大写：         整）。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 w:bidi="ar"/>
        </w:rPr>
        <w:t>该费用包含乙方完成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 w:bidi="ar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的全部费用，包括但不限于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kern w:val="2"/>
          <w:sz w:val="32"/>
          <w:szCs w:val="32"/>
          <w:u w:val="none"/>
          <w:lang w:val="en-US" w:eastAsia="zh-CN" w:bidi="ar"/>
        </w:rPr>
        <w:t>材料费、劳务费、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咨询费、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kern w:val="2"/>
          <w:sz w:val="32"/>
          <w:szCs w:val="32"/>
          <w:u w:val="none"/>
          <w:lang w:val="en-US" w:eastAsia="zh-CN" w:bidi="ar"/>
        </w:rPr>
        <w:t>差旅费、土壤检测费、设备购置及租赁费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、税费、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spacing w:val="0"/>
          <w:kern w:val="2"/>
          <w:sz w:val="32"/>
          <w:szCs w:val="32"/>
          <w:u w:val="none"/>
          <w:lang w:val="en-US" w:eastAsia="zh-CN" w:bidi="ar"/>
        </w:rPr>
        <w:t>招标代理服务费等与项目实施相关的费用。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技术服务费由甲方分期支付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给乙方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具体支付方式和时间如下：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合同签订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生效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支付合同金额的30%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"/>
        </w:rPr>
        <w:t>即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Hans" w:bidi="ar"/>
        </w:rPr>
        <w:t>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"/>
        </w:rPr>
        <w:t>付款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u w:val="single"/>
          <w:lang w:val="en-US" w:eastAsia="zh-CN" w:bidi="ar"/>
        </w:rPr>
        <w:t>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u w:val="single"/>
          <w:lang w:val="en-US" w:eastAsia="zh-CN" w:bidi="ar"/>
        </w:rPr>
        <w:t xml:space="preserve">         元(大写：          整)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.乙方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完成整地、播种，且绿肥作物进入花期后</w:t>
      </w:r>
      <w:r>
        <w:rPr>
          <w:rFonts w:hint="eastAsia" w:hAnsi="仿宋_GB2312" w:cs="仿宋_GB2312"/>
          <w:sz w:val="32"/>
          <w:szCs w:val="32"/>
          <w:u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经甲方确认合格后支付至对应工作量金额的50%；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afterLines="0" w:line="59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执行完中期验收的工作量并通过终验后，支付至对应工作量金额的100%。</w:t>
      </w:r>
    </w:p>
    <w:p>
      <w:pPr>
        <w:numPr>
          <w:ilvl w:val="0"/>
          <w:numId w:val="0"/>
        </w:numPr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预付款扣回方式：在第二笔支付中将扣除预付款，若扣除金额不足，则在尾款中补足差额。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指定收款账户信息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Lines="0"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Lines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</w:pPr>
      <w:bookmarkStart w:id="5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开户银行：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银行账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Lines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（四）甲方发票信息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Lines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海南省南繁管理局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Lines="0"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纳税人识别号：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1246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0000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3240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859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441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 w:val="0"/>
        <w:snapToGrid w:val="0"/>
        <w:spacing w:afterLines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发票内容：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技术服务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五）</w:t>
      </w:r>
      <w:r>
        <w:rPr>
          <w:rFonts w:hint="eastAsia" w:ascii="仿宋_GB2312" w:hAnsi="仿宋_GB2312" w:eastAsia="仿宋_GB2312" w:cs="仿宋_GB2312"/>
          <w:bCs w:val="0"/>
          <w:sz w:val="32"/>
          <w:szCs w:val="32"/>
          <w:lang w:val="en-US" w:eastAsia="zh-CN"/>
        </w:rPr>
        <w:t>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术服务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</w:rPr>
        <w:t>费用通过银行转账方式转入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</w:rPr>
        <w:t>提供的账户内，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</w:rPr>
        <w:t>在申请甲方支付相应款项前应提供合法、等额的有效发票给甲方入账，否则甲方有权顺延付款期限。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三、知识产权及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保密义务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为完成项目而取得的技术成果（包括各种资料、数据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绿肥种植技术规程、科普宣传视频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等）的相关知识产权（包括著作权、专利、专有技术、专利申请权）归甲方所有，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负有保密的义务。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未经甲方书面同意，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不得将本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涉及内容向任何第三方提供。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</w:rPr>
        <w:t>双方权利与义务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甲方的权利和义务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甲方按照本合同的约定对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的技术服务工作进行监督检查，有权在合理范围内对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开展工作提出建议及意见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甲方应为乙方开展相关工作提供必要协助与支持。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rPr>
          <w:rFonts w:hint="default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3.甲方应及时为乙方提供项目实施地块的信息，具体包括地址、联系人及联系方式。</w:t>
      </w:r>
    </w:p>
    <w:bookmarkEnd w:id="5"/>
    <w:p>
      <w:pPr>
        <w:pStyle w:val="13"/>
        <w:spacing w:afterLines="0" w:line="570" w:lineRule="exact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甲方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合同约定，及时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足额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支付相关技术服务费用。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outlineLvl w:val="9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的权利和义务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1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指派专人跟进完成委托事项，负责和甲方对接，如对委托事项内容存在疑问，应及时和甲方进行沟通询问。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2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.乙方应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组建专业的技术服务团队跟进项目实施，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在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合同约定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期限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内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按时向甲方提交合格的成果文件，并负责整个实施周期内相应资料整理和归档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对成果的真实性、合法性、完整性、可靠性负责。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按本合同约定收取相应技术服务费用。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不得将本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合同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的任何部分进行分包、转包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履行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未经甲方书面同意，不得提前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终止、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解除本合同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2"/>
        <w:spacing w:after="0" w:line="570" w:lineRule="exact"/>
        <w:ind w:firstLine="640" w:firstLineChars="200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5.乙方及其工作人员在履行本合同义务的过程中，应当遵守安全规范，确保人身安全，如若发生人身损害或财产损失，该责任由乙方自行承担。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违约责任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与赔偿损失</w:t>
      </w:r>
    </w:p>
    <w:p>
      <w:pPr>
        <w:pStyle w:val="2"/>
        <w:numPr>
          <w:ilvl w:val="-1"/>
          <w:numId w:val="0"/>
        </w:numPr>
        <w:spacing w:after="0" w:line="570" w:lineRule="exact"/>
        <w:ind w:firstLine="640" w:firstLineChars="200"/>
        <w:rPr>
          <w:rFonts w:hint="default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（一）乙方提供的服务不符合采购文件、报价文件或本合同规定的，甲方有权拒收，并且乙方须向甲方支付本合同总价5%的违约金。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对成果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的真实性、合法性、完整性、可靠性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负责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，若存在出具不实成果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的行为，甲方有权单方解除本合同，拒绝支付任何费用或要求退还全部费用，并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承担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本合同总费用的20%作为违约金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违约金不足以弥补甲方经济损失的，甲方有权继续追偿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smallCaps w:val="0"/>
          <w:color w:val="auto"/>
          <w:sz w:val="32"/>
          <w:szCs w:val="32"/>
          <w:highlight w:val="none"/>
          <w:lang w:val="en-US" w:eastAsia="zh-CN" w:bidi="ar-SA"/>
        </w:rPr>
        <w:t>（三）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smallCaps w:val="0"/>
          <w:color w:val="auto"/>
          <w:sz w:val="32"/>
          <w:szCs w:val="32"/>
          <w:highlight w:val="none"/>
          <w:lang w:val="en-US" w:eastAsia="zh-CN" w:bidi="ar-SA"/>
        </w:rPr>
        <w:t>未按合同约定日期完成全部服务内容时，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从应提交日期的次日起计算，每逾期一天，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减收本合同总费用的1%作为违约金。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逾期达到15日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以上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的，甲方有权单方解除本合同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并要求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支付本合同总费用的20%作为违约金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由此给甲方造成的经济损失由乙方承担。因甲方原因造成乙方开展相关技术服务未按约定时间完成的，服务时间相应顺延，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但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应当提前书面告知甲方。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（四）其他违约责任依照《中华人民共和国民法典》的相关规定处理。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其它事项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在本合同有效期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内，甲方指定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>何俊燕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为甲方项目联系人，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指定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项目联系人。项目联系人承担以下责任：1．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组织签订合同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；2．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及时反馈有关信息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。一方变更项目联系人的，应当及时以书面形式通知另一方。未及时通知并影响本合同履行或造成损失的，应承担相应的责任。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（二）本合同所涉及的采购文件、投标文件、中标通知书、经双方签署确认的文件(包括会议纪要、补充协议、往来信函)均为合同的有效组成部分，与本合同具有同等法律效力。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 w:val="0"/>
        <w:snapToGrid w:val="0"/>
        <w:spacing w:afterLines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双方因履行本合同而发生的争议，应协商、调解解决。协商不成的，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向甲方所在地人民法院提起诉讼。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 w:val="0"/>
        <w:snapToGrid w:val="0"/>
        <w:spacing w:afterLines="0"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（五）本合同在甲乙双方法定代表人或其授权代表签字且盖章之日起生效。合同一式陆份，甲方执肆份，乙方执贰份，具有同等法律效力。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Lines="0" w:line="57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本合同书未尽事项，可由当事人另行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签订补充协议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约定，并作为本合同的组成部分。</w:t>
      </w:r>
    </w:p>
    <w:p>
      <w:pPr>
        <w:keepNext w:val="0"/>
        <w:keepLines w:val="0"/>
        <w:widowControl/>
        <w:suppressLineNumbers w:val="0"/>
        <w:spacing w:afterLines="0" w:line="590" w:lineRule="exact"/>
        <w:ind w:firstLine="0" w:firstLineChars="0"/>
        <w:jc w:val="both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Hans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u w:val="single" w:color="000000"/>
          <w:lang w:bidi="zh-CN"/>
        </w:rPr>
        <w:br w:type="page"/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Hans" w:bidi="ar"/>
          <w14:textFill>
            <w14:solidFill>
              <w14:schemeClr w14:val="tx1"/>
            </w14:solidFill>
          </w14:textFill>
        </w:rPr>
        <w:t>【本页无正文，为《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南繁基地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Hans" w:bidi="ar"/>
          <w14:textFill>
            <w14:solidFill>
              <w14:schemeClr w14:val="tx1"/>
            </w14:solidFill>
          </w14:textFill>
        </w:rPr>
        <w:t>土壤地力提升项目委托合同》甲乙双方签字盖章页】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left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left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甲方（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章）：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乙方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章）：</w:t>
      </w:r>
    </w:p>
    <w:p>
      <w:pPr>
        <w:spacing w:afterLines="0" w:line="590" w:lineRule="exact"/>
        <w:ind w:firstLine="0" w:firstLineChars="0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GB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GB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法定代表人（或授权代表）：    法定代表人（或授权代表）：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日期：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日     日期：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日</w:t>
      </w:r>
    </w:p>
    <w:p>
      <w:pPr>
        <w:pStyle w:val="23"/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left="0" w:leftChars="0"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代理机构（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章）：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GB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after="0" w:line="590" w:lineRule="exact"/>
        <w:ind w:right="0"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法定代表人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或授权代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表）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afterLines="0" w:line="590" w:lineRule="exact"/>
        <w:ind w:left="0" w:firstLine="0" w:firstLineChars="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日期：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70" w:lineRule="exact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/>
    <w:sectPr>
      <w:footerReference r:id="rId3" w:type="default"/>
      <w:pgSz w:w="11906" w:h="16838"/>
      <w:pgMar w:top="1984" w:right="1361" w:bottom="1587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82ADF3"/>
    <w:multiLevelType w:val="multilevel"/>
    <w:tmpl w:val="D582ADF3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5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6"/>
      <w:suff w:val="nothing"/>
      <w:lvlText w:val="%3．"/>
      <w:lvlJc w:val="left"/>
      <w:pPr>
        <w:ind w:left="0" w:firstLine="400"/>
      </w:pPr>
      <w:rPr>
        <w:rFonts w:hint="eastAsia"/>
        <w:b/>
        <w:bCs/>
      </w:rPr>
    </w:lvl>
    <w:lvl w:ilvl="3" w:tentative="0">
      <w:start w:val="1"/>
      <w:numFmt w:val="decimal"/>
      <w:pStyle w:val="7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8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9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10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1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2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2Zjg4MjllMjAwMTQ1ZTFmYWVlZjRjODc0ZDUxZjcifQ=="/>
  </w:docVars>
  <w:rsids>
    <w:rsidRoot w:val="3B511E5A"/>
    <w:rsid w:val="014C3715"/>
    <w:rsid w:val="015A7B77"/>
    <w:rsid w:val="05084D9D"/>
    <w:rsid w:val="07BE2F7C"/>
    <w:rsid w:val="0963211F"/>
    <w:rsid w:val="0C9A0249"/>
    <w:rsid w:val="145004CF"/>
    <w:rsid w:val="17B33E31"/>
    <w:rsid w:val="1B3F684E"/>
    <w:rsid w:val="1FF70F5D"/>
    <w:rsid w:val="20DE74CE"/>
    <w:rsid w:val="21833D96"/>
    <w:rsid w:val="22D81BF5"/>
    <w:rsid w:val="23CD66B1"/>
    <w:rsid w:val="2504784F"/>
    <w:rsid w:val="25707560"/>
    <w:rsid w:val="25D12051"/>
    <w:rsid w:val="2A521C1D"/>
    <w:rsid w:val="2A8F47EE"/>
    <w:rsid w:val="34805B1C"/>
    <w:rsid w:val="355131E9"/>
    <w:rsid w:val="37684A18"/>
    <w:rsid w:val="3970799B"/>
    <w:rsid w:val="39BD32FF"/>
    <w:rsid w:val="39ED01CA"/>
    <w:rsid w:val="3AD74C17"/>
    <w:rsid w:val="3B511E5A"/>
    <w:rsid w:val="407E4ADB"/>
    <w:rsid w:val="41DA2A8E"/>
    <w:rsid w:val="441F0B81"/>
    <w:rsid w:val="46BF0463"/>
    <w:rsid w:val="4D1D5B84"/>
    <w:rsid w:val="4E7A66AD"/>
    <w:rsid w:val="50F360E5"/>
    <w:rsid w:val="518D5F44"/>
    <w:rsid w:val="51B15182"/>
    <w:rsid w:val="51CB489B"/>
    <w:rsid w:val="55946FBE"/>
    <w:rsid w:val="57D026CB"/>
    <w:rsid w:val="5A2356C5"/>
    <w:rsid w:val="5A9E32D5"/>
    <w:rsid w:val="5BA56E89"/>
    <w:rsid w:val="5CFC5526"/>
    <w:rsid w:val="61E914C0"/>
    <w:rsid w:val="62C531A2"/>
    <w:rsid w:val="661170F7"/>
    <w:rsid w:val="6A805F80"/>
    <w:rsid w:val="6A97250C"/>
    <w:rsid w:val="6D4E33A0"/>
    <w:rsid w:val="71716B9F"/>
    <w:rsid w:val="758510AE"/>
    <w:rsid w:val="77AB76EC"/>
    <w:rsid w:val="7B3F5C18"/>
    <w:rsid w:val="7B791A94"/>
    <w:rsid w:val="7BA1172B"/>
    <w:rsid w:val="7BD6399E"/>
    <w:rsid w:val="7C335ABB"/>
    <w:rsid w:val="7F04776E"/>
    <w:rsid w:val="7F0C38D2"/>
    <w:rsid w:val="7F40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1"/>
    <w:autoRedefine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ind w:firstLineChars="0"/>
      <w:outlineLvl w:val="0"/>
    </w:pPr>
    <w:rPr>
      <w:rFonts w:ascii="Times New Roman" w:hAnsi="Times New Roman" w:eastAsia="仿宋" w:cs="Times New Roman"/>
      <w:b/>
      <w:kern w:val="44"/>
      <w:sz w:val="44"/>
      <w:szCs w:val="28"/>
    </w:rPr>
  </w:style>
  <w:style w:type="paragraph" w:styleId="5">
    <w:name w:val="heading 2"/>
    <w:basedOn w:val="1"/>
    <w:next w:val="1"/>
    <w:link w:val="20"/>
    <w:autoRedefine/>
    <w:semiHidden/>
    <w:unhideWhenUsed/>
    <w:qFormat/>
    <w:uiPriority w:val="0"/>
    <w:pPr>
      <w:keepNext/>
      <w:keepLines/>
      <w:numPr>
        <w:ilvl w:val="1"/>
        <w:numId w:val="1"/>
      </w:numPr>
      <w:spacing w:line="240" w:lineRule="auto"/>
      <w:ind w:firstLineChars="0"/>
      <w:outlineLvl w:val="1"/>
    </w:pPr>
    <w:rPr>
      <w:rFonts w:ascii="Arial" w:hAnsi="Arial" w:eastAsia="仿宋" w:cs="Times New Roman"/>
      <w:b/>
      <w:sz w:val="32"/>
      <w:szCs w:val="28"/>
    </w:rPr>
  </w:style>
  <w:style w:type="paragraph" w:styleId="6">
    <w:name w:val="heading 3"/>
    <w:basedOn w:val="1"/>
    <w:next w:val="1"/>
    <w:autoRedefine/>
    <w:semiHidden/>
    <w:unhideWhenUsed/>
    <w:qFormat/>
    <w:uiPriority w:val="0"/>
    <w:pPr>
      <w:keepNext/>
      <w:keepLines/>
      <w:numPr>
        <w:ilvl w:val="2"/>
        <w:numId w:val="1"/>
      </w:numPr>
      <w:autoSpaceDE w:val="0"/>
      <w:autoSpaceDN w:val="0"/>
      <w:spacing w:before="120" w:beforeLines="0" w:after="120" w:afterLines="0" w:line="416" w:lineRule="atLeast"/>
      <w:ind w:firstLine="400"/>
      <w:outlineLvl w:val="2"/>
    </w:pPr>
    <w:rPr>
      <w:rFonts w:ascii="黑体" w:hAnsi="黑体" w:cs="Times New Roman"/>
      <w:b/>
      <w:sz w:val="32"/>
      <w:szCs w:val="20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firstLine="403" w:firstLineChars="0"/>
      <w:outlineLvl w:val="3"/>
    </w:pPr>
    <w:rPr>
      <w:rFonts w:ascii="Arial" w:hAnsi="Arial" w:cs="Times New Roman"/>
      <w:b/>
      <w:sz w:val="30"/>
    </w:rPr>
  </w:style>
  <w:style w:type="paragraph" w:styleId="8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 w:firstLineChars="0"/>
      <w:outlineLvl w:val="4"/>
    </w:pPr>
    <w:rPr>
      <w:b/>
      <w:sz w:val="28"/>
    </w:rPr>
  </w:style>
  <w:style w:type="paragraph" w:styleId="9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5"/>
    </w:pPr>
    <w:rPr>
      <w:rFonts w:ascii="Arial" w:hAnsi="Arial" w:eastAsia="黑体"/>
      <w:b/>
      <w:sz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6"/>
    </w:pPr>
    <w:rPr>
      <w:b/>
      <w:sz w:val="24"/>
    </w:rPr>
  </w:style>
  <w:style w:type="paragraph" w:styleId="11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 w:firstLineChars="0"/>
      <w:outlineLvl w:val="8"/>
    </w:pPr>
    <w:rPr>
      <w:rFonts w:ascii="Arial" w:hAnsi="Arial" w:eastAsia="黑体"/>
      <w:sz w:val="21"/>
    </w:rPr>
  </w:style>
  <w:style w:type="character" w:default="1" w:styleId="19">
    <w:name w:val="Default Paragraph Font"/>
    <w:autoRedefine/>
    <w:semiHidden/>
    <w:qFormat/>
    <w:uiPriority w:val="0"/>
  </w:style>
  <w:style w:type="table" w:default="1" w:styleId="1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 w:afterAutospacing="0"/>
    </w:pPr>
  </w:style>
  <w:style w:type="paragraph" w:styleId="3">
    <w:name w:val="Body Text First Indent"/>
    <w:basedOn w:val="2"/>
    <w:autoRedefine/>
    <w:qFormat/>
    <w:uiPriority w:val="0"/>
    <w:pPr>
      <w:ind w:firstLine="420" w:firstLineChars="100"/>
    </w:pPr>
    <w:rPr>
      <w:rFonts w:eastAsia="宋体"/>
      <w:sz w:val="32"/>
    </w:rPr>
  </w:style>
  <w:style w:type="paragraph" w:styleId="13">
    <w:name w:val="Normal Indent"/>
    <w:basedOn w:val="1"/>
    <w:autoRedefine/>
    <w:qFormat/>
    <w:uiPriority w:val="0"/>
    <w:pPr>
      <w:ind w:firstLine="420" w:firstLineChars="200"/>
    </w:pPr>
  </w:style>
  <w:style w:type="paragraph" w:styleId="1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6">
    <w:name w:val="footnote text"/>
    <w:basedOn w:val="1"/>
    <w:autoRedefine/>
    <w:qFormat/>
    <w:uiPriority w:val="0"/>
    <w:rPr>
      <w:sz w:val="24"/>
    </w:rPr>
  </w:style>
  <w:style w:type="paragraph" w:styleId="17">
    <w:name w:val="toc 2"/>
    <w:basedOn w:val="1"/>
    <w:next w:val="1"/>
    <w:autoRedefine/>
    <w:qFormat/>
    <w:uiPriority w:val="39"/>
    <w:pPr>
      <w:ind w:left="210"/>
    </w:pPr>
    <w:rPr>
      <w:smallCaps/>
      <w:sz w:val="20"/>
    </w:rPr>
  </w:style>
  <w:style w:type="character" w:customStyle="1" w:styleId="20">
    <w:name w:val="标题 2 字符"/>
    <w:link w:val="5"/>
    <w:autoRedefine/>
    <w:qFormat/>
    <w:uiPriority w:val="0"/>
    <w:rPr>
      <w:rFonts w:ascii="Arial" w:hAnsi="Arial" w:eastAsia="仿宋" w:cs="Times New Roman"/>
      <w:b/>
      <w:sz w:val="32"/>
      <w:szCs w:val="28"/>
    </w:rPr>
  </w:style>
  <w:style w:type="character" w:customStyle="1" w:styleId="21">
    <w:name w:val="标题 1 Char"/>
    <w:link w:val="4"/>
    <w:autoRedefine/>
    <w:qFormat/>
    <w:uiPriority w:val="0"/>
    <w:rPr>
      <w:rFonts w:ascii="Times New Roman" w:hAnsi="Times New Roman" w:eastAsia="仿宋" w:cs="Times New Roman"/>
      <w:b/>
      <w:kern w:val="44"/>
      <w:sz w:val="44"/>
      <w:szCs w:val="28"/>
    </w:rPr>
  </w:style>
  <w:style w:type="paragraph" w:customStyle="1" w:styleId="22">
    <w:name w:val="Table Paragraph"/>
    <w:basedOn w:val="1"/>
    <w:autoRedefine/>
    <w:qFormat/>
    <w:uiPriority w:val="1"/>
    <w:pPr>
      <w:spacing w:line="240" w:lineRule="auto"/>
    </w:pPr>
    <w:rPr>
      <w:rFonts w:hAnsi="Times New Roman" w:cs="宋体"/>
      <w:sz w:val="24"/>
      <w:szCs w:val="24"/>
    </w:rPr>
  </w:style>
  <w:style w:type="paragraph" w:customStyle="1" w:styleId="23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24">
    <w:name w:val="样式 首行缩进:  2 字符"/>
    <w:basedOn w:val="1"/>
    <w:autoRedefine/>
    <w:qFormat/>
    <w:uiPriority w:val="0"/>
    <w:pPr>
      <w:ind w:firstLine="560"/>
    </w:pPr>
    <w:rPr>
      <w:rFonts w:ascii="Times New Roman" w:hAnsi="Times New Roman" w:eastAsia="仿宋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1322</Words>
  <Characters>1415</Characters>
  <Lines>0</Lines>
  <Paragraphs>0</Paragraphs>
  <TotalTime>5</TotalTime>
  <ScaleCrop>false</ScaleCrop>
  <LinksUpToDate>false</LinksUpToDate>
  <CharactersWithSpaces>1702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2025-06-06T10:21:00Z</dcterms:created>
  <dc:creator>张余卿</dc:creator>
  <cp:lastModifiedBy>nfj818</cp:lastModifiedBy>
  <dcterms:modified xsi:type="dcterms:W3CDTF">2025-06-12T14:34:11Z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E7A85FFA09ED4B16B91ECCA8EDB98EBC_11</vt:lpwstr>
  </property>
  <property fmtid="{D5CDD505-2E9C-101B-9397-08002B2CF9AE}" pid="4" name="KSOTemplateDocerSaveRecord">
    <vt:lpwstr>eyJoZGlkIjoiYjYxYTljZDk1NTA3YmExOTY5YmJhNDM1ZmQyMzExMTMiLCJ1c2VySWQiOiIxMDQ5Nzc4NzQ5In0=</vt:lpwstr>
  </property>
</Properties>
</file>