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color w:val="auto"/>
          <w:sz w:val="48"/>
          <w:szCs w:val="48"/>
          <w:highlight w:val="none"/>
        </w:rPr>
      </w:pPr>
      <w:bookmarkStart w:id="8" w:name="_GoBack"/>
      <w:r>
        <w:rPr>
          <w:rFonts w:hint="eastAsia"/>
          <w:b/>
          <w:bCs/>
          <w:color w:val="auto"/>
          <w:sz w:val="48"/>
          <w:szCs w:val="48"/>
          <w:highlight w:val="none"/>
        </w:rPr>
        <w:t>采购需求</w:t>
      </w:r>
    </w:p>
    <w:p>
      <w:pPr>
        <w:pStyle w:val="2"/>
        <w:widowControl/>
        <w:wordWrap w:val="0"/>
        <w:topLinePunct/>
        <w:autoSpaceDE w:val="0"/>
        <w:autoSpaceDN w:val="0"/>
        <w:adjustRightInd w:val="0"/>
        <w:snapToGrid w:val="0"/>
        <w:spacing w:before="312" w:beforeLines="100" w:after="312" w:afterLines="100"/>
        <w:textAlignment w:val="baseline"/>
        <w:rPr>
          <w:rFonts w:hint="eastAsia" w:ascii="宋体" w:hAnsi="宋体" w:eastAsia="宋体" w:cs="宋体"/>
          <w:color w:val="auto"/>
          <w:sz w:val="24"/>
          <w:szCs w:val="24"/>
          <w:highlight w:val="none"/>
        </w:rPr>
      </w:pPr>
      <w:bookmarkStart w:id="0" w:name="_Toc10919"/>
      <w:r>
        <w:rPr>
          <w:rFonts w:hint="eastAsia" w:ascii="宋体" w:hAnsi="宋体" w:eastAsia="宋体" w:cs="宋体"/>
          <w:color w:val="auto"/>
          <w:sz w:val="24"/>
          <w:szCs w:val="24"/>
          <w:highlight w:val="none"/>
        </w:rPr>
        <w:t>一、采购需求一览表</w:t>
      </w:r>
      <w:bookmarkEnd w:id="0"/>
    </w:p>
    <w:tbl>
      <w:tblPr>
        <w:tblStyle w:val="5"/>
        <w:tblW w:w="8422" w:type="dxa"/>
        <w:tblInd w:w="96" w:type="dxa"/>
        <w:tblLayout w:type="fixed"/>
        <w:tblCellMar>
          <w:top w:w="0" w:type="dxa"/>
          <w:left w:w="108" w:type="dxa"/>
          <w:bottom w:w="0" w:type="dxa"/>
          <w:right w:w="108" w:type="dxa"/>
        </w:tblCellMar>
      </w:tblPr>
      <w:tblGrid>
        <w:gridCol w:w="597"/>
        <w:gridCol w:w="597"/>
        <w:gridCol w:w="1159"/>
        <w:gridCol w:w="816"/>
        <w:gridCol w:w="962"/>
        <w:gridCol w:w="1464"/>
        <w:gridCol w:w="871"/>
        <w:gridCol w:w="978"/>
        <w:gridCol w:w="978"/>
      </w:tblGrid>
      <w:tr>
        <w:tblPrEx>
          <w:tblLayout w:type="fixed"/>
          <w:tblCellMar>
            <w:top w:w="0" w:type="dxa"/>
            <w:left w:w="108" w:type="dxa"/>
            <w:bottom w:w="0" w:type="dxa"/>
            <w:right w:w="108" w:type="dxa"/>
          </w:tblCellMar>
        </w:tblPrEx>
        <w:trPr>
          <w:trHeight w:val="688" w:hRule="atLeast"/>
        </w:trPr>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kern w:val="0"/>
                <w:sz w:val="18"/>
                <w:szCs w:val="18"/>
                <w:highlight w:val="none"/>
                <w:lang w:bidi="ar"/>
              </w:rPr>
            </w:pPr>
            <w:r>
              <w:rPr>
                <w:rFonts w:hint="eastAsia" w:ascii="宋体" w:hAnsi="宋体" w:cs="宋体"/>
                <w:b/>
                <w:bCs/>
                <w:color w:val="auto"/>
                <w:kern w:val="0"/>
                <w:sz w:val="18"/>
                <w:szCs w:val="18"/>
                <w:highlight w:val="none"/>
                <w:lang w:bidi="ar"/>
              </w:rPr>
              <w:t>包号</w:t>
            </w: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序号</w:t>
            </w: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采购品目名称</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单位</w:t>
            </w: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数量</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预算单价（单价限价）（万元）</w:t>
            </w:r>
          </w:p>
        </w:tc>
        <w:tc>
          <w:tcPr>
            <w:tcW w:w="8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是否允许进口设备投标</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kern w:val="0"/>
                <w:sz w:val="18"/>
                <w:szCs w:val="18"/>
                <w:highlight w:val="none"/>
                <w:lang w:bidi="ar"/>
              </w:rPr>
            </w:pPr>
            <w:r>
              <w:rPr>
                <w:rFonts w:hint="eastAsia" w:ascii="宋体" w:hAnsi="宋体" w:cs="宋体"/>
                <w:b/>
                <w:bCs/>
                <w:color w:val="auto"/>
                <w:kern w:val="0"/>
                <w:sz w:val="18"/>
                <w:szCs w:val="18"/>
                <w:highlight w:val="none"/>
                <w:lang w:bidi="ar"/>
              </w:rPr>
              <w:t>是否核心产品</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备注</w:t>
            </w:r>
          </w:p>
        </w:tc>
      </w:tr>
      <w:tr>
        <w:tblPrEx>
          <w:tblLayout w:type="fixed"/>
          <w:tblCellMar>
            <w:top w:w="0" w:type="dxa"/>
            <w:left w:w="108" w:type="dxa"/>
            <w:bottom w:w="0" w:type="dxa"/>
            <w:right w:w="108" w:type="dxa"/>
          </w:tblCellMar>
        </w:tblPrEx>
        <w:trPr>
          <w:trHeight w:val="688" w:hRule="atLeast"/>
        </w:trPr>
        <w:tc>
          <w:tcPr>
            <w:tcW w:w="597" w:type="dxa"/>
            <w:vMerge w:val="restart"/>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kern w:val="0"/>
                <w:sz w:val="18"/>
                <w:szCs w:val="18"/>
                <w:highlight w:val="none"/>
                <w:lang w:bidi="ar"/>
              </w:rPr>
            </w:pPr>
            <w:r>
              <w:rPr>
                <w:rFonts w:hint="eastAsia" w:ascii="宋体" w:hAnsi="宋体" w:cs="宋体"/>
                <w:b/>
                <w:bCs/>
                <w:color w:val="auto"/>
                <w:kern w:val="0"/>
                <w:sz w:val="18"/>
                <w:szCs w:val="18"/>
                <w:highlight w:val="none"/>
                <w:lang w:bidi="ar"/>
              </w:rPr>
              <w:t>包1</w:t>
            </w: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1</w:t>
            </w: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液体发酵系统</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套</w:t>
            </w: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1</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 xml:space="preserve">82.00 </w:t>
            </w:r>
          </w:p>
        </w:tc>
        <w:tc>
          <w:tcPr>
            <w:tcW w:w="8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否</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否</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b/>
                <w:bCs/>
                <w:color w:val="auto"/>
                <w:sz w:val="18"/>
                <w:szCs w:val="18"/>
                <w:highlight w:val="none"/>
              </w:rPr>
            </w:pPr>
          </w:p>
        </w:tc>
      </w:tr>
      <w:tr>
        <w:tblPrEx>
          <w:tblLayout w:type="fixed"/>
          <w:tblCellMar>
            <w:top w:w="0" w:type="dxa"/>
            <w:left w:w="108" w:type="dxa"/>
            <w:bottom w:w="0" w:type="dxa"/>
            <w:right w:w="108" w:type="dxa"/>
          </w:tblCellMar>
        </w:tblPrEx>
        <w:trPr>
          <w:trHeight w:val="688" w:hRule="atLeast"/>
        </w:trPr>
        <w:tc>
          <w:tcPr>
            <w:tcW w:w="597" w:type="dxa"/>
            <w:vMerge w:val="continue"/>
            <w:tcBorders>
              <w:left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kern w:val="0"/>
                <w:sz w:val="18"/>
                <w:szCs w:val="18"/>
                <w:highlight w:val="none"/>
                <w:lang w:bidi="ar"/>
              </w:rPr>
            </w:pP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2</w:t>
            </w: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低温超浓缩仪</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套</w:t>
            </w: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1</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 xml:space="preserve">107.00 </w:t>
            </w:r>
          </w:p>
        </w:tc>
        <w:tc>
          <w:tcPr>
            <w:tcW w:w="8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否</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是</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b/>
                <w:bCs/>
                <w:color w:val="auto"/>
                <w:sz w:val="18"/>
                <w:szCs w:val="18"/>
                <w:highlight w:val="none"/>
              </w:rPr>
            </w:pPr>
          </w:p>
        </w:tc>
      </w:tr>
      <w:tr>
        <w:tblPrEx>
          <w:tblLayout w:type="fixed"/>
          <w:tblCellMar>
            <w:top w:w="0" w:type="dxa"/>
            <w:left w:w="108" w:type="dxa"/>
            <w:bottom w:w="0" w:type="dxa"/>
            <w:right w:w="108" w:type="dxa"/>
          </w:tblCellMar>
        </w:tblPrEx>
        <w:trPr>
          <w:trHeight w:val="471" w:hRule="atLeast"/>
        </w:trPr>
        <w:tc>
          <w:tcPr>
            <w:tcW w:w="597" w:type="dxa"/>
            <w:vMerge w:val="continue"/>
            <w:tcBorders>
              <w:left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kern w:val="0"/>
                <w:sz w:val="18"/>
                <w:szCs w:val="18"/>
                <w:highlight w:val="none"/>
                <w:lang w:bidi="ar"/>
              </w:rPr>
            </w:pP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3</w:t>
            </w: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超低温冰箱</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台</w:t>
            </w: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8</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 xml:space="preserve">5.30 </w:t>
            </w:r>
          </w:p>
        </w:tc>
        <w:tc>
          <w:tcPr>
            <w:tcW w:w="8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否</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否</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b/>
                <w:bCs/>
                <w:color w:val="auto"/>
                <w:sz w:val="18"/>
                <w:szCs w:val="18"/>
                <w:highlight w:val="none"/>
              </w:rPr>
            </w:pPr>
          </w:p>
        </w:tc>
      </w:tr>
      <w:tr>
        <w:tblPrEx>
          <w:tblLayout w:type="fixed"/>
          <w:tblCellMar>
            <w:top w:w="0" w:type="dxa"/>
            <w:left w:w="108" w:type="dxa"/>
            <w:bottom w:w="0" w:type="dxa"/>
            <w:right w:w="108" w:type="dxa"/>
          </w:tblCellMar>
        </w:tblPrEx>
        <w:trPr>
          <w:trHeight w:val="688" w:hRule="atLeast"/>
        </w:trPr>
        <w:tc>
          <w:tcPr>
            <w:tcW w:w="597" w:type="dxa"/>
            <w:vMerge w:val="continue"/>
            <w:tcBorders>
              <w:left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kern w:val="0"/>
                <w:sz w:val="18"/>
                <w:szCs w:val="18"/>
                <w:highlight w:val="none"/>
                <w:lang w:bidi="ar"/>
              </w:rPr>
            </w:pP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4</w:t>
            </w: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医用冷藏冷冻箱</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台</w:t>
            </w: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8</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 xml:space="preserve">2.20 </w:t>
            </w:r>
          </w:p>
        </w:tc>
        <w:tc>
          <w:tcPr>
            <w:tcW w:w="8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否</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否</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b/>
                <w:bCs/>
                <w:color w:val="auto"/>
                <w:sz w:val="18"/>
                <w:szCs w:val="18"/>
                <w:highlight w:val="none"/>
              </w:rPr>
            </w:pPr>
          </w:p>
        </w:tc>
      </w:tr>
      <w:tr>
        <w:tblPrEx>
          <w:tblLayout w:type="fixed"/>
          <w:tblCellMar>
            <w:top w:w="0" w:type="dxa"/>
            <w:left w:w="108" w:type="dxa"/>
            <w:bottom w:w="0" w:type="dxa"/>
            <w:right w:w="108" w:type="dxa"/>
          </w:tblCellMar>
        </w:tblPrEx>
        <w:trPr>
          <w:trHeight w:val="688" w:hRule="atLeast"/>
        </w:trPr>
        <w:tc>
          <w:tcPr>
            <w:tcW w:w="597" w:type="dxa"/>
            <w:vMerge w:val="continue"/>
            <w:tcBorders>
              <w:left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kern w:val="0"/>
                <w:sz w:val="18"/>
                <w:szCs w:val="18"/>
                <w:highlight w:val="none"/>
                <w:lang w:bidi="ar"/>
              </w:rPr>
            </w:pP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5</w:t>
            </w: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超净工作台</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台</w:t>
            </w: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4</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 xml:space="preserve">1.10 </w:t>
            </w:r>
          </w:p>
        </w:tc>
        <w:tc>
          <w:tcPr>
            <w:tcW w:w="8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否</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否</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b/>
                <w:bCs/>
                <w:color w:val="auto"/>
                <w:sz w:val="18"/>
                <w:szCs w:val="18"/>
                <w:highlight w:val="none"/>
              </w:rPr>
            </w:pPr>
          </w:p>
        </w:tc>
      </w:tr>
      <w:tr>
        <w:tblPrEx>
          <w:tblLayout w:type="fixed"/>
          <w:tblCellMar>
            <w:top w:w="0" w:type="dxa"/>
            <w:left w:w="108" w:type="dxa"/>
            <w:bottom w:w="0" w:type="dxa"/>
            <w:right w:w="108" w:type="dxa"/>
          </w:tblCellMar>
        </w:tblPrEx>
        <w:trPr>
          <w:trHeight w:val="688" w:hRule="atLeast"/>
        </w:trPr>
        <w:tc>
          <w:tcPr>
            <w:tcW w:w="597" w:type="dxa"/>
            <w:vMerge w:val="continue"/>
            <w:tcBorders>
              <w:left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kern w:val="0"/>
                <w:sz w:val="18"/>
                <w:szCs w:val="18"/>
                <w:highlight w:val="none"/>
                <w:lang w:bidi="ar"/>
              </w:rPr>
            </w:pP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6</w:t>
            </w: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单人超净工作台</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台</w:t>
            </w: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2</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 xml:space="preserve">0.70 </w:t>
            </w:r>
          </w:p>
        </w:tc>
        <w:tc>
          <w:tcPr>
            <w:tcW w:w="8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否</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否</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b/>
                <w:bCs/>
                <w:color w:val="auto"/>
                <w:sz w:val="18"/>
                <w:szCs w:val="18"/>
                <w:highlight w:val="none"/>
              </w:rPr>
            </w:pPr>
          </w:p>
        </w:tc>
      </w:tr>
      <w:tr>
        <w:tblPrEx>
          <w:tblLayout w:type="fixed"/>
          <w:tblCellMar>
            <w:top w:w="0" w:type="dxa"/>
            <w:left w:w="108" w:type="dxa"/>
            <w:bottom w:w="0" w:type="dxa"/>
            <w:right w:w="108" w:type="dxa"/>
          </w:tblCellMar>
        </w:tblPrEx>
        <w:trPr>
          <w:trHeight w:val="688" w:hRule="atLeast"/>
        </w:trPr>
        <w:tc>
          <w:tcPr>
            <w:tcW w:w="597" w:type="dxa"/>
            <w:vMerge w:val="continue"/>
            <w:tcBorders>
              <w:left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kern w:val="0"/>
                <w:sz w:val="18"/>
                <w:szCs w:val="18"/>
                <w:highlight w:val="none"/>
                <w:lang w:bidi="ar"/>
              </w:rPr>
            </w:pP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7</w:t>
            </w: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台式离心机</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台</w:t>
            </w: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2</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 xml:space="preserve">1.80 </w:t>
            </w:r>
          </w:p>
        </w:tc>
        <w:tc>
          <w:tcPr>
            <w:tcW w:w="8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否</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否</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b/>
                <w:bCs/>
                <w:color w:val="auto"/>
                <w:sz w:val="18"/>
                <w:szCs w:val="18"/>
                <w:highlight w:val="none"/>
              </w:rPr>
            </w:pPr>
          </w:p>
        </w:tc>
      </w:tr>
      <w:tr>
        <w:tblPrEx>
          <w:tblLayout w:type="fixed"/>
          <w:tblCellMar>
            <w:top w:w="0" w:type="dxa"/>
            <w:left w:w="108" w:type="dxa"/>
            <w:bottom w:w="0" w:type="dxa"/>
            <w:right w:w="108" w:type="dxa"/>
          </w:tblCellMar>
        </w:tblPrEx>
        <w:trPr>
          <w:trHeight w:val="688" w:hRule="atLeast"/>
        </w:trPr>
        <w:tc>
          <w:tcPr>
            <w:tcW w:w="597" w:type="dxa"/>
            <w:vMerge w:val="continue"/>
            <w:tcBorders>
              <w:left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kern w:val="0"/>
                <w:sz w:val="18"/>
                <w:szCs w:val="18"/>
                <w:highlight w:val="none"/>
                <w:lang w:bidi="ar"/>
              </w:rPr>
            </w:pP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8</w:t>
            </w: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叠加式全温振荡摇床</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台</w:t>
            </w: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4</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 xml:space="preserve">5.20 </w:t>
            </w:r>
          </w:p>
        </w:tc>
        <w:tc>
          <w:tcPr>
            <w:tcW w:w="8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否</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否</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b/>
                <w:bCs/>
                <w:color w:val="auto"/>
                <w:sz w:val="18"/>
                <w:szCs w:val="18"/>
                <w:highlight w:val="none"/>
              </w:rPr>
            </w:pPr>
          </w:p>
        </w:tc>
      </w:tr>
      <w:tr>
        <w:tblPrEx>
          <w:tblLayout w:type="fixed"/>
          <w:tblCellMar>
            <w:top w:w="0" w:type="dxa"/>
            <w:left w:w="108" w:type="dxa"/>
            <w:bottom w:w="0" w:type="dxa"/>
            <w:right w:w="108" w:type="dxa"/>
          </w:tblCellMar>
        </w:tblPrEx>
        <w:trPr>
          <w:trHeight w:val="688" w:hRule="atLeast"/>
        </w:trPr>
        <w:tc>
          <w:tcPr>
            <w:tcW w:w="597" w:type="dxa"/>
            <w:vMerge w:val="continue"/>
            <w:tcBorders>
              <w:left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kern w:val="0"/>
                <w:sz w:val="18"/>
                <w:szCs w:val="18"/>
                <w:highlight w:val="none"/>
                <w:lang w:bidi="ar"/>
              </w:rPr>
            </w:pP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9</w:t>
            </w: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生化培养箱</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台</w:t>
            </w: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6</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 xml:space="preserve">1.30 </w:t>
            </w:r>
          </w:p>
        </w:tc>
        <w:tc>
          <w:tcPr>
            <w:tcW w:w="8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否</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否</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b/>
                <w:bCs/>
                <w:color w:val="auto"/>
                <w:sz w:val="18"/>
                <w:szCs w:val="18"/>
                <w:highlight w:val="none"/>
              </w:rPr>
            </w:pPr>
          </w:p>
        </w:tc>
      </w:tr>
      <w:tr>
        <w:tblPrEx>
          <w:tblLayout w:type="fixed"/>
          <w:tblCellMar>
            <w:top w:w="0" w:type="dxa"/>
            <w:left w:w="108" w:type="dxa"/>
            <w:bottom w:w="0" w:type="dxa"/>
            <w:right w:w="108" w:type="dxa"/>
          </w:tblCellMar>
        </w:tblPrEx>
        <w:trPr>
          <w:trHeight w:val="442" w:hRule="atLeast"/>
        </w:trPr>
        <w:tc>
          <w:tcPr>
            <w:tcW w:w="597" w:type="dxa"/>
            <w:vMerge w:val="continue"/>
            <w:tcBorders>
              <w:left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kern w:val="0"/>
                <w:sz w:val="18"/>
                <w:szCs w:val="18"/>
                <w:highlight w:val="none"/>
                <w:lang w:bidi="ar"/>
              </w:rPr>
            </w:pP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10</w:t>
            </w: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管式离心机</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台</w:t>
            </w: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1</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 xml:space="preserve">5.90 </w:t>
            </w:r>
          </w:p>
        </w:tc>
        <w:tc>
          <w:tcPr>
            <w:tcW w:w="8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否</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否</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b/>
                <w:bCs/>
                <w:color w:val="auto"/>
                <w:sz w:val="18"/>
                <w:szCs w:val="18"/>
                <w:highlight w:val="none"/>
              </w:rPr>
            </w:pPr>
          </w:p>
        </w:tc>
      </w:tr>
      <w:tr>
        <w:tblPrEx>
          <w:tblLayout w:type="fixed"/>
          <w:tblCellMar>
            <w:top w:w="0" w:type="dxa"/>
            <w:left w:w="108" w:type="dxa"/>
            <w:bottom w:w="0" w:type="dxa"/>
            <w:right w:w="108" w:type="dxa"/>
          </w:tblCellMar>
        </w:tblPrEx>
        <w:trPr>
          <w:trHeight w:val="688" w:hRule="atLeast"/>
        </w:trPr>
        <w:tc>
          <w:tcPr>
            <w:tcW w:w="597" w:type="dxa"/>
            <w:vMerge w:val="continue"/>
            <w:tcBorders>
              <w:left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kern w:val="0"/>
                <w:sz w:val="18"/>
                <w:szCs w:val="18"/>
                <w:highlight w:val="none"/>
                <w:lang w:bidi="ar"/>
              </w:rPr>
            </w:pP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11</w:t>
            </w: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研磨仪</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台</w:t>
            </w: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1</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 xml:space="preserve">2.80 </w:t>
            </w:r>
          </w:p>
        </w:tc>
        <w:tc>
          <w:tcPr>
            <w:tcW w:w="8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否</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否</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b/>
                <w:bCs/>
                <w:color w:val="auto"/>
                <w:sz w:val="18"/>
                <w:szCs w:val="18"/>
                <w:highlight w:val="none"/>
              </w:rPr>
            </w:pPr>
          </w:p>
        </w:tc>
      </w:tr>
      <w:tr>
        <w:tblPrEx>
          <w:tblLayout w:type="fixed"/>
          <w:tblCellMar>
            <w:top w:w="0" w:type="dxa"/>
            <w:left w:w="108" w:type="dxa"/>
            <w:bottom w:w="0" w:type="dxa"/>
            <w:right w:w="108" w:type="dxa"/>
          </w:tblCellMar>
        </w:tblPrEx>
        <w:trPr>
          <w:trHeight w:val="688" w:hRule="atLeast"/>
        </w:trPr>
        <w:tc>
          <w:tcPr>
            <w:tcW w:w="597" w:type="dxa"/>
            <w:vMerge w:val="continue"/>
            <w:tcBorders>
              <w:left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kern w:val="0"/>
                <w:sz w:val="18"/>
                <w:szCs w:val="18"/>
                <w:highlight w:val="none"/>
                <w:lang w:bidi="ar"/>
              </w:rPr>
            </w:pP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12</w:t>
            </w: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超纯水纯水一体机</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套</w:t>
            </w: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2</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 xml:space="preserve">3.40 </w:t>
            </w:r>
          </w:p>
        </w:tc>
        <w:tc>
          <w:tcPr>
            <w:tcW w:w="8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否</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否</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b/>
                <w:bCs/>
                <w:color w:val="auto"/>
                <w:sz w:val="18"/>
                <w:szCs w:val="18"/>
                <w:highlight w:val="none"/>
              </w:rPr>
            </w:pPr>
          </w:p>
        </w:tc>
      </w:tr>
      <w:tr>
        <w:tblPrEx>
          <w:tblLayout w:type="fixed"/>
          <w:tblCellMar>
            <w:top w:w="0" w:type="dxa"/>
            <w:left w:w="108" w:type="dxa"/>
            <w:bottom w:w="0" w:type="dxa"/>
            <w:right w:w="108" w:type="dxa"/>
          </w:tblCellMar>
        </w:tblPrEx>
        <w:trPr>
          <w:trHeight w:val="688" w:hRule="atLeast"/>
        </w:trPr>
        <w:tc>
          <w:tcPr>
            <w:tcW w:w="597" w:type="dxa"/>
            <w:vMerge w:val="continue"/>
            <w:tcBorders>
              <w:left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kern w:val="0"/>
                <w:sz w:val="18"/>
                <w:szCs w:val="18"/>
                <w:highlight w:val="none"/>
                <w:lang w:bidi="ar"/>
              </w:rPr>
            </w:pP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13</w:t>
            </w: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基因扩增仪</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台</w:t>
            </w: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4</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 xml:space="preserve">3.50 </w:t>
            </w:r>
          </w:p>
        </w:tc>
        <w:tc>
          <w:tcPr>
            <w:tcW w:w="8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否</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否</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b/>
                <w:bCs/>
                <w:color w:val="auto"/>
                <w:sz w:val="18"/>
                <w:szCs w:val="18"/>
                <w:highlight w:val="none"/>
              </w:rPr>
            </w:pPr>
          </w:p>
        </w:tc>
      </w:tr>
      <w:tr>
        <w:tblPrEx>
          <w:tblLayout w:type="fixed"/>
          <w:tblCellMar>
            <w:top w:w="0" w:type="dxa"/>
            <w:left w:w="108" w:type="dxa"/>
            <w:bottom w:w="0" w:type="dxa"/>
            <w:right w:w="108" w:type="dxa"/>
          </w:tblCellMar>
        </w:tblPrEx>
        <w:trPr>
          <w:trHeight w:val="580" w:hRule="atLeast"/>
        </w:trPr>
        <w:tc>
          <w:tcPr>
            <w:tcW w:w="597" w:type="dxa"/>
            <w:vMerge w:val="continue"/>
            <w:tcBorders>
              <w:left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kern w:val="0"/>
                <w:sz w:val="18"/>
                <w:szCs w:val="18"/>
                <w:highlight w:val="none"/>
                <w:lang w:bidi="ar"/>
              </w:rPr>
            </w:pP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14</w:t>
            </w: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超微量分光光度计</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台</w:t>
            </w: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1</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 xml:space="preserve">5.90 </w:t>
            </w:r>
          </w:p>
        </w:tc>
        <w:tc>
          <w:tcPr>
            <w:tcW w:w="8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否</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否</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b/>
                <w:bCs/>
                <w:color w:val="auto"/>
                <w:sz w:val="18"/>
                <w:szCs w:val="18"/>
                <w:highlight w:val="none"/>
              </w:rPr>
            </w:pPr>
          </w:p>
        </w:tc>
      </w:tr>
      <w:tr>
        <w:tblPrEx>
          <w:tblLayout w:type="fixed"/>
          <w:tblCellMar>
            <w:top w:w="0" w:type="dxa"/>
            <w:left w:w="108" w:type="dxa"/>
            <w:bottom w:w="0" w:type="dxa"/>
            <w:right w:w="108" w:type="dxa"/>
          </w:tblCellMar>
        </w:tblPrEx>
        <w:trPr>
          <w:trHeight w:val="688" w:hRule="atLeast"/>
        </w:trPr>
        <w:tc>
          <w:tcPr>
            <w:tcW w:w="597" w:type="dxa"/>
            <w:vMerge w:val="continue"/>
            <w:tcBorders>
              <w:left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kern w:val="0"/>
                <w:sz w:val="18"/>
                <w:szCs w:val="18"/>
                <w:highlight w:val="none"/>
                <w:lang w:bidi="ar"/>
              </w:rPr>
            </w:pP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15</w:t>
            </w: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凝胶成像分析仪</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套</w:t>
            </w: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1</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 xml:space="preserve">4.00 </w:t>
            </w:r>
          </w:p>
        </w:tc>
        <w:tc>
          <w:tcPr>
            <w:tcW w:w="8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否</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否</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b/>
                <w:bCs/>
                <w:color w:val="auto"/>
                <w:sz w:val="18"/>
                <w:szCs w:val="18"/>
                <w:highlight w:val="none"/>
              </w:rPr>
            </w:pPr>
          </w:p>
        </w:tc>
      </w:tr>
      <w:tr>
        <w:tblPrEx>
          <w:tblLayout w:type="fixed"/>
          <w:tblCellMar>
            <w:top w:w="0" w:type="dxa"/>
            <w:left w:w="108" w:type="dxa"/>
            <w:bottom w:w="0" w:type="dxa"/>
            <w:right w:w="108" w:type="dxa"/>
          </w:tblCellMar>
        </w:tblPrEx>
        <w:trPr>
          <w:trHeight w:val="688" w:hRule="atLeast"/>
        </w:trPr>
        <w:tc>
          <w:tcPr>
            <w:tcW w:w="597" w:type="dxa"/>
            <w:vMerge w:val="continue"/>
            <w:tcBorders>
              <w:left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kern w:val="0"/>
                <w:sz w:val="18"/>
                <w:szCs w:val="18"/>
                <w:highlight w:val="none"/>
                <w:lang w:bidi="ar"/>
              </w:rPr>
            </w:pP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16</w:t>
            </w: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电泳仪</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套</w:t>
            </w: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1</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 xml:space="preserve">0.90 </w:t>
            </w:r>
          </w:p>
        </w:tc>
        <w:tc>
          <w:tcPr>
            <w:tcW w:w="8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否</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否</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b/>
                <w:bCs/>
                <w:color w:val="auto"/>
                <w:sz w:val="18"/>
                <w:szCs w:val="18"/>
                <w:highlight w:val="none"/>
              </w:rPr>
            </w:pPr>
          </w:p>
        </w:tc>
      </w:tr>
      <w:tr>
        <w:tblPrEx>
          <w:tblLayout w:type="fixed"/>
          <w:tblCellMar>
            <w:top w:w="0" w:type="dxa"/>
            <w:left w:w="108" w:type="dxa"/>
            <w:bottom w:w="0" w:type="dxa"/>
            <w:right w:w="108" w:type="dxa"/>
          </w:tblCellMar>
        </w:tblPrEx>
        <w:trPr>
          <w:trHeight w:val="688" w:hRule="atLeast"/>
        </w:trPr>
        <w:tc>
          <w:tcPr>
            <w:tcW w:w="597" w:type="dxa"/>
            <w:vMerge w:val="continue"/>
            <w:tcBorders>
              <w:left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kern w:val="0"/>
                <w:sz w:val="18"/>
                <w:szCs w:val="18"/>
                <w:highlight w:val="none"/>
                <w:lang w:bidi="ar"/>
              </w:rPr>
            </w:pP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17</w:t>
            </w: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万分之一天平</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台</w:t>
            </w: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1</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 xml:space="preserve">0.87 </w:t>
            </w:r>
          </w:p>
        </w:tc>
        <w:tc>
          <w:tcPr>
            <w:tcW w:w="8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否</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否</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b/>
                <w:bCs/>
                <w:color w:val="auto"/>
                <w:sz w:val="18"/>
                <w:szCs w:val="18"/>
                <w:highlight w:val="none"/>
              </w:rPr>
            </w:pPr>
          </w:p>
        </w:tc>
      </w:tr>
      <w:tr>
        <w:tblPrEx>
          <w:tblLayout w:type="fixed"/>
          <w:tblCellMar>
            <w:top w:w="0" w:type="dxa"/>
            <w:left w:w="108" w:type="dxa"/>
            <w:bottom w:w="0" w:type="dxa"/>
            <w:right w:w="108" w:type="dxa"/>
          </w:tblCellMar>
        </w:tblPrEx>
        <w:trPr>
          <w:trHeight w:val="688" w:hRule="atLeast"/>
        </w:trPr>
        <w:tc>
          <w:tcPr>
            <w:tcW w:w="597" w:type="dxa"/>
            <w:vMerge w:val="continue"/>
            <w:tcBorders>
              <w:left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kern w:val="0"/>
                <w:sz w:val="18"/>
                <w:szCs w:val="18"/>
                <w:highlight w:val="none"/>
                <w:lang w:bidi="ar"/>
              </w:rPr>
            </w:pP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sz w:val="18"/>
                <w:szCs w:val="18"/>
                <w:highlight w:val="none"/>
              </w:rPr>
              <w:t>18</w:t>
            </w: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制冰机</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台</w:t>
            </w: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1</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 xml:space="preserve">0.60 </w:t>
            </w:r>
          </w:p>
        </w:tc>
        <w:tc>
          <w:tcPr>
            <w:tcW w:w="8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否</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否</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b/>
                <w:bCs/>
                <w:color w:val="auto"/>
                <w:sz w:val="18"/>
                <w:szCs w:val="18"/>
                <w:highlight w:val="none"/>
              </w:rPr>
            </w:pPr>
          </w:p>
        </w:tc>
      </w:tr>
      <w:tr>
        <w:tblPrEx>
          <w:tblLayout w:type="fixed"/>
          <w:tblCellMar>
            <w:top w:w="0" w:type="dxa"/>
            <w:left w:w="108" w:type="dxa"/>
            <w:bottom w:w="0" w:type="dxa"/>
            <w:right w:w="108" w:type="dxa"/>
          </w:tblCellMar>
        </w:tblPrEx>
        <w:trPr>
          <w:trHeight w:val="688" w:hRule="atLeast"/>
        </w:trPr>
        <w:tc>
          <w:tcPr>
            <w:tcW w:w="597" w:type="dxa"/>
            <w:vMerge w:val="continue"/>
            <w:tcBorders>
              <w:left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kern w:val="0"/>
                <w:sz w:val="18"/>
                <w:szCs w:val="18"/>
                <w:highlight w:val="none"/>
                <w:lang w:bidi="ar"/>
              </w:rPr>
            </w:pP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sz w:val="18"/>
                <w:szCs w:val="18"/>
                <w:highlight w:val="none"/>
              </w:rPr>
              <w:t>19</w:t>
            </w: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低温干燥喷粉机</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台</w:t>
            </w: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1</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 xml:space="preserve">5.20 </w:t>
            </w:r>
          </w:p>
        </w:tc>
        <w:tc>
          <w:tcPr>
            <w:tcW w:w="8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否</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否</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b/>
                <w:bCs/>
                <w:color w:val="auto"/>
                <w:sz w:val="18"/>
                <w:szCs w:val="18"/>
                <w:highlight w:val="none"/>
              </w:rPr>
            </w:pPr>
          </w:p>
        </w:tc>
      </w:tr>
      <w:tr>
        <w:tblPrEx>
          <w:tblLayout w:type="fixed"/>
          <w:tblCellMar>
            <w:top w:w="0" w:type="dxa"/>
            <w:left w:w="108" w:type="dxa"/>
            <w:bottom w:w="0" w:type="dxa"/>
            <w:right w:w="108" w:type="dxa"/>
          </w:tblCellMar>
        </w:tblPrEx>
        <w:trPr>
          <w:trHeight w:val="688" w:hRule="atLeast"/>
        </w:trPr>
        <w:tc>
          <w:tcPr>
            <w:tcW w:w="597" w:type="dxa"/>
            <w:vMerge w:val="continue"/>
            <w:tcBorders>
              <w:left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kern w:val="0"/>
                <w:sz w:val="18"/>
                <w:szCs w:val="18"/>
                <w:highlight w:val="none"/>
                <w:lang w:bidi="ar"/>
              </w:rPr>
            </w:pP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20</w:t>
            </w: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菌种冷藏柜</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台</w:t>
            </w: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10</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 xml:space="preserve">0.35 </w:t>
            </w:r>
          </w:p>
        </w:tc>
        <w:tc>
          <w:tcPr>
            <w:tcW w:w="8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否</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否</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b/>
                <w:bCs/>
                <w:color w:val="auto"/>
                <w:sz w:val="18"/>
                <w:szCs w:val="18"/>
                <w:highlight w:val="none"/>
              </w:rPr>
            </w:pPr>
          </w:p>
        </w:tc>
      </w:tr>
      <w:tr>
        <w:tblPrEx>
          <w:tblLayout w:type="fixed"/>
          <w:tblCellMar>
            <w:top w:w="0" w:type="dxa"/>
            <w:left w:w="108" w:type="dxa"/>
            <w:bottom w:w="0" w:type="dxa"/>
            <w:right w:w="108" w:type="dxa"/>
          </w:tblCellMar>
        </w:tblPrEx>
        <w:trPr>
          <w:trHeight w:val="688" w:hRule="atLeast"/>
        </w:trPr>
        <w:tc>
          <w:tcPr>
            <w:tcW w:w="597" w:type="dxa"/>
            <w:vMerge w:val="continue"/>
            <w:tcBorders>
              <w:left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kern w:val="0"/>
                <w:sz w:val="18"/>
                <w:szCs w:val="18"/>
                <w:highlight w:val="none"/>
                <w:lang w:bidi="ar"/>
              </w:rPr>
            </w:pP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21</w:t>
            </w: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-25℃医用低温保存箱</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台</w:t>
            </w: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4</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 xml:space="preserve">0.80 </w:t>
            </w:r>
          </w:p>
        </w:tc>
        <w:tc>
          <w:tcPr>
            <w:tcW w:w="8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否</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否</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b/>
                <w:bCs/>
                <w:color w:val="auto"/>
                <w:sz w:val="18"/>
                <w:szCs w:val="18"/>
                <w:highlight w:val="none"/>
              </w:rPr>
            </w:pPr>
          </w:p>
        </w:tc>
      </w:tr>
      <w:tr>
        <w:tblPrEx>
          <w:tblLayout w:type="fixed"/>
          <w:tblCellMar>
            <w:top w:w="0" w:type="dxa"/>
            <w:left w:w="108" w:type="dxa"/>
            <w:bottom w:w="0" w:type="dxa"/>
            <w:right w:w="108" w:type="dxa"/>
          </w:tblCellMar>
        </w:tblPrEx>
        <w:trPr>
          <w:trHeight w:val="688" w:hRule="atLeast"/>
        </w:trPr>
        <w:tc>
          <w:tcPr>
            <w:tcW w:w="597" w:type="dxa"/>
            <w:vMerge w:val="continue"/>
            <w:tcBorders>
              <w:left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kern w:val="0"/>
                <w:sz w:val="18"/>
                <w:szCs w:val="18"/>
                <w:highlight w:val="none"/>
                <w:lang w:bidi="ar"/>
              </w:rPr>
            </w:pP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22</w:t>
            </w: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螺旋式粉末包装机</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套</w:t>
            </w: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1</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 xml:space="preserve">2.30 </w:t>
            </w:r>
          </w:p>
        </w:tc>
        <w:tc>
          <w:tcPr>
            <w:tcW w:w="8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否</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否</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b/>
                <w:bCs/>
                <w:color w:val="auto"/>
                <w:sz w:val="18"/>
                <w:szCs w:val="18"/>
                <w:highlight w:val="none"/>
              </w:rPr>
            </w:pPr>
          </w:p>
        </w:tc>
      </w:tr>
      <w:tr>
        <w:tblPrEx>
          <w:tblLayout w:type="fixed"/>
          <w:tblCellMar>
            <w:top w:w="0" w:type="dxa"/>
            <w:left w:w="108" w:type="dxa"/>
            <w:bottom w:w="0" w:type="dxa"/>
            <w:right w:w="108" w:type="dxa"/>
          </w:tblCellMar>
        </w:tblPrEx>
        <w:trPr>
          <w:trHeight w:val="442" w:hRule="atLeast"/>
        </w:trPr>
        <w:tc>
          <w:tcPr>
            <w:tcW w:w="597" w:type="dxa"/>
            <w:vMerge w:val="continue"/>
            <w:tcBorders>
              <w:left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kern w:val="0"/>
                <w:sz w:val="18"/>
                <w:szCs w:val="18"/>
                <w:highlight w:val="none"/>
                <w:lang w:bidi="ar"/>
              </w:rPr>
            </w:pP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23</w:t>
            </w: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除尘机</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套</w:t>
            </w: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1</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 xml:space="preserve">6.50 </w:t>
            </w:r>
          </w:p>
        </w:tc>
        <w:tc>
          <w:tcPr>
            <w:tcW w:w="8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否</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否</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b/>
                <w:bCs/>
                <w:color w:val="auto"/>
                <w:sz w:val="18"/>
                <w:szCs w:val="18"/>
                <w:highlight w:val="none"/>
              </w:rPr>
            </w:pPr>
          </w:p>
        </w:tc>
      </w:tr>
      <w:tr>
        <w:tblPrEx>
          <w:tblLayout w:type="fixed"/>
          <w:tblCellMar>
            <w:top w:w="0" w:type="dxa"/>
            <w:left w:w="108" w:type="dxa"/>
            <w:bottom w:w="0" w:type="dxa"/>
            <w:right w:w="108" w:type="dxa"/>
          </w:tblCellMar>
        </w:tblPrEx>
        <w:trPr>
          <w:trHeight w:val="688" w:hRule="atLeast"/>
        </w:trPr>
        <w:tc>
          <w:tcPr>
            <w:tcW w:w="597" w:type="dxa"/>
            <w:vMerge w:val="continue"/>
            <w:tcBorders>
              <w:left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kern w:val="0"/>
                <w:sz w:val="18"/>
                <w:szCs w:val="18"/>
                <w:highlight w:val="none"/>
                <w:lang w:bidi="ar"/>
              </w:rPr>
            </w:pP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24</w:t>
            </w: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三维混合机</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套</w:t>
            </w: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1</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 xml:space="preserve">1.20 </w:t>
            </w:r>
          </w:p>
        </w:tc>
        <w:tc>
          <w:tcPr>
            <w:tcW w:w="8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否</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否</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b/>
                <w:bCs/>
                <w:color w:val="auto"/>
                <w:sz w:val="18"/>
                <w:szCs w:val="18"/>
                <w:highlight w:val="none"/>
              </w:rPr>
            </w:pPr>
          </w:p>
        </w:tc>
      </w:tr>
      <w:tr>
        <w:tblPrEx>
          <w:tblLayout w:type="fixed"/>
          <w:tblCellMar>
            <w:top w:w="0" w:type="dxa"/>
            <w:left w:w="108" w:type="dxa"/>
            <w:bottom w:w="0" w:type="dxa"/>
            <w:right w:w="108" w:type="dxa"/>
          </w:tblCellMar>
        </w:tblPrEx>
        <w:trPr>
          <w:trHeight w:val="724" w:hRule="atLeast"/>
        </w:trPr>
        <w:tc>
          <w:tcPr>
            <w:tcW w:w="597" w:type="dxa"/>
            <w:vMerge w:val="continue"/>
            <w:tcBorders>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kern w:val="0"/>
                <w:sz w:val="18"/>
                <w:szCs w:val="18"/>
                <w:highlight w:val="none"/>
                <w:lang w:bidi="ar"/>
              </w:rPr>
            </w:pP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25</w:t>
            </w: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荧光定量PCR仪</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套</w:t>
            </w: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1</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 xml:space="preserve">22.00 </w:t>
            </w:r>
          </w:p>
        </w:tc>
        <w:tc>
          <w:tcPr>
            <w:tcW w:w="8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否</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否</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b/>
                <w:bCs/>
                <w:color w:val="auto"/>
                <w:sz w:val="18"/>
                <w:szCs w:val="18"/>
                <w:highlight w:val="none"/>
              </w:rPr>
            </w:pPr>
          </w:p>
        </w:tc>
      </w:tr>
      <w:tr>
        <w:tblPrEx>
          <w:tblLayout w:type="fixed"/>
          <w:tblCellMar>
            <w:top w:w="0" w:type="dxa"/>
            <w:left w:w="108" w:type="dxa"/>
            <w:bottom w:w="0" w:type="dxa"/>
            <w:right w:w="108" w:type="dxa"/>
          </w:tblCellMar>
        </w:tblPrEx>
        <w:trPr>
          <w:trHeight w:val="724" w:hRule="atLeast"/>
        </w:trPr>
        <w:tc>
          <w:tcPr>
            <w:tcW w:w="597" w:type="dxa"/>
            <w:vMerge w:val="restart"/>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kern w:val="0"/>
                <w:sz w:val="18"/>
                <w:szCs w:val="18"/>
                <w:highlight w:val="none"/>
                <w:lang w:bidi="ar"/>
              </w:rPr>
            </w:pPr>
            <w:r>
              <w:rPr>
                <w:rFonts w:hint="eastAsia" w:ascii="宋体" w:hAnsi="宋体" w:cs="宋体"/>
                <w:b/>
                <w:bCs/>
                <w:color w:val="auto"/>
                <w:kern w:val="0"/>
                <w:sz w:val="18"/>
                <w:szCs w:val="18"/>
                <w:highlight w:val="none"/>
                <w:lang w:bidi="ar"/>
              </w:rPr>
              <w:t>包2</w:t>
            </w: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kern w:val="0"/>
                <w:sz w:val="18"/>
                <w:szCs w:val="18"/>
                <w:highlight w:val="none"/>
                <w:lang w:bidi="ar"/>
              </w:rPr>
            </w:pPr>
            <w:r>
              <w:rPr>
                <w:rFonts w:hint="eastAsia" w:ascii="宋体" w:hAnsi="宋体" w:cs="宋体"/>
                <w:b/>
                <w:bCs/>
                <w:color w:val="auto"/>
                <w:kern w:val="0"/>
                <w:sz w:val="18"/>
                <w:szCs w:val="18"/>
                <w:highlight w:val="none"/>
                <w:lang w:bidi="ar"/>
              </w:rPr>
              <w:t>1</w:t>
            </w: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auto"/>
                <w:kern w:val="0"/>
                <w:sz w:val="18"/>
                <w:szCs w:val="18"/>
                <w:highlight w:val="none"/>
                <w:lang w:bidi="ar"/>
              </w:rPr>
            </w:pPr>
            <w:r>
              <w:rPr>
                <w:rFonts w:hint="eastAsia" w:ascii="宋体" w:hAnsi="宋体" w:cs="宋体"/>
                <w:color w:val="auto"/>
                <w:kern w:val="0"/>
                <w:sz w:val="18"/>
                <w:szCs w:val="18"/>
                <w:highlight w:val="none"/>
                <w:lang w:bidi="ar"/>
              </w:rPr>
              <w:t>台式低温高速离心机</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kern w:val="0"/>
                <w:sz w:val="18"/>
                <w:szCs w:val="18"/>
                <w:highlight w:val="none"/>
                <w:lang w:bidi="ar"/>
              </w:rPr>
            </w:pPr>
            <w:r>
              <w:rPr>
                <w:rFonts w:hint="eastAsia" w:ascii="宋体" w:hAnsi="宋体" w:cs="宋体"/>
                <w:b/>
                <w:bCs/>
                <w:color w:val="auto"/>
                <w:kern w:val="0"/>
                <w:sz w:val="18"/>
                <w:szCs w:val="18"/>
                <w:highlight w:val="none"/>
                <w:lang w:bidi="ar"/>
              </w:rPr>
              <w:t>台</w:t>
            </w: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auto"/>
                <w:kern w:val="0"/>
                <w:sz w:val="18"/>
                <w:szCs w:val="18"/>
                <w:highlight w:val="none"/>
                <w:lang w:bidi="ar"/>
              </w:rPr>
            </w:pPr>
            <w:r>
              <w:rPr>
                <w:rFonts w:hint="eastAsia" w:ascii="宋体" w:hAnsi="宋体" w:cs="宋体"/>
                <w:color w:val="auto"/>
                <w:kern w:val="0"/>
                <w:sz w:val="18"/>
                <w:szCs w:val="18"/>
                <w:highlight w:val="none"/>
                <w:lang w:bidi="ar"/>
              </w:rPr>
              <w:t>2</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auto"/>
                <w:kern w:val="0"/>
                <w:sz w:val="18"/>
                <w:szCs w:val="18"/>
                <w:highlight w:val="none"/>
                <w:lang w:bidi="ar"/>
              </w:rPr>
            </w:pPr>
            <w:r>
              <w:rPr>
                <w:rFonts w:hint="eastAsia" w:ascii="宋体" w:hAnsi="宋体" w:cs="宋体"/>
                <w:color w:val="auto"/>
                <w:kern w:val="0"/>
                <w:sz w:val="18"/>
                <w:szCs w:val="18"/>
                <w:highlight w:val="none"/>
                <w:lang w:bidi="ar"/>
              </w:rPr>
              <w:t xml:space="preserve">9.50 </w:t>
            </w:r>
          </w:p>
        </w:tc>
        <w:tc>
          <w:tcPr>
            <w:tcW w:w="8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kern w:val="0"/>
                <w:sz w:val="18"/>
                <w:szCs w:val="18"/>
                <w:highlight w:val="none"/>
                <w:lang w:bidi="ar"/>
              </w:rPr>
            </w:pPr>
            <w:r>
              <w:rPr>
                <w:rFonts w:hint="eastAsia" w:ascii="宋体" w:hAnsi="宋体" w:cs="宋体"/>
                <w:b/>
                <w:bCs/>
                <w:color w:val="auto"/>
                <w:kern w:val="0"/>
                <w:sz w:val="18"/>
                <w:szCs w:val="18"/>
                <w:highlight w:val="none"/>
                <w:lang w:bidi="ar"/>
              </w:rPr>
              <w:t>是</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kern w:val="0"/>
                <w:sz w:val="18"/>
                <w:szCs w:val="18"/>
                <w:highlight w:val="none"/>
                <w:lang w:bidi="ar"/>
              </w:rPr>
            </w:pPr>
            <w:r>
              <w:rPr>
                <w:rFonts w:hint="eastAsia" w:ascii="宋体" w:hAnsi="宋体" w:cs="宋体"/>
                <w:b/>
                <w:bCs/>
                <w:color w:val="auto"/>
                <w:kern w:val="0"/>
                <w:sz w:val="18"/>
                <w:szCs w:val="18"/>
                <w:highlight w:val="none"/>
                <w:lang w:bidi="ar"/>
              </w:rPr>
              <w:t>是</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b/>
                <w:bCs/>
                <w:color w:val="auto"/>
                <w:sz w:val="18"/>
                <w:szCs w:val="18"/>
                <w:highlight w:val="none"/>
              </w:rPr>
            </w:pPr>
          </w:p>
        </w:tc>
      </w:tr>
      <w:tr>
        <w:tblPrEx>
          <w:tblLayout w:type="fixed"/>
          <w:tblCellMar>
            <w:top w:w="0" w:type="dxa"/>
            <w:left w:w="108" w:type="dxa"/>
            <w:bottom w:w="0" w:type="dxa"/>
            <w:right w:w="108" w:type="dxa"/>
          </w:tblCellMar>
        </w:tblPrEx>
        <w:trPr>
          <w:trHeight w:val="724" w:hRule="atLeast"/>
        </w:trPr>
        <w:tc>
          <w:tcPr>
            <w:tcW w:w="597" w:type="dxa"/>
            <w:vMerge w:val="continue"/>
            <w:tcBorders>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kern w:val="0"/>
                <w:sz w:val="18"/>
                <w:szCs w:val="18"/>
                <w:highlight w:val="none"/>
                <w:lang w:bidi="ar"/>
              </w:rPr>
            </w:pP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kern w:val="0"/>
                <w:sz w:val="18"/>
                <w:szCs w:val="18"/>
                <w:highlight w:val="none"/>
                <w:lang w:bidi="ar"/>
              </w:rPr>
            </w:pPr>
            <w:r>
              <w:rPr>
                <w:rFonts w:hint="eastAsia" w:ascii="宋体" w:hAnsi="宋体" w:cs="宋体"/>
                <w:b/>
                <w:bCs/>
                <w:color w:val="auto"/>
                <w:kern w:val="0"/>
                <w:sz w:val="18"/>
                <w:szCs w:val="18"/>
                <w:highlight w:val="none"/>
                <w:lang w:bidi="ar"/>
              </w:rPr>
              <w:t>2</w:t>
            </w: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auto"/>
                <w:kern w:val="0"/>
                <w:sz w:val="18"/>
                <w:szCs w:val="18"/>
                <w:highlight w:val="none"/>
                <w:lang w:bidi="ar"/>
              </w:rPr>
            </w:pPr>
            <w:r>
              <w:rPr>
                <w:rFonts w:hint="eastAsia" w:ascii="宋体" w:hAnsi="宋体" w:cs="宋体"/>
                <w:color w:val="auto"/>
                <w:kern w:val="0"/>
                <w:sz w:val="18"/>
                <w:szCs w:val="18"/>
                <w:highlight w:val="none"/>
                <w:lang w:bidi="ar"/>
              </w:rPr>
              <w:t>高压灭菌器</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kern w:val="0"/>
                <w:sz w:val="18"/>
                <w:szCs w:val="18"/>
                <w:highlight w:val="none"/>
                <w:lang w:bidi="ar"/>
              </w:rPr>
            </w:pPr>
            <w:r>
              <w:rPr>
                <w:rFonts w:hint="eastAsia" w:ascii="宋体" w:hAnsi="宋体" w:cs="宋体"/>
                <w:b/>
                <w:bCs/>
                <w:color w:val="auto"/>
                <w:kern w:val="0"/>
                <w:sz w:val="18"/>
                <w:szCs w:val="18"/>
                <w:highlight w:val="none"/>
                <w:lang w:bidi="ar"/>
              </w:rPr>
              <w:t>台</w:t>
            </w: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auto"/>
                <w:kern w:val="0"/>
                <w:sz w:val="18"/>
                <w:szCs w:val="18"/>
                <w:highlight w:val="none"/>
                <w:lang w:bidi="ar"/>
              </w:rPr>
            </w:pPr>
            <w:r>
              <w:rPr>
                <w:rFonts w:hint="eastAsia" w:ascii="宋体" w:hAnsi="宋体" w:cs="宋体"/>
                <w:color w:val="auto"/>
                <w:kern w:val="0"/>
                <w:sz w:val="18"/>
                <w:szCs w:val="18"/>
                <w:highlight w:val="none"/>
                <w:lang w:bidi="ar"/>
              </w:rPr>
              <w:t>2</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auto"/>
                <w:kern w:val="0"/>
                <w:sz w:val="18"/>
                <w:szCs w:val="18"/>
                <w:highlight w:val="none"/>
                <w:lang w:bidi="ar"/>
              </w:rPr>
            </w:pPr>
            <w:r>
              <w:rPr>
                <w:rFonts w:hint="eastAsia" w:ascii="宋体" w:hAnsi="宋体" w:cs="宋体"/>
                <w:color w:val="auto"/>
                <w:kern w:val="0"/>
                <w:sz w:val="18"/>
                <w:szCs w:val="18"/>
                <w:highlight w:val="none"/>
                <w:lang w:bidi="ar"/>
              </w:rPr>
              <w:t xml:space="preserve">8.00 </w:t>
            </w:r>
          </w:p>
        </w:tc>
        <w:tc>
          <w:tcPr>
            <w:tcW w:w="8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kern w:val="0"/>
                <w:sz w:val="18"/>
                <w:szCs w:val="18"/>
                <w:highlight w:val="none"/>
                <w:lang w:bidi="ar"/>
              </w:rPr>
            </w:pPr>
            <w:r>
              <w:rPr>
                <w:rFonts w:hint="eastAsia" w:ascii="宋体" w:hAnsi="宋体" w:cs="宋体"/>
                <w:b/>
                <w:bCs/>
                <w:color w:val="auto"/>
                <w:kern w:val="0"/>
                <w:sz w:val="18"/>
                <w:szCs w:val="18"/>
                <w:highlight w:val="none"/>
                <w:lang w:bidi="ar"/>
              </w:rPr>
              <w:t>是</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auto"/>
                <w:kern w:val="0"/>
                <w:sz w:val="18"/>
                <w:szCs w:val="18"/>
                <w:highlight w:val="none"/>
                <w:lang w:bidi="ar"/>
              </w:rPr>
            </w:pPr>
            <w:r>
              <w:rPr>
                <w:rFonts w:hint="eastAsia" w:ascii="宋体" w:hAnsi="宋体" w:cs="宋体"/>
                <w:b/>
                <w:bCs/>
                <w:color w:val="auto"/>
                <w:kern w:val="0"/>
                <w:sz w:val="18"/>
                <w:szCs w:val="18"/>
                <w:highlight w:val="none"/>
                <w:lang w:bidi="ar"/>
              </w:rPr>
              <w:t>否</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b/>
                <w:bCs/>
                <w:color w:val="auto"/>
                <w:sz w:val="18"/>
                <w:szCs w:val="18"/>
                <w:highlight w:val="none"/>
              </w:rPr>
            </w:pPr>
          </w:p>
        </w:tc>
      </w:tr>
    </w:tbl>
    <w:p>
      <w:pPr>
        <w:pStyle w:val="7"/>
        <w:jc w:val="both"/>
        <w:rPr>
          <w:rFonts w:hint="default" w:ascii="仿宋_GB2312" w:hAnsi="仿宋_GB2312" w:eastAsia="仿宋_GB2312" w:cs="仿宋_GB2312"/>
          <w:b/>
          <w:color w:val="auto"/>
          <w:sz w:val="24"/>
          <w:highlight w:val="none"/>
        </w:rPr>
      </w:pPr>
    </w:p>
    <w:p>
      <w:pPr>
        <w:wordWrap w:val="0"/>
        <w:topLinePunct/>
        <w:spacing w:line="360" w:lineRule="auto"/>
        <w:rPr>
          <w:rFonts w:hint="eastAsia" w:ascii="宋体" w:hAnsi="宋体" w:cs="宋体"/>
          <w:color w:val="auto"/>
          <w:sz w:val="24"/>
          <w:highlight w:val="none"/>
        </w:rPr>
      </w:pPr>
      <w:r>
        <w:rPr>
          <w:rFonts w:hint="eastAsia" w:ascii="宋体" w:hAnsi="宋体" w:cs="宋体"/>
          <w:color w:val="auto"/>
          <w:sz w:val="24"/>
          <w:highlight w:val="none"/>
        </w:rPr>
        <w:t>注：</w:t>
      </w:r>
      <w:r>
        <w:rPr>
          <w:rFonts w:hint="eastAsia" w:ascii="宋体" w:hAnsi="宋体" w:cs="宋体"/>
          <w:color w:val="auto"/>
          <w:sz w:val="24"/>
          <w:highlight w:val="none"/>
        </w:rPr>
        <w:t>1.投标人报价如超过此最高限价及各单价限价的，将作为无效投标处理。</w:t>
      </w:r>
    </w:p>
    <w:p>
      <w:pPr>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2.本项目所有产品均不接受定制产品投标，否则将作为无效投标处理。</w:t>
      </w:r>
    </w:p>
    <w:p>
      <w:pPr>
        <w:pStyle w:val="2"/>
        <w:widowControl/>
        <w:wordWrap w:val="0"/>
        <w:topLinePunct/>
        <w:autoSpaceDE w:val="0"/>
        <w:autoSpaceDN w:val="0"/>
        <w:adjustRightInd w:val="0"/>
        <w:snapToGrid w:val="0"/>
        <w:spacing w:before="312" w:beforeLines="100" w:after="312" w:afterLines="100"/>
        <w:textAlignment w:val="baseline"/>
        <w:rPr>
          <w:rFonts w:hint="eastAsia" w:ascii="宋体" w:hAnsi="宋体" w:eastAsia="宋体" w:cs="宋体"/>
          <w:color w:val="auto"/>
          <w:sz w:val="24"/>
          <w:szCs w:val="24"/>
          <w:highlight w:val="none"/>
        </w:rPr>
      </w:pPr>
      <w:bookmarkStart w:id="1" w:name="_Toc9315"/>
      <w:bookmarkStart w:id="2" w:name="_Toc30765"/>
      <w:r>
        <w:rPr>
          <w:rFonts w:hint="eastAsia" w:ascii="宋体" w:hAnsi="宋体" w:eastAsia="宋体" w:cs="宋体"/>
          <w:color w:val="auto"/>
          <w:sz w:val="24"/>
          <w:szCs w:val="24"/>
          <w:highlight w:val="none"/>
        </w:rPr>
        <w:t>二、参考配置及技术要求</w:t>
      </w:r>
      <w:bookmarkEnd w:id="1"/>
      <w:bookmarkEnd w:id="2"/>
    </w:p>
    <w:p>
      <w:pPr>
        <w:spacing w:line="360" w:lineRule="auto"/>
        <w:jc w:val="center"/>
        <w:outlineLvl w:val="1"/>
        <w:rPr>
          <w:rFonts w:hint="eastAsia" w:ascii="宋体" w:hAnsi="宋体" w:cs="宋体"/>
          <w:b/>
          <w:bCs/>
          <w:color w:val="auto"/>
          <w:sz w:val="28"/>
          <w:szCs w:val="28"/>
          <w:highlight w:val="none"/>
        </w:rPr>
      </w:pPr>
      <w:bookmarkStart w:id="3" w:name="_Toc1317"/>
      <w:bookmarkStart w:id="4" w:name="_Toc487"/>
      <w:bookmarkStart w:id="5" w:name="_Toc3049"/>
      <w:r>
        <w:rPr>
          <w:rFonts w:hint="eastAsia" w:ascii="宋体" w:hAnsi="宋体" w:cs="宋体"/>
          <w:b/>
          <w:bCs/>
          <w:color w:val="auto"/>
          <w:sz w:val="28"/>
          <w:szCs w:val="28"/>
          <w:highlight w:val="none"/>
        </w:rPr>
        <w:t>采购包1</w:t>
      </w:r>
      <w:bookmarkEnd w:id="3"/>
    </w:p>
    <w:p>
      <w:pPr>
        <w:spacing w:line="360" w:lineRule="auto"/>
        <w:outlineLvl w:val="2"/>
        <w:rPr>
          <w:rFonts w:hint="eastAsia" w:ascii="宋体" w:hAnsi="宋体" w:cs="宋体"/>
          <w:b/>
          <w:bCs/>
          <w:color w:val="auto"/>
          <w:sz w:val="24"/>
          <w:highlight w:val="none"/>
        </w:rPr>
      </w:pPr>
      <w:r>
        <w:rPr>
          <w:rFonts w:hint="eastAsia" w:ascii="宋体" w:hAnsi="宋体" w:cs="宋体"/>
          <w:b/>
          <w:bCs/>
          <w:color w:val="auto"/>
          <w:sz w:val="24"/>
          <w:highlight w:val="none"/>
        </w:rPr>
        <w:t>（一）液体发酵系统</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一、15L发酵罐技术参数：</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1.罐体：容量≥15L，装液系数70%～80%,径高比：1:~2.2，</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2.筒体材质为SUS316L不锈钢，夹套SUS304不锈钢，罐内无死角</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3.罐体表面处理：内表面镜面抛光，无死角，内抛光精度＜Ra0.4，外抛光精度＜Ra0.6，外表面哑光</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4.罐体侧面接口：pH、DO、温度电极、取样阀、备用口；可蒸汽灭菌的移种管路</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5.压力：罐体设计压力≥0.4Mpa ，夹套设计压力≥0.4Mpa。罐底阀：自动灭菌</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6.最高工作温度≥150℃。大视角罐内液位观察视镜,12V自动延时安全视灯</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7.罐盖上有配置泡沫电极,补料备用接口,可视口、视镜灯口、隔膜式压力表口</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8.取样阀：无菌隔膜取样阀，蒸汽灭菌无死角自动灭菌。</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9.搅拌系统：驱动方式为顶部机械搅拌；搅拌轴材料采用316</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10.搅拌形式： 2层六直叶搅拌桨，1层斜叶搅拌桨（桨叶可更换），机械压迫式消泡桨（一级）、桨叶高度可调</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11.空气分布环位于罐体底部，为环形</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12.搅拌电机为伺服交流减速电机；无级调速；转速50-1000rpm</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13.罐盖提升</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14.移种：硬管移种，可向50L和1000L移种</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二、50L发酵罐技术参数：</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1.罐体：公称容量≥50L，装液系数70%～80%,径高比：1:~2.2</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2.筒体材质为SUS316L不锈钢，夹套SUS304不锈钢，罐内无死角</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3.罐体表面处理：内表面镜面抛光，无死角，内抛光精度＜Ra0.4，外抛光精度＜Ra0.6，外表面哑光</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4.罐体侧面接口：pH、DO、温度电极、取样阀、备用口；可蒸汽灭菌的移种管路</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5.压力：罐体设计压力≥0.4Mpa ，夹套设计压力≥0.4Mpa。罐底阀自动灭菌</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6.最高工作温度≥150℃。大视角罐内液位观察视镜,12V自动延时安全视灯</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7.罐盖上有配置泡沫电极,补料备用接口,可视口、视镜灯口、隔膜式压力表口</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8.取样阀：无菌隔膜取样阀，蒸汽灭菌无死角自动灭菌</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9.搅拌系统：驱动方式为顶部机械搅拌；搅拌轴材料采用316</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10.搅拌形式： 2层六直叶搅拌桨，1层斜叶搅拌桨（桨叶可更换），机械压迫式消泡桨（一级）、桨叶高度可调</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11.空气分布环位于罐体底部，为环形</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12.搅拌电机为伺服交流减速电机；无级调速；电机功率1.5KW，转速50-800rpm</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13.罐盖提升</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三、1000L发酵罐技术参数：</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1.罐体：公称容量≥1000L，装液系数70%～80%,径高比：1:~2.2</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2.筒体材质为SUS316L不锈钢，夹套SUS304不锈钢，罐内无死角</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3.罐体表面处理：内表面镜面抛光，无死角，内抛光精度＜Ra0.4，外抛光精度＜Ra0.6，外表面哑光</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4.罐体侧面接口：pH、DO、温度电极、取样阀、备用口；可蒸汽灭菌的移种管路</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5、压力：罐体设计压力≥0.4Mpa ，夹套设计压力≥0.4Mpa，罐底阀手动灭菌</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6.最高工作温度≥150℃。大视角罐内液位观察视镜,12V自动延时安全视灯</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7.罐盖上有配置泡沫电极,补料备用接口,可视口、视镜灯口、隔膜式压力表口</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8.取样阀：无菌隔膜取样阀，蒸汽灭菌无死角</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9.搅拌系统：驱动方式为顶部机械搅拌；搅拌轴材料采用316</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10.搅拌形式： 2层六直叶搅拌桨，1层斜叶搅拌桨（桨叶可更换），机械压迫式消泡桨（一级）、桨叶高度可调</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11.空气分布环位于罐体底部，为环形</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12.搅拌电机为SEW电机；无级调速；转速50-600rpm</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四、20L消泡罐技术参数：</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1.罐体：公称容量≥20L，装液系数70%～80%,径高比：1:~1.8</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2.筒体材质为SUS316L不锈钢，夹套SUS304不锈钢，罐内无死角</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3、罐体表面处理：内表面镜面抛光，无死角，内抛光精度＜Ra0.4，外抛光精度＜Ra0.6，外表面哑光</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4.压力：罐体设计压力≥0.4Mpa ，夹套设计压力≥0.4Mpa。</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5.搅拌系统：驱动方式为顶部机械搅拌；搅拌轴材料采用316</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6.搅拌形式： 2层六直叶搅拌桨，1层斜叶搅拌桨（桨叶可更换），机械压迫式消泡桨桨叶高度可调</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7.搅拌电机为伺服交流减速电机；无级调速；电机功率0.5KW，转速50-600rpm</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五、温度控制系统：Pt100温度传感器，PID数字控制，控制精度±0.1℃,测量范围0-150℃,温度自动控制</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六、PH自动控制系统：</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1.PH 显示范围：0-14 精度±0.01PH；全自动范围:2~12ph; 控制精度:±0.02ph, 分辨率:0.01ph；PH调节采用蠕动泵调节</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2.玻璃电极及屏蔽导线</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3.电极可多批次重复灭菌，系统软件校正功能</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4.Ph 值报表、曲线记录和分析；可控制外援补碱，碱加入量累计显示记录</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七、DO检测系统：</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1.DO 显示范围：0-100%或 0-200%设定；精度±1%</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2.不锈钢溶氧电极及屏蔽导线</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3.电极可多批次重复灭菌，系统软件校正功能</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4.可建立与转速的联动微调控制</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5.DO 值报表、曲线记录和分析、异常报警；数据保存</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八、空气流量：</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1.φ60-φ100表面轴向、径向不锈钢压力表，就地显示，自动控制罐压0-0.4Mpa，0-0.6 Mpa</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2.玻璃转子流量计，手动控制和质量流量计手自一体</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九、控制系统功能：</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1.可设定温度、转速、pH 值、DO 值、罐内压力、通气流量的上、下限并具备超限报警功能，所有报警事件可记录查阅。控制切换：转速、温度、pH 值、DO 值、流量等控制都能设定为自动、手动状态。定时定量补料：有完善的补料系统，蠕动泵可定时定量补料，补料可计量，可分段控制；消泡具备超液位报警和自动补料功能，具备超泡位报警和自动添加消泡剂功能，具有声光报警提示</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2.各检测和控制回路的参数可以在画面上在线手动设定和修正，可以进行温度、DO、pH 传感器的整定调校，各蠕动泵流量的标定；操作有多级密码保护功能，分配不同操作权限，自动记录发酵罐开机时间，关机时间，自动运行时的停电次数，停电时间，来电时间等</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 xml:space="preserve">3.配备免费的反应器规模放大缩小计算工具：根据搅拌转速、搅拌桨类型、装液量、通气量，实时估算搅拌桨功率准数、混合时间、传质效率、并于溶氧浓度、通气量等数据整合，可以对250mL~2m³不同规模反应器进行工艺参数转换，并在各量程之间调整配方，将生物工艺信息用于放大缩小。软件要求具备国际通用背景                                                                                                                                    </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▲4.具备DoE(Design Of Experiment）功能：可设置pH、溶氧、温度、搅拌等多种参数，进行多因素、CCD（中心组合实验）等设计，自动生成实验设计，一键自动运行。批次结束后，可将离线测得的数据输入系统，进行响应面分析等统计分析功能</w:t>
      </w:r>
    </w:p>
    <w:p>
      <w:pPr>
        <w:spacing w:line="360" w:lineRule="auto"/>
        <w:rPr>
          <w:rFonts w:hint="eastAsia" w:ascii="宋体" w:hAnsi="宋体" w:cs="宋体"/>
          <w:color w:val="auto"/>
          <w:sz w:val="24"/>
          <w:highlight w:val="none"/>
        </w:rPr>
      </w:pPr>
      <w:r>
        <w:rPr>
          <w:rFonts w:hint="eastAsia"/>
          <w:color w:val="auto"/>
          <w:sz w:val="24"/>
          <w:highlight w:val="none"/>
        </w:rPr>
        <w:t>▲</w:t>
      </w:r>
      <w:r>
        <w:rPr>
          <w:rFonts w:hint="eastAsia" w:ascii="宋体" w:hAnsi="宋体" w:cs="宋体"/>
          <w:color w:val="auto"/>
          <w:sz w:val="24"/>
          <w:highlight w:val="none"/>
        </w:rPr>
        <w:t>十、</w:t>
      </w:r>
      <w:r>
        <w:rPr>
          <w:rFonts w:hint="eastAsia"/>
          <w:color w:val="auto"/>
          <w:sz w:val="24"/>
          <w:highlight w:val="none"/>
        </w:rPr>
        <w:t>为保证售后服务和产品质量，投标时需提供生产厂家或区域代理商针对本项目的售后服务承诺书原件扫描件。</w:t>
      </w:r>
    </w:p>
    <w:p>
      <w:pPr>
        <w:spacing w:line="360" w:lineRule="auto"/>
        <w:rPr>
          <w:rFonts w:hint="eastAsia" w:ascii="宋体" w:hAnsi="宋体" w:cs="宋体"/>
          <w:color w:val="auto"/>
          <w:sz w:val="24"/>
          <w:highlight w:val="none"/>
        </w:rPr>
      </w:pPr>
    </w:p>
    <w:p>
      <w:pPr>
        <w:spacing w:line="360" w:lineRule="auto"/>
        <w:rPr>
          <w:rFonts w:hint="eastAsia" w:ascii="宋体" w:hAnsi="宋体" w:cs="宋体"/>
          <w:color w:val="auto"/>
          <w:sz w:val="24"/>
          <w:highlight w:val="none"/>
        </w:rPr>
      </w:pPr>
    </w:p>
    <w:p>
      <w:pPr>
        <w:spacing w:line="360" w:lineRule="auto"/>
        <w:outlineLvl w:val="2"/>
        <w:rPr>
          <w:rFonts w:hint="eastAsia" w:ascii="宋体" w:hAnsi="宋体" w:cs="宋体"/>
          <w:b/>
          <w:bCs/>
          <w:color w:val="auto"/>
          <w:sz w:val="24"/>
          <w:highlight w:val="none"/>
        </w:rPr>
      </w:pPr>
      <w:r>
        <w:rPr>
          <w:rFonts w:hint="eastAsia" w:ascii="宋体" w:hAnsi="宋体" w:cs="宋体"/>
          <w:b/>
          <w:bCs/>
          <w:color w:val="auto"/>
          <w:sz w:val="24"/>
          <w:highlight w:val="none"/>
        </w:rPr>
        <w:t>（二）低温超浓缩仪</w:t>
      </w:r>
    </w:p>
    <w:p>
      <w:pPr>
        <w:numPr>
          <w:ilvl w:val="0"/>
          <w:numId w:val="1"/>
        </w:numPr>
        <w:spacing w:line="360" w:lineRule="auto"/>
        <w:rPr>
          <w:rFonts w:hint="eastAsia" w:ascii="宋体" w:hAnsi="宋体" w:cs="宋体"/>
          <w:color w:val="auto"/>
          <w:sz w:val="24"/>
          <w:highlight w:val="none"/>
        </w:rPr>
      </w:pPr>
      <w:r>
        <w:rPr>
          <w:rFonts w:hint="eastAsia" w:ascii="宋体" w:hAnsi="宋体" w:cs="宋体"/>
          <w:color w:val="auto"/>
          <w:sz w:val="24"/>
          <w:highlight w:val="none"/>
        </w:rPr>
        <w:t>主要技术参数：</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1.旋转薄膜蒸发器：物料在本设备内部表面形成蒸发薄膜，成膜厚度小于1mm，无死角区，无压降、无阻力</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▲2. 装置蒸发能力≥50Kg/h（溶剂：水），20℃-30℃可实现蒸发，固含量10%-85%可调</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3.物料允许温度≤40℃</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 xml:space="preserve">4.浓缩终点：自动连续出料，平均浓缩时间：1~1.5小时 </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5.工作真空度：-0.090-0.098MPa（G）</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6.进料浓度：5~15%；进料流量可调，出料配置在线物料浓度检测仪，可在线检测物料比重</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7.加热温度：50～120℃可调，加热介质：热水。设定温度控制范围：±3℃</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8.设备配备良好的控制、减振、传动、变速、冷却、润滑装置，在连续满负荷条件下，运行平稳</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9.配备消泡装置</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10.接触物料材质均采用SUS304，非金属部件采用聚四氟乙烯、硅橡胶等GMP认可的无毒材料，密封材料使用耐高温、耐腐蚀、不易脱落、符合GMP要求的材质</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11.腔体内旋转的加热不锈钢转子及筒体内表面光洁度Ra≤0.6μm</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12.设备筒体均设置大孔径观察窗，可耐热、耐腐蚀、密封严密等，可以清晰的观察浓缩机内的浓缩过程便于工人操作及使用，视镜直径不小于DN200，数量不少于3个, 配视镜照明光源</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▲13.设备具有CIP自动清洗系统，满足GMP要求，保证清洗质量，确保筒体内清洗后无死角，清洗无残留，可以做清洁验证</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14.换热转子采用变频控制，旋转速度大小可调。转速范围：10~20rpm</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15.管道系统：管道、管道元件、管件等按卫生级标准配置；</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16.系统配置真空泵组，抽气速率在30分钟内达到-0.098MPa（G）</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17.系统配置冷水机组、冷凝器及凝液接收罐材质SUS304</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二、配置</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1.配置连续出料泵，连续出料可靠，不得影响主机真空度的波动</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2.所有接触物料的管路采用卫生级洁净管</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3.电控柜：</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1）电控柜具有强电柜和操作柜分开设计,触摸屏安装在设备现场便于操作</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2）电控柜内的电路设计规范、电气元件的安装应规范、美观、简明，所有线缆、元器件均有标号并有准确的连接线路图。柜（箱）所有的按钮，应用简体中文明确标识</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3）电气控制柜需自带散热装置，保证内部元件散热通畅</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4）电气控制柜安装位置便于检修维护，与主机的连接线缆应密闭防尘、易清洁及布放美观</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5）保护：具备短路、断路、过载等保护；具有接地线和中性线，接地良好，符合国家规定</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6）现场操作箱具有相应防护能力，防护等级IP42以上，且有防滴漏，内部有防结露装置</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4.控制硬件配置：</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1）控制器：PLC与外部器件的通讯用工业以太网进行通讯，</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2）触摸屏：不小于12英寸彩色触摸屏；触摸屏上具备运行数据的实时显示、存储、历史查询等功能，参数记录可以通过USB输出端口导出</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3）选用优质空气开关、热继电器、接触器等电器元件</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4）控制电缆采用屏蔽电缆线</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5. 控制软件配置：</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1）基本控制：机组启停控制、机组温度监测、运行电流监测、蒸发室内压力监测；进料、出料控制；物料温度控制；浓缩比重监控；自动清洗（CIP）控制；工艺、安全参数实时显示、报警、联锁保护功能；参数修改、参数报警和报警消除有记录</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2）权限管理：系统登录、操作、维护实行权限分级管理</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3）批次报表及曲线：系统自动生成所需报表及曲线（实时、历史）</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4）数据管理：系统数据至少保存三个月。系统长时间停电后，程序、参数不丢失，能够正常恢复</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5）工艺参数管理：可存储工艺参数，参数可在触摸屏上调用，CIP自动清洗调用；参数中的数据设定进行分级，不同权限级别的人员可以对相应级别的参数进行修改，确定参数后，程序可以自动执行</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6.提供详细的公用工程需求；</w:t>
      </w:r>
      <w:r>
        <w:rPr>
          <w:rFonts w:hint="eastAsia"/>
          <w:color w:val="auto"/>
          <w:sz w:val="24"/>
          <w:highlight w:val="none"/>
          <w:lang w:eastAsia="zh-CN"/>
        </w:rPr>
        <w:t>（</w:t>
      </w:r>
      <w:r>
        <w:rPr>
          <w:rFonts w:hint="eastAsia"/>
          <w:color w:val="auto"/>
          <w:sz w:val="24"/>
          <w:highlight w:val="none"/>
          <w:lang w:val="en-US" w:eastAsia="zh-CN"/>
        </w:rPr>
        <w:t>投标单位在投标文件中提供</w:t>
      </w:r>
      <w:r>
        <w:rPr>
          <w:rFonts w:hint="eastAsia" w:ascii="宋体" w:hAnsi="宋体" w:cs="宋体"/>
          <w:color w:val="auto"/>
          <w:sz w:val="24"/>
          <w:highlight w:val="none"/>
        </w:rPr>
        <w:t>详细的公用工程需求</w:t>
      </w:r>
      <w:r>
        <w:rPr>
          <w:rFonts w:hint="eastAsia"/>
          <w:color w:val="auto"/>
          <w:sz w:val="24"/>
          <w:highlight w:val="none"/>
          <w:lang w:eastAsia="zh-CN"/>
        </w:rPr>
        <w:t>）</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7.设备整机噪声≤80dB（设备1米外测试）</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▲三、</w:t>
      </w:r>
      <w:r>
        <w:rPr>
          <w:rFonts w:hint="eastAsia"/>
          <w:color w:val="auto"/>
          <w:sz w:val="24"/>
          <w:highlight w:val="none"/>
        </w:rPr>
        <w:t>为保证售后服务和产品质量，投标时需提供生产厂家或区域代理商针对本项目的售后服务承诺书原件扫描件。</w:t>
      </w:r>
    </w:p>
    <w:p>
      <w:pPr>
        <w:spacing w:line="360" w:lineRule="auto"/>
        <w:rPr>
          <w:rFonts w:hint="eastAsia" w:ascii="宋体" w:hAnsi="宋体" w:cs="宋体"/>
          <w:color w:val="auto"/>
          <w:sz w:val="24"/>
          <w:highlight w:val="none"/>
        </w:rPr>
      </w:pPr>
    </w:p>
    <w:p>
      <w:pPr>
        <w:spacing w:line="360" w:lineRule="auto"/>
        <w:rPr>
          <w:rFonts w:hint="eastAsia" w:ascii="宋体" w:hAnsi="宋体" w:cs="宋体"/>
          <w:color w:val="auto"/>
          <w:sz w:val="24"/>
          <w:highlight w:val="none"/>
        </w:rPr>
      </w:pPr>
    </w:p>
    <w:p>
      <w:pPr>
        <w:spacing w:line="360" w:lineRule="auto"/>
        <w:outlineLvl w:val="2"/>
        <w:rPr>
          <w:rFonts w:hint="eastAsia" w:ascii="宋体" w:hAnsi="宋体" w:cs="宋体"/>
          <w:color w:val="auto"/>
          <w:sz w:val="24"/>
          <w:highlight w:val="none"/>
        </w:rPr>
      </w:pPr>
      <w:r>
        <w:rPr>
          <w:rFonts w:hint="eastAsia" w:ascii="宋体" w:hAnsi="宋体" w:cs="宋体"/>
          <w:b/>
          <w:bCs/>
          <w:color w:val="auto"/>
          <w:sz w:val="24"/>
          <w:highlight w:val="none"/>
        </w:rPr>
        <w:t>（三）超低温冰箱</w:t>
      </w:r>
      <w:r>
        <w:rPr>
          <w:rFonts w:hint="eastAsia" w:ascii="宋体" w:hAnsi="宋体" w:cs="宋体"/>
          <w:color w:val="auto"/>
          <w:sz w:val="24"/>
          <w:highlight w:val="none"/>
        </w:rPr>
        <w:t xml:space="preserve">  </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 xml:space="preserve">1.样式：立式                                             </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2.容积：≥588L，容量≥40000份样本2ml冻存管</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3.温度范围：-40℃～-86℃</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4.降噪设计：在可能产生噪音的位置装有减震材料，机组周围装有防火吸音棉</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5.材质：外部材料：喷涂钢板；内部材料：304不锈钢板</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6.保温材料：高密度聚氨酯发泡，保温材料厚度≥100mm，VIP隔热材料厚度≥25mm</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7.内门：2扇，材质为304不锈钢；隔热层为无CFC高密度聚氨酯发泡</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8.搁板：3层,材质为304不锈钢，可调节高度</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9.压缩机：优质压缩机，采用碳氢制冷剂，具有节能环保证书；</w:t>
      </w:r>
      <w:r>
        <w:rPr>
          <w:rFonts w:hint="eastAsia"/>
          <w:color w:val="auto"/>
          <w:sz w:val="24"/>
          <w:highlight w:val="none"/>
          <w:lang w:eastAsia="zh-CN"/>
        </w:rPr>
        <w:t>（</w:t>
      </w:r>
      <w:r>
        <w:rPr>
          <w:rFonts w:hint="eastAsia"/>
          <w:color w:val="auto"/>
          <w:sz w:val="24"/>
          <w:highlight w:val="none"/>
          <w:lang w:val="en-US" w:eastAsia="zh-CN"/>
        </w:rPr>
        <w:t>投标单位在投标文件中提供节能环保证书复印件</w:t>
      </w:r>
      <w:r>
        <w:rPr>
          <w:rFonts w:hint="eastAsia"/>
          <w:color w:val="auto"/>
          <w:sz w:val="24"/>
          <w:highlight w:val="none"/>
          <w:lang w:eastAsia="zh-CN"/>
        </w:rPr>
        <w:t>）</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10.显示面板：液晶触摸屏尺寸≥7英寸</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lang w:eastAsia="zh-CN"/>
        </w:rPr>
        <w:t>1</w:t>
      </w:r>
      <w:r>
        <w:rPr>
          <w:rFonts w:hint="eastAsia" w:ascii="宋体" w:hAnsi="宋体" w:cs="宋体"/>
          <w:color w:val="auto"/>
          <w:sz w:val="24"/>
          <w:highlight w:val="none"/>
          <w:lang w:val="en-US" w:eastAsia="zh-CN"/>
        </w:rPr>
        <w:t>1</w:t>
      </w:r>
      <w:r>
        <w:rPr>
          <w:rFonts w:hint="eastAsia" w:ascii="宋体" w:hAnsi="宋体" w:cs="宋体"/>
          <w:color w:val="auto"/>
          <w:sz w:val="24"/>
          <w:highlight w:val="none"/>
        </w:rPr>
        <w:t>.</w:t>
      </w:r>
      <w:r>
        <w:rPr>
          <w:rFonts w:hint="eastAsia"/>
          <w:color w:val="auto"/>
          <w:sz w:val="24"/>
          <w:highlight w:val="none"/>
        </w:rPr>
        <w:t>为保证售后服务和产品质量，投标时需提供生产厂家或区域代理商针对本项目的售后服务承诺书原件扫描件。</w:t>
      </w:r>
    </w:p>
    <w:p>
      <w:pPr>
        <w:spacing w:line="360" w:lineRule="auto"/>
        <w:rPr>
          <w:rFonts w:hint="eastAsia" w:ascii="宋体" w:hAnsi="宋体" w:cs="宋体"/>
          <w:color w:val="auto"/>
          <w:sz w:val="24"/>
          <w:highlight w:val="none"/>
        </w:rPr>
      </w:pPr>
    </w:p>
    <w:p>
      <w:pPr>
        <w:spacing w:line="360" w:lineRule="auto"/>
        <w:rPr>
          <w:rFonts w:hint="eastAsia" w:ascii="宋体" w:hAnsi="宋体" w:cs="宋体"/>
          <w:color w:val="auto"/>
          <w:sz w:val="24"/>
          <w:highlight w:val="none"/>
        </w:rPr>
      </w:pPr>
    </w:p>
    <w:p>
      <w:pPr>
        <w:spacing w:line="360" w:lineRule="auto"/>
        <w:outlineLvl w:val="2"/>
        <w:rPr>
          <w:rFonts w:hint="eastAsia" w:ascii="宋体" w:hAnsi="宋体" w:cs="宋体"/>
          <w:color w:val="auto"/>
          <w:sz w:val="24"/>
          <w:highlight w:val="none"/>
        </w:rPr>
      </w:pPr>
      <w:r>
        <w:rPr>
          <w:rFonts w:hint="eastAsia" w:ascii="宋体" w:hAnsi="宋体" w:cs="宋体"/>
          <w:b/>
          <w:bCs/>
          <w:color w:val="auto"/>
          <w:sz w:val="24"/>
          <w:highlight w:val="none"/>
        </w:rPr>
        <w:t>（四）医用冷藏冷冻箱</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1.样式：立式</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2.容积≥528L</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3.温度范围：-10～-25℃</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4.箱体隔热层：无CFC高密度聚氨酯发泡，保温材料厚度≥95mm</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5.内部结构：每个间室≥2个浸塑搁架；每个间室≥9个抽屉</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6.把手：2个具备泄压功能的铝合金把手</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7.制冷系统：采用铜盘管蒸发器</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8.温度控制：采用微电脑控制系统；精准的电子温度控制及显示，精度0.1℃</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9. 上下间室分别采用独立的制冷系统，双LED数码温控器，可分别对上下间室独立控温</w:t>
      </w:r>
    </w:p>
    <w:p>
      <w:pPr>
        <w:spacing w:line="360" w:lineRule="auto"/>
        <w:rPr>
          <w:rFonts w:hint="eastAsia" w:ascii="宋体" w:hAnsi="宋体" w:cs="宋体"/>
          <w:color w:val="auto"/>
          <w:sz w:val="24"/>
          <w:highlight w:val="none"/>
        </w:rPr>
      </w:pPr>
    </w:p>
    <w:p>
      <w:pPr>
        <w:spacing w:line="360" w:lineRule="auto"/>
        <w:rPr>
          <w:rFonts w:hint="eastAsia" w:ascii="宋体" w:hAnsi="宋体" w:cs="宋体"/>
          <w:color w:val="auto"/>
          <w:sz w:val="24"/>
          <w:highlight w:val="none"/>
        </w:rPr>
      </w:pPr>
    </w:p>
    <w:p>
      <w:pPr>
        <w:spacing w:line="360" w:lineRule="auto"/>
        <w:outlineLvl w:val="2"/>
        <w:rPr>
          <w:rFonts w:hint="eastAsia" w:ascii="宋体" w:hAnsi="宋体" w:cs="宋体"/>
          <w:b/>
          <w:bCs/>
          <w:color w:val="auto"/>
          <w:sz w:val="24"/>
          <w:highlight w:val="none"/>
        </w:rPr>
      </w:pPr>
      <w:r>
        <w:rPr>
          <w:rFonts w:hint="eastAsia" w:ascii="宋体" w:hAnsi="宋体" w:cs="宋体"/>
          <w:b/>
          <w:bCs/>
          <w:color w:val="auto"/>
          <w:sz w:val="24"/>
          <w:highlight w:val="none"/>
        </w:rPr>
        <w:t>（五）超净工作台</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1.适用人数：双人单面</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2.外形尺寸（mm）≥1480×740×1620；工作区尺寸（mm）≥1320×700×520</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3.净化效率≥100级</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4.平均风速（m/s）：0.3~0.6（可调）</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5.最大功耗（KW）≥0.8</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6.平均菌落数≤0.5个/皿·时（φ90mm培养平皿）</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7.噪声≤62dB（A）</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8.振动半峰值≤3µm（X·Y·Z）</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9.高效过滤器规格（mm）≥1355×555×50</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10.荧光灯规格及数量≥LED 28W×1</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11.杀菌灯规格及数量≥28W×1</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12.照度≥300Lx</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13.出风方向：垂直送风</w:t>
      </w:r>
    </w:p>
    <w:p>
      <w:pPr>
        <w:spacing w:line="360" w:lineRule="auto"/>
        <w:rPr>
          <w:rFonts w:hint="eastAsia" w:ascii="宋体" w:hAnsi="宋体" w:cs="宋体"/>
          <w:color w:val="auto"/>
          <w:sz w:val="24"/>
          <w:highlight w:val="none"/>
        </w:rPr>
      </w:pPr>
    </w:p>
    <w:p>
      <w:pPr>
        <w:spacing w:line="360" w:lineRule="auto"/>
        <w:rPr>
          <w:rFonts w:hint="eastAsia" w:ascii="宋体" w:hAnsi="宋体" w:cs="宋体"/>
          <w:color w:val="auto"/>
          <w:sz w:val="24"/>
          <w:highlight w:val="none"/>
        </w:rPr>
      </w:pPr>
    </w:p>
    <w:p>
      <w:pPr>
        <w:spacing w:line="360" w:lineRule="auto"/>
        <w:outlineLvl w:val="2"/>
        <w:rPr>
          <w:rFonts w:hint="eastAsia" w:ascii="宋体" w:hAnsi="宋体" w:cs="宋体"/>
          <w:b/>
          <w:bCs/>
          <w:color w:val="auto"/>
          <w:sz w:val="24"/>
          <w:highlight w:val="none"/>
        </w:rPr>
      </w:pPr>
      <w:r>
        <w:rPr>
          <w:rFonts w:hint="eastAsia" w:ascii="宋体" w:hAnsi="宋体" w:cs="宋体"/>
          <w:b/>
          <w:bCs/>
          <w:color w:val="auto"/>
          <w:sz w:val="24"/>
          <w:highlight w:val="none"/>
        </w:rPr>
        <w:t>（六）单人超净工作台</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1.适用人数：单人单面</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2.外形尺寸（mm）≥990×740×1620；工作区尺寸（mm）≥830×700×520</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3.净化效率：100级</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4.平均风速（m/s）：0.3~0.6（可调）</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5.最大功耗（KW）≤0.4</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6.平均菌落数≤0.5个/皿·时（φ90mm培养平皿）</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7.噪声≤62dB（A）</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8.振动半峰值≤3µm（X·Y·Z）</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9.高效过滤器规格（mm）≥865×555×50</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10.荧光灯规格及数量≥LED 18W×1</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11.杀菌灯规格及数量≥18W×1</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12.照度≥300Lx</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13.出风方向：垂直送风</w:t>
      </w:r>
    </w:p>
    <w:p>
      <w:pPr>
        <w:spacing w:line="360" w:lineRule="auto"/>
        <w:rPr>
          <w:rFonts w:hint="eastAsia" w:ascii="宋体" w:hAnsi="宋体" w:cs="宋体"/>
          <w:color w:val="auto"/>
          <w:sz w:val="24"/>
          <w:highlight w:val="none"/>
        </w:rPr>
      </w:pPr>
    </w:p>
    <w:p>
      <w:pPr>
        <w:spacing w:line="360" w:lineRule="auto"/>
        <w:rPr>
          <w:rFonts w:hint="eastAsia" w:ascii="宋体" w:hAnsi="宋体" w:cs="宋体"/>
          <w:color w:val="auto"/>
          <w:sz w:val="24"/>
          <w:highlight w:val="none"/>
        </w:rPr>
      </w:pPr>
    </w:p>
    <w:p>
      <w:pPr>
        <w:spacing w:line="360" w:lineRule="auto"/>
        <w:rPr>
          <w:rFonts w:hint="eastAsia" w:ascii="宋体" w:hAnsi="宋体" w:cs="宋体"/>
          <w:color w:val="auto"/>
          <w:sz w:val="24"/>
          <w:highlight w:val="none"/>
        </w:rPr>
      </w:pPr>
    </w:p>
    <w:p>
      <w:pPr>
        <w:spacing w:line="360" w:lineRule="auto"/>
        <w:rPr>
          <w:rFonts w:hint="eastAsia" w:ascii="宋体" w:hAnsi="宋体" w:cs="宋体"/>
          <w:color w:val="auto"/>
          <w:sz w:val="24"/>
          <w:highlight w:val="none"/>
        </w:rPr>
      </w:pPr>
    </w:p>
    <w:p>
      <w:pPr>
        <w:spacing w:line="360" w:lineRule="auto"/>
        <w:outlineLvl w:val="2"/>
        <w:rPr>
          <w:rFonts w:hint="eastAsia" w:ascii="宋体" w:hAnsi="宋体" w:cs="宋体"/>
          <w:b/>
          <w:bCs/>
          <w:color w:val="auto"/>
          <w:sz w:val="24"/>
          <w:highlight w:val="none"/>
        </w:rPr>
      </w:pPr>
      <w:r>
        <w:rPr>
          <w:rFonts w:hint="eastAsia" w:ascii="宋体" w:hAnsi="宋体" w:cs="宋体"/>
          <w:b/>
          <w:bCs/>
          <w:color w:val="auto"/>
          <w:sz w:val="24"/>
          <w:highlight w:val="none"/>
        </w:rPr>
        <w:t>（七）台式离心机</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1.最高转速：≥16000 rpm，最大离心力(×g）：≥20600×g</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2.最大容量(ml）：6 x 100ml</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3.定时范围：99h59min59s</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4.噪音(dBA）：&lt; 62dBA （最大转速时）</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5.可预设不少于10个线性加/减速曲线</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6.可存储和调用程序不少于100套</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7.自动电动感应门锁，紧急开锁功能;超速、超温、不平衡自动保护:机身采用优质钢材结构，内置精钢防爆保护内套，不锈钢离心腔，三层保护，安全可靠</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8.采用弹簧锥套连接转头与主轴，360度锁死转头，装卸转头快捷简单，无方向性，安全可靠，使用倍感方便</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9.基本配置：主机 1台；角转子24×1.5/2ml 1个；角转子6×50ml 1个</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10.为保证售后服务和产品质量，投标时需提供生产厂家或区域代理商针对本项目的售后服务承诺书原件扫描件。</w:t>
      </w:r>
    </w:p>
    <w:p>
      <w:pPr>
        <w:spacing w:line="360" w:lineRule="auto"/>
        <w:rPr>
          <w:rFonts w:hint="eastAsia" w:ascii="宋体" w:hAnsi="宋体" w:cs="宋体"/>
          <w:color w:val="auto"/>
          <w:sz w:val="24"/>
          <w:highlight w:val="none"/>
        </w:rPr>
      </w:pPr>
    </w:p>
    <w:p>
      <w:pPr>
        <w:spacing w:line="360" w:lineRule="auto"/>
        <w:rPr>
          <w:rFonts w:hint="eastAsia" w:ascii="宋体" w:hAnsi="宋体" w:cs="宋体"/>
          <w:color w:val="auto"/>
          <w:sz w:val="24"/>
          <w:highlight w:val="none"/>
        </w:rPr>
      </w:pPr>
    </w:p>
    <w:p>
      <w:pPr>
        <w:spacing w:line="360" w:lineRule="auto"/>
        <w:outlineLvl w:val="2"/>
        <w:rPr>
          <w:rFonts w:hint="eastAsia" w:ascii="宋体" w:hAnsi="宋体" w:cs="宋体"/>
          <w:b/>
          <w:bCs/>
          <w:color w:val="auto"/>
          <w:sz w:val="24"/>
          <w:highlight w:val="none"/>
        </w:rPr>
      </w:pPr>
      <w:r>
        <w:rPr>
          <w:rFonts w:hint="eastAsia" w:ascii="宋体" w:hAnsi="宋体" w:cs="宋体"/>
          <w:b/>
          <w:bCs/>
          <w:color w:val="auto"/>
          <w:sz w:val="24"/>
          <w:highlight w:val="none"/>
        </w:rPr>
        <w:t>（八）叠加式全温振荡摇床</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1.二层组合式小容量振荡培养箱，每层可单独控制温度、转速</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 xml:space="preserve">2.振荡频率10-350rpm，控制精度±1rpm，摇板振幅≤26mm                       </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3.温控范围：4-60℃</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4.单层最大容量可选配固定式夹具250ml×30或500ml×20或1000ml×12或2000ml×6或3000ml×5等规格，或者万能夹具、粘板、试管夹具</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5.箱体内部具有紫外灭菌定时功能</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6.摇板可自由抽出，方便装卸摇瓶，防水托盘式设计，带有可移动储水盘，摇板可在5秒内直接取出，非常方便清洁，（需提供实物图佐证）</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7.PLC控制系统，温度调节精度±0.1℃，可自定义程序</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8.配置有双温监控系统，腔体内两套温度探头，当第二套系统温度达到预设报警温度时，可自动切断第一套系统的加热源，避免因超温影响实验结果，待系统恢复到正常温度后，机器会恢复正常运转，有效保证样品安全</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▲9.采用精密三通道气体冷热混匀循环风道设计，确保整个箱体的温度均匀性保证整个箱体温度均匀度≤±0.5℃（提供实物佐证图片）</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10.箱体内部可以直接用水冲洗，且水可以自行导流排出，方便清理，防止细菌交叉感染</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11.为保证售后服务和产品质量，投标时需提供生产厂家或区域代理商针对本项目的售后服务承诺书原件扫描件。</w:t>
      </w:r>
    </w:p>
    <w:p>
      <w:pPr>
        <w:spacing w:line="360" w:lineRule="auto"/>
        <w:rPr>
          <w:rFonts w:hint="eastAsia" w:ascii="宋体" w:hAnsi="宋体" w:cs="宋体"/>
          <w:color w:val="auto"/>
          <w:sz w:val="24"/>
          <w:highlight w:val="none"/>
        </w:rPr>
      </w:pPr>
    </w:p>
    <w:p>
      <w:pPr>
        <w:spacing w:line="360" w:lineRule="auto"/>
        <w:rPr>
          <w:rFonts w:hint="eastAsia" w:ascii="宋体" w:hAnsi="宋体" w:cs="宋体"/>
          <w:color w:val="auto"/>
          <w:sz w:val="24"/>
          <w:highlight w:val="none"/>
        </w:rPr>
      </w:pPr>
    </w:p>
    <w:p>
      <w:pPr>
        <w:spacing w:line="360" w:lineRule="auto"/>
        <w:rPr>
          <w:rFonts w:hint="eastAsia" w:ascii="宋体" w:hAnsi="宋体" w:cs="宋体"/>
          <w:color w:val="auto"/>
          <w:sz w:val="24"/>
          <w:highlight w:val="none"/>
        </w:rPr>
      </w:pPr>
    </w:p>
    <w:p>
      <w:pPr>
        <w:spacing w:line="360" w:lineRule="auto"/>
        <w:outlineLvl w:val="2"/>
        <w:rPr>
          <w:rFonts w:hint="eastAsia" w:ascii="宋体" w:hAnsi="宋体" w:cs="宋体"/>
          <w:b/>
          <w:bCs/>
          <w:color w:val="auto"/>
          <w:sz w:val="24"/>
          <w:highlight w:val="none"/>
        </w:rPr>
      </w:pPr>
      <w:r>
        <w:rPr>
          <w:rFonts w:hint="eastAsia" w:ascii="宋体" w:hAnsi="宋体" w:cs="宋体"/>
          <w:b/>
          <w:bCs/>
          <w:color w:val="auto"/>
          <w:sz w:val="24"/>
          <w:highlight w:val="none"/>
        </w:rPr>
        <w:t>（九）生化培养箱</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1.温度范围：0°C~65°C</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2.温度均匀度≤±2°C</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3.温度波动度：±0.5°C~±1°C</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4.箱内循环方式：微风搅拌方式</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5.温度显示精度≤0.1°C</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6.温度控制精度≤±0.1°C</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7.内部尺寸W×D×H（cm）≥52×50×117</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8.内部容积（L）≥304</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9.外部尺寸W×D×H（cm）≥66×70.2×169.5</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10.搁板≥3</w:t>
      </w:r>
    </w:p>
    <w:p>
      <w:pPr>
        <w:spacing w:line="360" w:lineRule="auto"/>
        <w:rPr>
          <w:rFonts w:hint="eastAsia" w:ascii="宋体" w:hAnsi="宋体" w:cs="宋体"/>
          <w:color w:val="auto"/>
          <w:sz w:val="24"/>
          <w:highlight w:val="none"/>
        </w:rPr>
      </w:pPr>
    </w:p>
    <w:p>
      <w:pPr>
        <w:spacing w:line="360" w:lineRule="auto"/>
        <w:rPr>
          <w:rFonts w:hint="eastAsia" w:ascii="宋体" w:hAnsi="宋体" w:cs="宋体"/>
          <w:color w:val="auto"/>
          <w:sz w:val="24"/>
          <w:highlight w:val="none"/>
        </w:rPr>
      </w:pPr>
    </w:p>
    <w:p>
      <w:pPr>
        <w:spacing w:line="360" w:lineRule="auto"/>
        <w:outlineLvl w:val="2"/>
        <w:rPr>
          <w:rFonts w:hint="eastAsia" w:ascii="宋体" w:hAnsi="宋体" w:cs="宋体"/>
          <w:b/>
          <w:bCs/>
          <w:color w:val="auto"/>
          <w:sz w:val="24"/>
          <w:highlight w:val="none"/>
        </w:rPr>
      </w:pPr>
      <w:r>
        <w:rPr>
          <w:rFonts w:hint="eastAsia" w:ascii="宋体" w:hAnsi="宋体" w:cs="宋体"/>
          <w:b/>
          <w:bCs/>
          <w:color w:val="auto"/>
          <w:sz w:val="24"/>
          <w:highlight w:val="none"/>
        </w:rPr>
        <w:t>（十）管式离心机</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1.转鼓内径≥ Φ142 mm</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2.转 速 ≥14000 r/min</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3.进料压力 ≥0.05MPa</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4.分离因数 ≥15900</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5.重 量≥ 650 kg</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6.转鼓容积≥ 10L</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7.电机功率≥ 3.0KW</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8.电机转速 ≥2850r/min</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9.外形尺寸（mm） ≥650 X 550 X 1700</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10.通水能力≥ 2500L/h</w:t>
      </w:r>
    </w:p>
    <w:p>
      <w:pPr>
        <w:spacing w:line="360" w:lineRule="auto"/>
        <w:rPr>
          <w:rFonts w:hint="eastAsia" w:ascii="宋体" w:hAnsi="宋体" w:cs="宋体"/>
          <w:color w:val="auto"/>
          <w:sz w:val="24"/>
          <w:highlight w:val="none"/>
        </w:rPr>
      </w:pPr>
    </w:p>
    <w:p>
      <w:pPr>
        <w:spacing w:line="360" w:lineRule="auto"/>
        <w:rPr>
          <w:rFonts w:hint="eastAsia" w:ascii="宋体" w:hAnsi="宋体" w:cs="宋体"/>
          <w:color w:val="auto"/>
          <w:sz w:val="24"/>
          <w:highlight w:val="none"/>
        </w:rPr>
      </w:pPr>
    </w:p>
    <w:p>
      <w:pPr>
        <w:spacing w:line="360" w:lineRule="auto"/>
        <w:outlineLvl w:val="2"/>
        <w:rPr>
          <w:rFonts w:hint="eastAsia" w:ascii="宋体" w:hAnsi="宋体" w:cs="宋体"/>
          <w:b/>
          <w:bCs/>
          <w:color w:val="auto"/>
          <w:sz w:val="24"/>
          <w:highlight w:val="none"/>
        </w:rPr>
      </w:pPr>
      <w:r>
        <w:rPr>
          <w:rFonts w:hint="eastAsia" w:ascii="宋体" w:hAnsi="宋体" w:cs="宋体"/>
          <w:b/>
          <w:bCs/>
          <w:color w:val="auto"/>
          <w:sz w:val="24"/>
          <w:highlight w:val="none"/>
        </w:rPr>
        <w:t>（十一）研磨仪</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1.  15秒内可以同时处理24个样品</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2.可以同时处理24个2ml研磨管,和12个5ml研磨管，6个（7-15）ML研磨管, 2*25ml， 2*50ML可以任意定做各种规格研磨管</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3.工作方式： 垂直上下研磨珠运动方式，保证样品处理的最大化和瞬间的粉碎效果</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4.最大进料尺寸：无要求，根据适配器调节.最终出料粒度≤~5µm</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5.研磨平台数 (可接纳研磨罐数） &gt;2</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6.均质速度： 0—70 HZ/秒,工作时间 ：0秒-9999分钟，用户可自行设定</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7.转速范围：1000rpm-7000rpm</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8.研磨球直径： 0.1-30mm</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9.加速/减速： 在小于等于2秒内达到最大速度/在不大于2秒内达到最低速度</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10.噪音等级： &lt;55db</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11.可随意更换适配器，有十四种适配器可供选配，0.2ml×96 孔板， 2.0ml×24适配器，5.0ml×12适配器，15ml×8适配器， 15ml×8适配器， 25ml×4适配器 ，50ml×2适配器，2.0ml×48适配器，5.0ml×24 适配器， 2.0ml×24冷冻适配器（可达-196度）， 5.0ml×12冷冻适配器（可达-196度），15ml×8冷冻适配器（可达-196度），25ml×2冷冻适配器（可达-196度），50ml×2冷冻适配器（可达-196度），可接受定制</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12.为保证售后服务和产品质量，投标时需提供生产厂家或区域代理商针对本项目的售后服务承诺书原件扫描件。</w:t>
      </w:r>
    </w:p>
    <w:p>
      <w:pPr>
        <w:spacing w:line="360" w:lineRule="auto"/>
        <w:rPr>
          <w:rFonts w:hint="eastAsia" w:ascii="宋体" w:hAnsi="宋体" w:cs="宋体"/>
          <w:color w:val="auto"/>
          <w:sz w:val="24"/>
          <w:highlight w:val="none"/>
        </w:rPr>
      </w:pPr>
    </w:p>
    <w:p>
      <w:pPr>
        <w:spacing w:line="360" w:lineRule="auto"/>
        <w:rPr>
          <w:rFonts w:hint="eastAsia" w:ascii="宋体" w:hAnsi="宋体" w:cs="宋体"/>
          <w:color w:val="auto"/>
          <w:sz w:val="24"/>
          <w:highlight w:val="none"/>
        </w:rPr>
      </w:pPr>
    </w:p>
    <w:p>
      <w:pPr>
        <w:spacing w:line="360" w:lineRule="auto"/>
        <w:outlineLvl w:val="2"/>
        <w:rPr>
          <w:rFonts w:hint="eastAsia" w:ascii="宋体" w:hAnsi="宋体" w:cs="宋体"/>
          <w:b/>
          <w:bCs/>
          <w:color w:val="auto"/>
          <w:sz w:val="24"/>
          <w:highlight w:val="none"/>
        </w:rPr>
      </w:pPr>
      <w:r>
        <w:rPr>
          <w:rFonts w:hint="eastAsia" w:ascii="宋体" w:hAnsi="宋体" w:cs="宋体"/>
          <w:b/>
          <w:bCs/>
          <w:color w:val="auto"/>
          <w:sz w:val="24"/>
          <w:highlight w:val="none"/>
        </w:rPr>
        <w:t>（十二）超纯水纯水一体机</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1.制水量 ≥40升/小时（水温25℃时）</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2.出水流量：1.5－1.8升/分钟（水箱储水时）水箱容积≥80升，水箱具有ULUPURE液位传感控制系统，防止系统漏水。</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3.反渗透模块采用“一种快插式反渗透膜壳”工艺，更换耗材更快捷。电导率≤源水电导率×2%（约1—5μs/cm 补偿至25℃）</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▲4.超纯化模块采用“一种纯化柱用过滤网”工艺，有效拦截水中杂质，维护水质稳定。 UP超纯水产水质：电阻率18.2MΩ.cm @25℃（在线监测）（投标时需提供彩页或者官方网站截图加盖投标人公章）</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5.具系统自动冲洗功能；开机自检功能；自动保护功能；</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▲6.具有“一种水质检测用电极安装槽，方便了解水质情况”(投标时需提供彩页或者官方网站截图加盖投标人公章）</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7.具有“一种电磁阀与超纯水机机箱的快速安装结构”，有效保护纯水机，正常运行</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8.具有“实验室纯水器RO膜自动药剂清洗装置”，方便用户自动清洗超纯水器。</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 xml:space="preserve">▲9.需承诺中标后在海南本地设立办事处或售后服务部，由生产商负责免费到场安装调试；对最终用户在安装现场进行免费人员培训；能及时解决售后服务问题。                                                 </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10.为保证售后服务和产品质量，投标时需提供生产厂家或区域代理商针对本项目的售后服务承诺书原件扫描件。</w:t>
      </w:r>
    </w:p>
    <w:p>
      <w:pPr>
        <w:spacing w:line="360" w:lineRule="auto"/>
        <w:rPr>
          <w:rFonts w:hint="eastAsia" w:ascii="宋体" w:hAnsi="宋体" w:cs="宋体"/>
          <w:color w:val="auto"/>
          <w:sz w:val="24"/>
          <w:highlight w:val="none"/>
        </w:rPr>
      </w:pPr>
    </w:p>
    <w:p>
      <w:pPr>
        <w:spacing w:line="360" w:lineRule="auto"/>
        <w:rPr>
          <w:rFonts w:hint="eastAsia" w:ascii="宋体" w:hAnsi="宋体" w:cs="宋体"/>
          <w:color w:val="auto"/>
          <w:sz w:val="24"/>
          <w:highlight w:val="none"/>
        </w:rPr>
      </w:pPr>
    </w:p>
    <w:p>
      <w:pPr>
        <w:spacing w:line="360" w:lineRule="auto"/>
        <w:outlineLvl w:val="2"/>
        <w:rPr>
          <w:rFonts w:hint="eastAsia" w:ascii="宋体" w:hAnsi="宋体" w:cs="宋体"/>
          <w:b/>
          <w:bCs/>
          <w:color w:val="auto"/>
          <w:sz w:val="24"/>
          <w:highlight w:val="none"/>
        </w:rPr>
      </w:pPr>
      <w:r>
        <w:rPr>
          <w:rFonts w:hint="eastAsia" w:ascii="宋体" w:hAnsi="宋体" w:cs="宋体"/>
          <w:b/>
          <w:bCs/>
          <w:color w:val="auto"/>
          <w:sz w:val="24"/>
          <w:highlight w:val="none"/>
        </w:rPr>
        <w:t>（十三）基因扩增仪</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1.样品基座：0.2ml，96孔</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2.最大模块变温速率≥3.0℃/Sec，变温速率可调节</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3.最大样本变温速率≥2.2℃/Sec</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4.温度范围: 4-100.0℃</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5.温度均一性≤0.5℃（达到95℃后30秒）</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6.温度准确性≤±0.5℃（35-99.9℃）</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7.PCR体积范围：10—100 uL</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8.彩色触摸式显示屏，直观的导航按钮设置操作简单方便</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9.程序存储：机载存储≥2000MB（存储超过1000个程序文件），也具有USB插口，用于转移程序，存储不限数量的程序</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10.内置多种PCR程序模板，可直接调用，包括基础PCR、热启动PCR、测序PCR、优化PCR、 RT-PCR、高保真PCR、高特异PCR和Long PCR等</w:t>
      </w:r>
    </w:p>
    <w:p>
      <w:pPr>
        <w:spacing w:line="360" w:lineRule="auto"/>
        <w:rPr>
          <w:rFonts w:hint="eastAsia" w:ascii="宋体" w:hAnsi="宋体" w:cs="宋体"/>
          <w:color w:val="auto"/>
          <w:sz w:val="24"/>
          <w:highlight w:val="none"/>
        </w:rPr>
      </w:pPr>
    </w:p>
    <w:p>
      <w:pPr>
        <w:spacing w:line="360" w:lineRule="auto"/>
        <w:rPr>
          <w:rFonts w:hint="eastAsia" w:ascii="宋体" w:hAnsi="宋体" w:cs="宋体"/>
          <w:color w:val="auto"/>
          <w:sz w:val="24"/>
          <w:highlight w:val="none"/>
        </w:rPr>
      </w:pPr>
    </w:p>
    <w:p>
      <w:pPr>
        <w:spacing w:line="360" w:lineRule="auto"/>
        <w:outlineLvl w:val="2"/>
        <w:rPr>
          <w:rFonts w:hint="eastAsia" w:ascii="宋体" w:hAnsi="宋体" w:cs="宋体"/>
          <w:b/>
          <w:bCs/>
          <w:color w:val="auto"/>
          <w:sz w:val="24"/>
          <w:highlight w:val="none"/>
        </w:rPr>
      </w:pPr>
      <w:r>
        <w:rPr>
          <w:rFonts w:hint="eastAsia" w:ascii="宋体" w:hAnsi="宋体" w:cs="宋体"/>
          <w:b/>
          <w:bCs/>
          <w:color w:val="auto"/>
          <w:sz w:val="24"/>
          <w:highlight w:val="none"/>
        </w:rPr>
        <w:t>（十四）超微量分光光度计</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1.光程：1mm、0.5mm、0.05mm</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2.微量样品体积要求：0.3～2µL</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3.光源：长寿命脉冲氙闪灯</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4.检测器：3864-元素线性硅化CCD阵列</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5.波长范围： 190～850nm，波长精度≤±1nm，波长分辨率≤2nm (FWHM at Hg 546nm）</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6.光度范围：190-1100nm</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7.吸光率范围：0.002～300 Abs,等效于10mm，吸光率准确度： 1% (0.76吸光率在350nm）；吸光率精确度：0.002 Abs</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8.核酸测量范围：2～15000 ng/µl （dsDNA）</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9.蛋白质测量范围：0.1～400mg/ml（BSA）</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10.内置方法：核酸、蛋白质、全波长、微阵列</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11.具有一键导出扫描检测结果的谱图功能</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12.开机无需等待，即开即用，1.0-5.0秒即可完成190nm-1100nm波长的数据采集</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▲13.仪器控制与操作：内置win10系统、自带7寸高清显示屏，全触控操作，数据输出方式和方法存储：内置≥32GB存储空间，可直接存储测量结果数据与自定义方法</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▲14.为保证售后服务和产品质量，投标时需提供生产厂家或区域代理商针对本项目的售后服务承诺书原件扫描件。</w:t>
      </w:r>
    </w:p>
    <w:p>
      <w:pPr>
        <w:spacing w:line="360" w:lineRule="auto"/>
        <w:rPr>
          <w:rFonts w:hint="eastAsia" w:ascii="宋体" w:hAnsi="宋体" w:cs="宋体"/>
          <w:color w:val="auto"/>
          <w:sz w:val="24"/>
          <w:highlight w:val="none"/>
        </w:rPr>
      </w:pPr>
    </w:p>
    <w:p>
      <w:pPr>
        <w:spacing w:line="360" w:lineRule="auto"/>
        <w:rPr>
          <w:rFonts w:hint="eastAsia" w:ascii="宋体" w:hAnsi="宋体" w:cs="宋体"/>
          <w:b/>
          <w:bCs/>
          <w:color w:val="auto"/>
          <w:sz w:val="24"/>
          <w:highlight w:val="none"/>
        </w:rPr>
      </w:pPr>
    </w:p>
    <w:p>
      <w:pPr>
        <w:spacing w:line="360" w:lineRule="auto"/>
        <w:outlineLvl w:val="2"/>
        <w:rPr>
          <w:rFonts w:hint="eastAsia" w:ascii="宋体" w:hAnsi="宋体" w:cs="宋体"/>
          <w:b/>
          <w:bCs/>
          <w:color w:val="auto"/>
          <w:sz w:val="24"/>
          <w:highlight w:val="none"/>
        </w:rPr>
      </w:pPr>
      <w:r>
        <w:rPr>
          <w:rFonts w:hint="eastAsia" w:ascii="宋体" w:hAnsi="宋体" w:cs="宋体"/>
          <w:b/>
          <w:bCs/>
          <w:color w:val="auto"/>
          <w:sz w:val="24"/>
          <w:highlight w:val="none"/>
        </w:rPr>
        <w:t>（十五）凝胶成像分析仪</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1.反射紫外光源波长：254nm、365nm</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2.透射紫外光源波长：302nm</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3.紫外光透射面积≥250 × 200mm</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4.白光透射面积≥250 × 200mm</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5.摄像系统技术参数：</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5.1摄像头有效分辨率≥ 500 万像素（2592 x 1944）</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5.2像素密度≥8位</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5.3 曝光时间：1ms—2s</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5.4摄像头信噪比：≥56dB</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5.5检测灵敏度：≤0.01EB染色的DNA</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5.6自动控制卡口镜头： 6 倍光学变焦（8—48mm）F1:1.2光圈</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5.7滤光片波长：590nm，兼容EB、Goldview、Sybr等大部分荧光染料</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6.为保证售后服务和产品质量，投标时需提供生产厂家或区域代理商针对本项目的售后服务承诺书原件扫描件。</w:t>
      </w:r>
    </w:p>
    <w:p>
      <w:pPr>
        <w:spacing w:line="360" w:lineRule="auto"/>
        <w:rPr>
          <w:rFonts w:hint="eastAsia" w:ascii="宋体" w:hAnsi="宋体" w:cs="宋体"/>
          <w:color w:val="auto"/>
          <w:sz w:val="24"/>
          <w:highlight w:val="none"/>
        </w:rPr>
      </w:pPr>
    </w:p>
    <w:p>
      <w:pPr>
        <w:spacing w:line="360" w:lineRule="auto"/>
        <w:rPr>
          <w:rFonts w:hint="eastAsia" w:ascii="宋体" w:hAnsi="宋体" w:cs="宋体"/>
          <w:color w:val="auto"/>
          <w:sz w:val="24"/>
          <w:highlight w:val="none"/>
        </w:rPr>
      </w:pPr>
    </w:p>
    <w:p>
      <w:pPr>
        <w:spacing w:line="360" w:lineRule="auto"/>
        <w:outlineLvl w:val="2"/>
        <w:rPr>
          <w:rFonts w:hint="eastAsia" w:ascii="宋体" w:hAnsi="宋体" w:cs="宋体"/>
          <w:b/>
          <w:bCs/>
          <w:color w:val="auto"/>
          <w:sz w:val="24"/>
          <w:highlight w:val="none"/>
        </w:rPr>
      </w:pPr>
      <w:r>
        <w:rPr>
          <w:rFonts w:hint="eastAsia" w:ascii="宋体" w:hAnsi="宋体" w:cs="宋体"/>
          <w:b/>
          <w:bCs/>
          <w:color w:val="auto"/>
          <w:sz w:val="24"/>
          <w:highlight w:val="none"/>
        </w:rPr>
        <w:t>（十六）电泳仪</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1.电泳电源技术参数：</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 xml:space="preserve">1.1输出组数：4组并联输出 </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1.2输出电压：6-600V   (显示精度：0.1V ）</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1.3输出电流：4-600mA （显示精度：0.1mA）</w:t>
      </w:r>
    </w:p>
    <w:p>
      <w:pPr>
        <w:numPr>
          <w:ilvl w:val="0"/>
          <w:numId w:val="2"/>
        </w:numPr>
        <w:spacing w:line="360" w:lineRule="auto"/>
        <w:rPr>
          <w:rFonts w:hint="eastAsia" w:ascii="宋体" w:hAnsi="宋体" w:cs="宋体"/>
          <w:color w:val="auto"/>
          <w:sz w:val="24"/>
          <w:highlight w:val="none"/>
        </w:rPr>
      </w:pPr>
      <w:r>
        <w:rPr>
          <w:rFonts w:hint="eastAsia" w:ascii="宋体" w:hAnsi="宋体" w:cs="宋体"/>
          <w:color w:val="auto"/>
          <w:sz w:val="24"/>
          <w:highlight w:val="none"/>
        </w:rPr>
        <w:t>琼脂糖水平电泳槽技术参数：</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2.1电极铂金丝直径≥0.3mm，纯度≥99.95%，电场稳定</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2.2凝胶板规格(L×W）≥60×60mm；≥120×60mm(长胶）；≥60×120mm(宽胶）；≥120×120mm</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2.3样品梳：11+25齿(1.0mm厚）；6+13齿(1.5mm厚）；8+18齿(1.5mm厚）；2+3齿(2.0mm厚）</w:t>
      </w:r>
    </w:p>
    <w:p>
      <w:pPr>
        <w:numPr>
          <w:ilvl w:val="0"/>
          <w:numId w:val="2"/>
        </w:numPr>
        <w:spacing w:line="360" w:lineRule="auto"/>
        <w:rPr>
          <w:rFonts w:hint="eastAsia" w:ascii="宋体" w:hAnsi="宋体" w:cs="宋体"/>
          <w:color w:val="auto"/>
          <w:sz w:val="24"/>
          <w:highlight w:val="none"/>
        </w:rPr>
      </w:pPr>
      <w:r>
        <w:rPr>
          <w:rFonts w:hint="eastAsia" w:ascii="宋体" w:hAnsi="宋体" w:cs="宋体"/>
          <w:color w:val="auto"/>
          <w:sz w:val="24"/>
          <w:highlight w:val="none"/>
        </w:rPr>
        <w:t>小型垂直电泳槽技术参数：</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3.1凝胶数量： 1-4</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3.2凝胶类型： 手灌胶与预制胶</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3.3灌胶方式： 使用制胶支架，无须封胶</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3.4铂金电极： 铂金丝直径≥0.26mm，纯度≥99.95%</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3.5玻板尺寸≥ 厚玻板101 x 82 mm；短玻板101 x 73 mm</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3.6凝胶尺寸≥手灌胶 83 x 73 mm；预制胶 86 x 68 mm</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3.7样品梳：10、15齿，1.0mm厚；10、15齿，1.5mm厚（选配）；10、15齿，0.75mm厚（选配）</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3.8缓冲液容积：2块胶≥700 ml；4块胶≥1000 ml</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3.9运行时间：标准SDS-PAGE凝胶35-45分钟(恒压200V）</w:t>
      </w:r>
    </w:p>
    <w:p>
      <w:pPr>
        <w:spacing w:line="360" w:lineRule="auto"/>
        <w:rPr>
          <w:rFonts w:hint="eastAsia" w:ascii="宋体" w:hAnsi="宋体" w:cs="宋体"/>
          <w:color w:val="auto"/>
          <w:sz w:val="24"/>
          <w:highlight w:val="none"/>
        </w:rPr>
      </w:pPr>
    </w:p>
    <w:p>
      <w:pPr>
        <w:spacing w:line="360" w:lineRule="auto"/>
        <w:rPr>
          <w:rFonts w:hint="eastAsia" w:ascii="宋体" w:hAnsi="宋体" w:cs="宋体"/>
          <w:color w:val="auto"/>
          <w:sz w:val="24"/>
          <w:highlight w:val="none"/>
        </w:rPr>
      </w:pPr>
    </w:p>
    <w:p>
      <w:pPr>
        <w:spacing w:line="360" w:lineRule="auto"/>
        <w:outlineLvl w:val="2"/>
        <w:rPr>
          <w:rFonts w:hint="eastAsia" w:ascii="宋体" w:hAnsi="宋体" w:cs="宋体"/>
          <w:b/>
          <w:bCs/>
          <w:color w:val="auto"/>
          <w:sz w:val="24"/>
          <w:highlight w:val="none"/>
        </w:rPr>
      </w:pPr>
      <w:r>
        <w:rPr>
          <w:rFonts w:hint="eastAsia" w:ascii="宋体" w:hAnsi="宋体" w:cs="宋体"/>
          <w:b/>
          <w:bCs/>
          <w:color w:val="auto"/>
          <w:sz w:val="24"/>
          <w:highlight w:val="none"/>
        </w:rPr>
        <w:t>（十七）万分之一天平</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1.单体精密质量传感器　</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2.天平自动根据温度设定自动内部校正</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3.七级防震滤波可调功能　</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4.防干扰、防静电金属外壳　</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5.下挂钩称重装置，满足轻量大体积称重要求</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6.量程(g） ：200-220；可读性(mg）≤0.1 ；重复性(mg） ≤±0.1；线性误差(mg）≤±0.2</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7.称盘尺寸(mm）≥Φ90</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8.外形尺寸(mm）≥345×223×331</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9.校正方式：全自动智能内校系统</w:t>
      </w:r>
    </w:p>
    <w:p>
      <w:pPr>
        <w:spacing w:line="360" w:lineRule="auto"/>
        <w:rPr>
          <w:rFonts w:hint="eastAsia" w:ascii="宋体" w:hAnsi="宋体" w:cs="宋体"/>
          <w:color w:val="auto"/>
          <w:sz w:val="24"/>
          <w:highlight w:val="none"/>
        </w:rPr>
      </w:pPr>
    </w:p>
    <w:p>
      <w:pPr>
        <w:spacing w:line="360" w:lineRule="auto"/>
        <w:rPr>
          <w:rFonts w:hint="eastAsia" w:ascii="宋体" w:hAnsi="宋体" w:cs="宋体"/>
          <w:color w:val="auto"/>
          <w:sz w:val="24"/>
          <w:highlight w:val="none"/>
        </w:rPr>
      </w:pPr>
    </w:p>
    <w:p>
      <w:pPr>
        <w:spacing w:line="360" w:lineRule="auto"/>
        <w:outlineLvl w:val="2"/>
        <w:rPr>
          <w:rFonts w:hint="eastAsia" w:ascii="宋体" w:hAnsi="宋体" w:cs="宋体"/>
          <w:color w:val="auto"/>
          <w:sz w:val="24"/>
          <w:highlight w:val="none"/>
        </w:rPr>
      </w:pPr>
      <w:r>
        <w:rPr>
          <w:rFonts w:hint="eastAsia" w:ascii="宋体" w:hAnsi="宋体" w:cs="宋体"/>
          <w:b/>
          <w:bCs/>
          <w:color w:val="auto"/>
          <w:sz w:val="24"/>
          <w:highlight w:val="none"/>
        </w:rPr>
        <w:t xml:space="preserve">（十八）制冰机  </w:t>
      </w:r>
      <w:r>
        <w:rPr>
          <w:rFonts w:hint="eastAsia" w:ascii="宋体" w:hAnsi="宋体" w:cs="宋体"/>
          <w:color w:val="auto"/>
          <w:sz w:val="24"/>
          <w:highlight w:val="none"/>
        </w:rPr>
        <w:t xml:space="preserve"> </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1.制冰量 (kg/24h）≥40Kg</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2.储冰量(kg）≥15</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3.冷凝方式:风冷</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4.耗水量(L/H）≤1.6</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5.压缩机/制冷剂:进口无氟/R134a</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6.箱体外壳:不锈钢</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7.输入功率(w） ≥280</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8.冰型：不规则的细小颗粒状雪花状</w:t>
      </w:r>
    </w:p>
    <w:p>
      <w:pPr>
        <w:spacing w:line="360" w:lineRule="auto"/>
        <w:rPr>
          <w:rFonts w:hint="eastAsia" w:ascii="宋体" w:hAnsi="宋体" w:cs="宋体"/>
          <w:color w:val="auto"/>
          <w:sz w:val="24"/>
          <w:highlight w:val="none"/>
        </w:rPr>
      </w:pPr>
    </w:p>
    <w:p>
      <w:pPr>
        <w:spacing w:line="360" w:lineRule="auto"/>
        <w:rPr>
          <w:rFonts w:hint="eastAsia" w:ascii="宋体" w:hAnsi="宋体" w:cs="宋体"/>
          <w:color w:val="auto"/>
          <w:sz w:val="24"/>
          <w:highlight w:val="none"/>
        </w:rPr>
      </w:pPr>
    </w:p>
    <w:p>
      <w:pPr>
        <w:spacing w:line="360" w:lineRule="auto"/>
        <w:rPr>
          <w:rFonts w:hint="eastAsia" w:ascii="宋体" w:hAnsi="宋体" w:cs="宋体"/>
          <w:b/>
          <w:bCs/>
          <w:color w:val="auto"/>
          <w:sz w:val="24"/>
          <w:highlight w:val="none"/>
        </w:rPr>
      </w:pPr>
    </w:p>
    <w:p>
      <w:pPr>
        <w:spacing w:line="360" w:lineRule="auto"/>
        <w:outlineLvl w:val="2"/>
        <w:rPr>
          <w:rFonts w:hint="eastAsia" w:ascii="宋体" w:hAnsi="宋体" w:cs="宋体"/>
          <w:b/>
          <w:bCs/>
          <w:color w:val="auto"/>
          <w:sz w:val="24"/>
          <w:highlight w:val="none"/>
        </w:rPr>
      </w:pPr>
      <w:r>
        <w:rPr>
          <w:rFonts w:hint="eastAsia" w:ascii="宋体" w:hAnsi="宋体" w:cs="宋体"/>
          <w:b/>
          <w:bCs/>
          <w:color w:val="auto"/>
          <w:sz w:val="24"/>
          <w:highlight w:val="none"/>
        </w:rPr>
        <w:t>（十九）低温干燥喷粉机</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1.雾化系统：压力式，专用二流体喷雾的雾化结构，整机采用优质不锈钢材料制造</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2.进风温度控制：30℃～300℃</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3.出风温度：30℃～140℃</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4.蒸发水量：1500mL/H～2000ml/h（物料不同进料量不同）</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5.最大进料量：蠕动泵可调最大为2000ml/h（物料不同进料量不同）</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6.最小进料量≥30mL</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7.进料方式：蠕动泵调节</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8.控温精度：±1℃</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9.平均干燥时间：0.8～1.5S</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10.喷嘴口径：0.5mm/0.7mm/0.75mm/1.0mm/1.5mm/2.0mm可选</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11.干燥后的成品干粉，其颗粒度较均匀，95%以上的干粉在同一颗粒度范围。</w:t>
      </w:r>
    </w:p>
    <w:p>
      <w:pPr>
        <w:spacing w:line="360" w:lineRule="auto"/>
        <w:rPr>
          <w:rFonts w:hint="eastAsia" w:ascii="宋体" w:hAnsi="宋体" w:cs="宋体"/>
          <w:color w:val="auto"/>
          <w:sz w:val="24"/>
          <w:highlight w:val="none"/>
        </w:rPr>
      </w:pPr>
    </w:p>
    <w:p>
      <w:pPr>
        <w:spacing w:line="360" w:lineRule="auto"/>
        <w:rPr>
          <w:rFonts w:hint="eastAsia" w:ascii="宋体" w:hAnsi="宋体" w:cs="宋体"/>
          <w:color w:val="auto"/>
          <w:sz w:val="24"/>
          <w:highlight w:val="none"/>
        </w:rPr>
      </w:pPr>
    </w:p>
    <w:p>
      <w:pPr>
        <w:spacing w:line="360" w:lineRule="auto"/>
        <w:outlineLvl w:val="2"/>
        <w:rPr>
          <w:rFonts w:hint="eastAsia" w:ascii="宋体" w:hAnsi="宋体" w:cs="宋体"/>
          <w:b/>
          <w:bCs/>
          <w:color w:val="auto"/>
          <w:sz w:val="24"/>
          <w:highlight w:val="none"/>
        </w:rPr>
      </w:pPr>
      <w:r>
        <w:rPr>
          <w:rFonts w:hint="eastAsia" w:ascii="宋体" w:hAnsi="宋体" w:cs="宋体"/>
          <w:b/>
          <w:bCs/>
          <w:color w:val="auto"/>
          <w:sz w:val="24"/>
          <w:highlight w:val="none"/>
        </w:rPr>
        <w:t>（二十）菌种冷藏柜</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 xml:space="preserve">1.容量≥800L                                                                                                                                                                                                                               </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 xml:space="preserve">2.制温范围：2-8℃ </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3.尺寸≥1800mmx590mmx1940mm（长*宽*高）</w:t>
      </w:r>
    </w:p>
    <w:p>
      <w:pPr>
        <w:spacing w:line="360" w:lineRule="auto"/>
        <w:rPr>
          <w:rFonts w:hint="eastAsia" w:ascii="宋体" w:hAnsi="宋体" w:cs="宋体"/>
          <w:color w:val="auto"/>
          <w:sz w:val="24"/>
          <w:highlight w:val="none"/>
        </w:rPr>
      </w:pPr>
    </w:p>
    <w:p>
      <w:pPr>
        <w:spacing w:line="360" w:lineRule="auto"/>
        <w:rPr>
          <w:rFonts w:hint="eastAsia" w:ascii="宋体" w:hAnsi="宋体" w:cs="宋体"/>
          <w:color w:val="auto"/>
          <w:sz w:val="24"/>
          <w:highlight w:val="none"/>
        </w:rPr>
      </w:pPr>
    </w:p>
    <w:p>
      <w:pPr>
        <w:spacing w:line="360" w:lineRule="auto"/>
        <w:rPr>
          <w:rFonts w:hint="eastAsia" w:ascii="宋体" w:hAnsi="宋体" w:cs="宋体"/>
          <w:color w:val="auto"/>
          <w:sz w:val="24"/>
          <w:highlight w:val="none"/>
        </w:rPr>
      </w:pPr>
    </w:p>
    <w:p>
      <w:pPr>
        <w:spacing w:line="360" w:lineRule="auto"/>
        <w:outlineLvl w:val="2"/>
        <w:rPr>
          <w:rFonts w:hint="eastAsia" w:ascii="宋体" w:hAnsi="宋体" w:cs="宋体"/>
          <w:b/>
          <w:bCs/>
          <w:color w:val="auto"/>
          <w:sz w:val="24"/>
          <w:highlight w:val="none"/>
        </w:rPr>
      </w:pPr>
      <w:r>
        <w:rPr>
          <w:rFonts w:hint="eastAsia" w:ascii="宋体" w:hAnsi="宋体" w:cs="宋体"/>
          <w:b/>
          <w:bCs/>
          <w:color w:val="auto"/>
          <w:sz w:val="24"/>
          <w:highlight w:val="none"/>
        </w:rPr>
        <w:t>（二十一）-25℃医用低温保存箱</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1.容积≥278L</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2.净重≤105kg</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3.额定功率≤180W</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4.耗电量≤1.5kW.H/24h</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 xml:space="preserve">5.噪音值≤46dB  </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6.制冷方式：直冷</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 xml:space="preserve">7.温度范围：-10℃～-25℃                                           </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8.外部尺寸（宽*深*高）≥659*600*1694（mm），内部尺寸（宽*深*高）≥480*415*1460（mm）</w:t>
      </w:r>
    </w:p>
    <w:p>
      <w:pPr>
        <w:spacing w:line="360" w:lineRule="auto"/>
        <w:rPr>
          <w:rFonts w:hint="eastAsia" w:ascii="宋体" w:hAnsi="宋体" w:cs="宋体"/>
          <w:color w:val="auto"/>
          <w:sz w:val="24"/>
          <w:highlight w:val="none"/>
        </w:rPr>
      </w:pPr>
    </w:p>
    <w:p>
      <w:pPr>
        <w:spacing w:line="360" w:lineRule="auto"/>
        <w:rPr>
          <w:rFonts w:hint="eastAsia" w:ascii="宋体" w:hAnsi="宋体" w:cs="宋体"/>
          <w:color w:val="auto"/>
          <w:sz w:val="24"/>
          <w:highlight w:val="none"/>
        </w:rPr>
      </w:pPr>
    </w:p>
    <w:p>
      <w:pPr>
        <w:spacing w:line="360" w:lineRule="auto"/>
        <w:outlineLvl w:val="2"/>
        <w:rPr>
          <w:rFonts w:hint="eastAsia" w:ascii="宋体" w:hAnsi="宋体" w:cs="宋体"/>
          <w:b/>
          <w:bCs/>
          <w:color w:val="auto"/>
          <w:sz w:val="24"/>
          <w:highlight w:val="none"/>
        </w:rPr>
      </w:pPr>
      <w:r>
        <w:rPr>
          <w:rFonts w:hint="eastAsia" w:ascii="宋体" w:hAnsi="宋体" w:cs="宋体"/>
          <w:b/>
          <w:bCs/>
          <w:color w:val="auto"/>
          <w:sz w:val="24"/>
          <w:highlight w:val="none"/>
        </w:rPr>
        <w:t xml:space="preserve">（二十二）螺旋式粉末包装机 </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 xml:space="preserve">1.计量范围：10-2500克  </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2.精确度等级：1.0级</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3.包装速度：1500-3500袋/小时</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4.外形尺寸（mm）≥690X1060X2000</w:t>
      </w:r>
    </w:p>
    <w:p>
      <w:pPr>
        <w:spacing w:line="360" w:lineRule="auto"/>
        <w:rPr>
          <w:rFonts w:hint="eastAsia" w:ascii="宋体" w:hAnsi="宋体" w:cs="宋体"/>
          <w:color w:val="auto"/>
          <w:sz w:val="24"/>
          <w:highlight w:val="none"/>
        </w:rPr>
      </w:pPr>
    </w:p>
    <w:p>
      <w:pPr>
        <w:spacing w:line="360" w:lineRule="auto"/>
        <w:rPr>
          <w:rFonts w:hint="eastAsia" w:ascii="宋体" w:hAnsi="宋体" w:cs="宋体"/>
          <w:color w:val="auto"/>
          <w:sz w:val="24"/>
          <w:highlight w:val="none"/>
        </w:rPr>
      </w:pPr>
    </w:p>
    <w:p>
      <w:pPr>
        <w:spacing w:line="360" w:lineRule="auto"/>
        <w:outlineLvl w:val="2"/>
        <w:rPr>
          <w:rFonts w:hint="eastAsia" w:ascii="宋体" w:hAnsi="宋体" w:cs="宋体"/>
          <w:b/>
          <w:bCs/>
          <w:color w:val="auto"/>
          <w:sz w:val="24"/>
          <w:highlight w:val="none"/>
        </w:rPr>
      </w:pPr>
      <w:r>
        <w:rPr>
          <w:rFonts w:hint="eastAsia" w:ascii="宋体" w:hAnsi="宋体" w:cs="宋体"/>
          <w:b/>
          <w:bCs/>
          <w:color w:val="auto"/>
          <w:sz w:val="24"/>
          <w:highlight w:val="none"/>
        </w:rPr>
        <w:t>（二十三）除尘机</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 xml:space="preserve">1.处理风量m3/h ：30000-35000                                                                                              </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2.入口风速m/s：18-22</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 xml:space="preserve">3.总阻力Pa ＜1470（150毫米汞柱）  </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4.允许入口最高温度℃：450</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5.除尘效率% ＞95</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6.设备重量（T） ≥2.2</w:t>
      </w:r>
    </w:p>
    <w:p>
      <w:pPr>
        <w:spacing w:line="360" w:lineRule="auto"/>
        <w:rPr>
          <w:rFonts w:hint="eastAsia" w:ascii="宋体" w:hAnsi="宋体" w:cs="宋体"/>
          <w:color w:val="auto"/>
          <w:sz w:val="24"/>
          <w:highlight w:val="none"/>
        </w:rPr>
      </w:pPr>
    </w:p>
    <w:p>
      <w:pPr>
        <w:spacing w:line="360" w:lineRule="auto"/>
        <w:rPr>
          <w:rFonts w:hint="eastAsia" w:ascii="宋体" w:hAnsi="宋体" w:cs="宋体"/>
          <w:color w:val="auto"/>
          <w:sz w:val="24"/>
          <w:highlight w:val="none"/>
        </w:rPr>
      </w:pPr>
    </w:p>
    <w:p>
      <w:pPr>
        <w:spacing w:line="360" w:lineRule="auto"/>
        <w:outlineLvl w:val="2"/>
        <w:rPr>
          <w:rFonts w:hint="eastAsia" w:ascii="宋体" w:hAnsi="宋体" w:cs="宋体"/>
          <w:b/>
          <w:bCs/>
          <w:color w:val="auto"/>
          <w:sz w:val="24"/>
          <w:highlight w:val="none"/>
        </w:rPr>
      </w:pPr>
      <w:r>
        <w:rPr>
          <w:rFonts w:hint="eastAsia" w:ascii="宋体" w:hAnsi="宋体" w:cs="宋体"/>
          <w:b/>
          <w:bCs/>
          <w:color w:val="auto"/>
          <w:sz w:val="24"/>
          <w:highlight w:val="none"/>
        </w:rPr>
        <w:t>（二十四）三维混合机</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1.混料罐范围≥5L</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2.功率≥370W</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3.混料罐：5LSS304 材质混料罐</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4.装料率：20%~80%</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5.粉料进出口：DN76 快装式</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6.可更换罐体设计，适配混料罐范围：1-5L</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7.转速0-20rpm 可调</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8.混料时间 0-99h（可设置，数字显示）</w:t>
      </w:r>
    </w:p>
    <w:p>
      <w:pPr>
        <w:spacing w:line="360" w:lineRule="auto"/>
        <w:rPr>
          <w:rFonts w:hint="eastAsia" w:ascii="宋体" w:hAnsi="宋体" w:cs="宋体"/>
          <w:color w:val="auto"/>
          <w:sz w:val="24"/>
          <w:highlight w:val="none"/>
        </w:rPr>
      </w:pPr>
    </w:p>
    <w:p>
      <w:pPr>
        <w:spacing w:line="360" w:lineRule="auto"/>
        <w:rPr>
          <w:rFonts w:hint="eastAsia" w:ascii="宋体" w:hAnsi="宋体" w:cs="宋体"/>
          <w:color w:val="auto"/>
          <w:sz w:val="24"/>
          <w:highlight w:val="none"/>
        </w:rPr>
      </w:pPr>
    </w:p>
    <w:p>
      <w:pPr>
        <w:spacing w:line="360" w:lineRule="auto"/>
        <w:outlineLvl w:val="2"/>
        <w:rPr>
          <w:rFonts w:hint="eastAsia" w:ascii="宋体" w:hAnsi="宋体" w:cs="宋体"/>
          <w:b/>
          <w:bCs/>
          <w:color w:val="auto"/>
          <w:sz w:val="24"/>
          <w:highlight w:val="none"/>
        </w:rPr>
      </w:pPr>
      <w:r>
        <w:rPr>
          <w:rFonts w:hint="eastAsia" w:ascii="宋体" w:hAnsi="宋体" w:cs="宋体"/>
          <w:b/>
          <w:bCs/>
          <w:color w:val="auto"/>
          <w:sz w:val="24"/>
          <w:highlight w:val="none"/>
        </w:rPr>
        <w:t>（二十五）荧光定量PCR仪</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1.加热/制冷技术：96孔帕尔贴半导体技术，有快速和标准模式可选</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▲2.模块升降温速度≥8.5℃/S，可调</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3.加热模块温度范围：4-99.9℃</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4.热盖温度最高可达105℃，可自定义样本保护功能</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▲5.温度准确性≤±0.1℃，温度均一性≤±0.15℃</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6.具有不少于12列温度梯度功能，温度跨度不低于30℃，设定温度30-99℃</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7.反应体积：1–150 μL</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8.自动样品仓，可接自动化工作站，兼容 96孔板、8联排管和单管</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9.激发光源≥4个独立的高能单色LED</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▲10.检测器：检测器：顶部CMOS相机拍照检测，兼容磨砂管、透明管和白管；16组光纤传输信号，消除光程差，无需校准</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11.快速扫描时间：单通道采集小于等于1.5 s扫描整板</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12.多重检测能力：4通道，可同时检测4个基因，满足自定义增加染料；通道 1 – FAM, SYBR Green , EvaGreen；通道 2 – HEX, VIC, JOE, CAL Fluor 540, CAL Fluor Orange 560；通道 3 – ROX, Texas Red, TEX615, CAL Fluor Red 610；通道 4 – Cy5, LIZ, Mustang Purple, Quasar 670。</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13.灵敏度：单拷贝基因检测，能准确区分1.5倍浓度差异</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14.动态范围≥10个数量级</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15.数据分析模式：绝对定量、标准曲线相对定量、ΔΔCq法相对定量、熔解曲线分析、终点荧光分析、SNP和KASP分析等模式</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16.数据分析不受操作系统限制，可以兼容windows，ios，linux和Android 等系统</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17.具备在线分析软件，可通过网页运行，随时随地分析实验结果；可自动判别并计算阴阳性结果，同时支持自定义Cut-Off值，适用于不同检测需求</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 xml:space="preserve">18.配置清单：主机一套                                        </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▲19.为保证售后服务和产品质量，投标时需提供生产厂家或区域代理商针对本项目的售后服务承诺书原件扫描件。</w:t>
      </w:r>
    </w:p>
    <w:p>
      <w:pPr>
        <w:spacing w:line="360" w:lineRule="auto"/>
        <w:rPr>
          <w:rFonts w:hint="eastAsia" w:ascii="宋体" w:hAnsi="宋体" w:cs="宋体"/>
          <w:color w:val="auto"/>
          <w:sz w:val="24"/>
          <w:highlight w:val="none"/>
        </w:rPr>
      </w:pPr>
    </w:p>
    <w:p>
      <w:pPr>
        <w:spacing w:line="360" w:lineRule="auto"/>
        <w:jc w:val="center"/>
        <w:rPr>
          <w:rFonts w:hint="eastAsia" w:ascii="宋体" w:hAnsi="宋体" w:cs="宋体"/>
          <w:b/>
          <w:bCs/>
          <w:color w:val="auto"/>
          <w:sz w:val="28"/>
          <w:szCs w:val="28"/>
          <w:highlight w:val="none"/>
        </w:rPr>
      </w:pPr>
    </w:p>
    <w:p>
      <w:pPr>
        <w:spacing w:line="360" w:lineRule="auto"/>
        <w:jc w:val="center"/>
        <w:outlineLvl w:val="1"/>
        <w:rPr>
          <w:rFonts w:hint="eastAsia" w:ascii="宋体" w:hAnsi="宋体" w:cs="宋体"/>
          <w:b/>
          <w:bCs/>
          <w:color w:val="auto"/>
          <w:sz w:val="28"/>
          <w:szCs w:val="28"/>
          <w:highlight w:val="none"/>
        </w:rPr>
      </w:pPr>
      <w:bookmarkStart w:id="6" w:name="_Toc8685"/>
      <w:r>
        <w:rPr>
          <w:rFonts w:hint="eastAsia" w:ascii="宋体" w:hAnsi="宋体" w:cs="宋体"/>
          <w:b/>
          <w:bCs/>
          <w:color w:val="auto"/>
          <w:sz w:val="28"/>
          <w:szCs w:val="28"/>
          <w:highlight w:val="none"/>
        </w:rPr>
        <w:t>采购包2</w:t>
      </w:r>
      <w:bookmarkEnd w:id="6"/>
    </w:p>
    <w:p>
      <w:pPr>
        <w:numPr>
          <w:ilvl w:val="0"/>
          <w:numId w:val="3"/>
        </w:numPr>
        <w:spacing w:line="360" w:lineRule="auto"/>
        <w:outlineLvl w:val="2"/>
        <w:rPr>
          <w:rFonts w:hint="eastAsia" w:ascii="宋体" w:hAnsi="宋体" w:cs="宋体"/>
          <w:b/>
          <w:bCs/>
          <w:color w:val="auto"/>
          <w:sz w:val="24"/>
          <w:highlight w:val="none"/>
        </w:rPr>
      </w:pPr>
      <w:r>
        <w:rPr>
          <w:rFonts w:hint="eastAsia" w:ascii="宋体" w:hAnsi="宋体" w:cs="宋体"/>
          <w:b/>
          <w:bCs/>
          <w:color w:val="auto"/>
          <w:sz w:val="24"/>
          <w:highlight w:val="none"/>
        </w:rPr>
        <w:t>台式低温高速离心机</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1.多个转子可选，最大容量60×1.5 /2.0 ml</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2.多个转子可选，最高转速≥18,000 rpm，最大离心力≥ 31,514 g</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3.运行时间 ：1sec~ 99 min：59 sec；也可选择持续离心或瞬时离心模式</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▲4.“N PLUS”控制面板，不少于10个程序可存储和调用，可显示离心进行时的实际参数值，不少于9个加速和减速等级</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5.具有瞬时离心功能，输入转子离心半径（r/mm），离心机本身计算和显示转速（RPM）或相对离心力（RCF），调节旋钮可以快速和容易地输入和变更参数</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▲6. 一键飞梭功能，通过一个旋钮可快速完成温度，转速和运行时间的设置</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7. 多种转头可以选配具有生物安全保护性的塑料或金属密封盖，生物安全密封盖和转头可进行高温高压灭菌（121℃，20min）</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8.温度设置范围：-20℃ ~ +40℃</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 xml:space="preserve">9.配置清单：主机  1台、24位角转子1个、六位角转子 1个、50ml尖底适配器 3个                                                                                                                                  </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▲10.为确保售后服务及货物质量，所投产品若为进口产品，需提供厂家或国内总代理针对本项目的授权书和售后服务承诺函（总代理投标，须有厂家授权）扫描件，并加盖投标人公章。</w:t>
      </w:r>
    </w:p>
    <w:p>
      <w:pPr>
        <w:spacing w:line="360" w:lineRule="auto"/>
        <w:rPr>
          <w:rFonts w:hint="eastAsia" w:ascii="宋体" w:hAnsi="宋体" w:cs="宋体"/>
          <w:color w:val="auto"/>
          <w:sz w:val="24"/>
          <w:highlight w:val="none"/>
        </w:rPr>
      </w:pPr>
    </w:p>
    <w:p>
      <w:pPr>
        <w:spacing w:line="360" w:lineRule="auto"/>
        <w:rPr>
          <w:rFonts w:hint="eastAsia" w:ascii="宋体" w:hAnsi="宋体" w:cs="宋体"/>
          <w:color w:val="auto"/>
          <w:sz w:val="24"/>
          <w:highlight w:val="none"/>
        </w:rPr>
      </w:pPr>
    </w:p>
    <w:p>
      <w:pPr>
        <w:spacing w:line="360" w:lineRule="auto"/>
        <w:outlineLvl w:val="2"/>
        <w:rPr>
          <w:rFonts w:hint="eastAsia" w:ascii="宋体" w:hAnsi="宋体" w:cs="宋体"/>
          <w:b/>
          <w:bCs/>
          <w:color w:val="auto"/>
          <w:sz w:val="24"/>
          <w:highlight w:val="none"/>
        </w:rPr>
      </w:pPr>
      <w:r>
        <w:rPr>
          <w:rFonts w:hint="eastAsia" w:ascii="宋体" w:hAnsi="宋体" w:cs="宋体"/>
          <w:b/>
          <w:bCs/>
          <w:color w:val="auto"/>
          <w:sz w:val="24"/>
          <w:highlight w:val="none"/>
        </w:rPr>
        <w:t>（二）高压灭菌器</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 xml:space="preserve">1.腔体容量≥58L                                   </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2.电导法全自动低水位传感器，真实测定水位，非过温或断电保护法间接测定水位。水位低于传感器时自动报警停机，无需从外部人工观察</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▲3.开盖方式: 物理脚踏开关（需提供设备实物照片），非门栓式开关，上掀盖，单手单脚，可手提灭菌篮直接操作，开盖防护系统，防止开盖时蒸汽释放喷溅伤人</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▲4.标配带有不少于2级可调风扇制冷（容器冷却风扇），标配不少于5级可调排气调节，有效缩短排气时间。</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5.双孔平衡式压力控制系统：可做样品消解等试验，保证样品压力均匀</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6.灭菌：105℃-135℃，加热：45-104℃，保温：45－ 95℃</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7.最大操作压力≥0.263MPa，温度显示方法：数字式</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8.加热功率≤2.0 kW （需提供厂家官网证明资料）</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9.安全装置：液位传感器, 漏电保护,盖子互锁,过热保护,在超压保护, 温度传感器监测, 安全阀</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10.多种灭菌模式：温度设定多样化，温度设定范围可以从45℃到135℃分级设定或者设定一个温度.包括培养基保温模式，液体灭菌模式，正常灭菌，灭菌保温，加热保温等</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▲11.主体尺寸符合人体工学的机身高度，不得大于970mm，方便灭菌样本的提取和放置，内胆底部容易接触，方便清洁；</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12、可选配特有的生物安全灭菌盒</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13、配置清单：主机一台，附件：2个不锈钢篮子</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▲14、为确保售后服务及货物质量，所投产品若为进口产品，需提供厂家或国内总代理针对本项目的授权书和售后服务承诺函（总代理投标，须有厂家授权）扫描件，并加盖投标人公章。</w:t>
      </w:r>
    </w:p>
    <w:p>
      <w:pPr>
        <w:pStyle w:val="7"/>
        <w:spacing w:before="105" w:after="105"/>
        <w:jc w:val="both"/>
        <w:rPr>
          <w:rFonts w:hint="default" w:ascii="仿宋_GB2312" w:hAnsi="仿宋_GB2312" w:eastAsia="仿宋_GB2312" w:cs="仿宋_GB2312"/>
          <w:color w:val="auto"/>
          <w:sz w:val="24"/>
          <w:highlight w:val="none"/>
          <w:lang w:eastAsia="zh-CN"/>
        </w:rPr>
      </w:pPr>
    </w:p>
    <w:p>
      <w:pPr>
        <w:pStyle w:val="7"/>
        <w:spacing w:before="105" w:after="105"/>
        <w:jc w:val="both"/>
        <w:rPr>
          <w:rFonts w:hint="default"/>
          <w:b/>
          <w:bCs/>
          <w:color w:val="auto"/>
          <w:highlight w:val="none"/>
        </w:rPr>
      </w:pPr>
      <w:r>
        <w:rPr>
          <w:rFonts w:ascii="仿宋_GB2312" w:hAnsi="仿宋_GB2312" w:eastAsia="仿宋_GB2312" w:cs="仿宋_GB2312"/>
          <w:b/>
          <w:bCs/>
          <w:color w:val="auto"/>
          <w:sz w:val="24"/>
          <w:highlight w:val="none"/>
        </w:rPr>
        <w:t>注:带“★”条款为实质性条款，必须完全响应，不允许负偏离，否则作无效响应处理。带▲表示重要参数，负偏离扣分。</w:t>
      </w:r>
    </w:p>
    <w:p>
      <w:pPr>
        <w:spacing w:line="360" w:lineRule="auto"/>
        <w:rPr>
          <w:rFonts w:hint="eastAsia" w:ascii="宋体" w:hAnsi="宋体" w:cs="宋体"/>
          <w:color w:val="auto"/>
          <w:sz w:val="24"/>
          <w:highlight w:val="none"/>
        </w:rPr>
      </w:pPr>
    </w:p>
    <w:bookmarkEnd w:id="4"/>
    <w:bookmarkEnd w:id="5"/>
    <w:p>
      <w:pPr>
        <w:pStyle w:val="2"/>
        <w:widowControl/>
        <w:numPr>
          <w:ilvl w:val="-1"/>
          <w:numId w:val="0"/>
        </w:numPr>
        <w:wordWrap w:val="0"/>
        <w:topLinePunct/>
        <w:autoSpaceDE w:val="0"/>
        <w:autoSpaceDN w:val="0"/>
        <w:adjustRightInd w:val="0"/>
        <w:snapToGrid w:val="0"/>
        <w:spacing w:before="312" w:beforeLines="100" w:after="312" w:afterLines="100"/>
        <w:ind w:left="0"/>
        <w:textAlignment w:val="baseline"/>
        <w:rPr>
          <w:rFonts w:hint="eastAsia" w:ascii="宋体" w:hAnsi="宋体" w:eastAsia="宋体" w:cs="宋体"/>
          <w:color w:val="auto"/>
          <w:sz w:val="24"/>
          <w:szCs w:val="24"/>
          <w:highlight w:val="none"/>
        </w:rPr>
      </w:pPr>
      <w:bookmarkStart w:id="7" w:name="_Toc21399"/>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二、</w:t>
      </w:r>
      <w:r>
        <w:rPr>
          <w:rFonts w:hint="eastAsia" w:ascii="宋体" w:hAnsi="宋体" w:eastAsia="宋体" w:cs="宋体"/>
          <w:color w:val="auto"/>
          <w:sz w:val="24"/>
          <w:szCs w:val="24"/>
          <w:highlight w:val="none"/>
        </w:rPr>
        <w:t>商务要求</w:t>
      </w:r>
      <w:bookmarkEnd w:id="7"/>
    </w:p>
    <w:p>
      <w:pPr>
        <w:pStyle w:val="7"/>
        <w:spacing w:before="105" w:after="105" w:line="360" w:lineRule="auto"/>
        <w:ind w:firstLine="482"/>
        <w:jc w:val="both"/>
        <w:rPr>
          <w:rFonts w:ascii="宋体" w:hAnsi="宋体" w:eastAsia="宋体" w:cs="宋体"/>
          <w:color w:val="auto"/>
          <w:highlight w:val="none"/>
        </w:rPr>
      </w:pPr>
      <w:r>
        <w:rPr>
          <w:rFonts w:ascii="宋体" w:hAnsi="宋体" w:eastAsia="宋体" w:cs="宋体"/>
          <w:b/>
          <w:color w:val="auto"/>
          <w:sz w:val="24"/>
          <w:highlight w:val="none"/>
        </w:rPr>
        <w:t>（一）设备的安装调试、试运行和验收标准要求</w:t>
      </w:r>
    </w:p>
    <w:p>
      <w:pPr>
        <w:pStyle w:val="7"/>
        <w:spacing w:before="105" w:after="105" w:line="360" w:lineRule="auto"/>
        <w:ind w:firstLine="459"/>
        <w:jc w:val="both"/>
        <w:rPr>
          <w:rFonts w:ascii="宋体" w:hAnsi="宋体" w:eastAsia="宋体" w:cs="宋体"/>
          <w:color w:val="auto"/>
          <w:highlight w:val="none"/>
        </w:rPr>
      </w:pPr>
      <w:r>
        <w:rPr>
          <w:rFonts w:ascii="宋体" w:hAnsi="宋体" w:eastAsia="宋体" w:cs="宋体"/>
          <w:color w:val="auto"/>
          <w:sz w:val="24"/>
          <w:highlight w:val="none"/>
        </w:rPr>
        <w:t>1.本项目为交付设备承包项目，中标供应商承包及负责招标文件对中标供应商要求的一切事宜及责任。包括项目产品供货、配套设备提供、运输、保管、安装、调试、验收、培训及相关服务等以及投标人认为必要的其他货物、材料、工程、服务；投标人应自行增加系统正常、合法、安全运行及使用所必需但招标文件没有包含的所有设备、版权、专利等一切费用，如果投标人在中标并签署合同后，在供货、安装、调试、培训等工作中出现货物的任何遗漏，均由中标供应商免费提供，买方将不再支付任何费用。</w:t>
      </w:r>
    </w:p>
    <w:p>
      <w:pPr>
        <w:pStyle w:val="7"/>
        <w:spacing w:before="105" w:after="105" w:line="360" w:lineRule="auto"/>
        <w:ind w:firstLine="459"/>
        <w:jc w:val="both"/>
        <w:rPr>
          <w:rFonts w:ascii="宋体" w:hAnsi="宋体" w:eastAsia="宋体" w:cs="宋体"/>
          <w:color w:val="auto"/>
          <w:highlight w:val="none"/>
        </w:rPr>
      </w:pPr>
      <w:r>
        <w:rPr>
          <w:rFonts w:ascii="宋体" w:hAnsi="宋体" w:eastAsia="宋体" w:cs="宋体"/>
          <w:color w:val="auto"/>
          <w:sz w:val="24"/>
          <w:highlight w:val="none"/>
        </w:rPr>
        <w:t>2.中标采购设备到达目的地，经安装、调试、技术培训后，中标供应商向业主提请设备验收。业主在接到投标人通知的5天内派人到现场负责组织验收，业主按中标供应商提供的仪器设备清单及检验产品合格证、使用说明书和其它的技术资料</w:t>
      </w:r>
      <w:r>
        <w:rPr>
          <w:rFonts w:ascii="宋体" w:hAnsi="宋体" w:eastAsia="宋体" w:cs="宋体"/>
          <w:color w:val="auto"/>
          <w:sz w:val="24"/>
          <w:highlight w:val="none"/>
          <w:lang w:eastAsia="zh-CN"/>
        </w:rPr>
        <w:t>进行验收</w:t>
      </w:r>
      <w:r>
        <w:rPr>
          <w:rFonts w:ascii="宋体" w:hAnsi="宋体" w:eastAsia="宋体" w:cs="宋体"/>
          <w:color w:val="auto"/>
          <w:sz w:val="24"/>
          <w:highlight w:val="none"/>
        </w:rPr>
        <w:t>。进口设备，除提供以上资料外，须会同海关、商检部门共同负责开箱检验、检查仪器设备及随机附件是否全新、完整无损，技术资料与图纸是否与业主的要求相符。所有设备必须通过业主单位按中标技术参数逐一对使用主要功能、对比、抽样检测、委托检测等方法对设备的技术指标和性能进行检测验收。所有指标应与投标文件一致或在招标文件允许的范围内并符合响应的国家或行业标准以及符合用户的使用要求。</w:t>
      </w:r>
    </w:p>
    <w:p>
      <w:pPr>
        <w:pStyle w:val="7"/>
        <w:spacing w:before="105" w:after="105" w:line="360" w:lineRule="auto"/>
        <w:ind w:firstLine="459"/>
        <w:jc w:val="both"/>
        <w:rPr>
          <w:rFonts w:ascii="宋体" w:hAnsi="宋体" w:eastAsia="宋体" w:cs="宋体"/>
          <w:color w:val="auto"/>
          <w:highlight w:val="none"/>
        </w:rPr>
      </w:pPr>
      <w:r>
        <w:rPr>
          <w:rFonts w:ascii="宋体" w:hAnsi="宋体" w:eastAsia="宋体" w:cs="宋体"/>
          <w:color w:val="auto"/>
          <w:sz w:val="24"/>
          <w:highlight w:val="none"/>
        </w:rPr>
        <w:t>3.所有产品经安装、调试、技术培训、验收合格后，双方在《政府采购履约验收</w:t>
      </w:r>
      <w:r>
        <w:rPr>
          <w:rFonts w:ascii="宋体" w:hAnsi="宋体" w:eastAsia="宋体" w:cs="宋体"/>
          <w:color w:val="auto"/>
          <w:sz w:val="24"/>
          <w:highlight w:val="none"/>
          <w:lang w:eastAsia="zh-CN"/>
        </w:rPr>
        <w:t>意见报告（</w:t>
      </w:r>
      <w:r>
        <w:rPr>
          <w:rFonts w:ascii="宋体" w:hAnsi="宋体" w:eastAsia="宋体" w:cs="宋体"/>
          <w:color w:val="auto"/>
          <w:sz w:val="24"/>
          <w:highlight w:val="none"/>
        </w:rPr>
        <w:t>货物类</w:t>
      </w:r>
      <w:r>
        <w:rPr>
          <w:rFonts w:ascii="宋体" w:hAnsi="宋体" w:eastAsia="宋体" w:cs="宋体"/>
          <w:color w:val="auto"/>
          <w:sz w:val="24"/>
          <w:highlight w:val="none"/>
          <w:lang w:eastAsia="zh-CN"/>
        </w:rPr>
        <w:t>）</w:t>
      </w:r>
      <w:r>
        <w:rPr>
          <w:rFonts w:ascii="宋体" w:hAnsi="宋体" w:eastAsia="宋体" w:cs="宋体"/>
          <w:color w:val="auto"/>
          <w:sz w:val="24"/>
          <w:highlight w:val="none"/>
        </w:rPr>
        <w:t>》一式四份书面签字（盖章）验收。</w:t>
      </w:r>
    </w:p>
    <w:p>
      <w:pPr>
        <w:pStyle w:val="7"/>
        <w:spacing w:before="105" w:after="105" w:line="360" w:lineRule="auto"/>
        <w:ind w:firstLine="459"/>
        <w:jc w:val="both"/>
        <w:rPr>
          <w:rFonts w:ascii="宋体" w:hAnsi="宋体" w:eastAsia="宋体" w:cs="宋体"/>
          <w:color w:val="auto"/>
          <w:sz w:val="24"/>
          <w:highlight w:val="none"/>
        </w:rPr>
      </w:pPr>
      <w:r>
        <w:rPr>
          <w:rFonts w:ascii="宋体" w:hAnsi="宋体" w:eastAsia="宋体" w:cs="宋体"/>
          <w:color w:val="auto"/>
          <w:sz w:val="24"/>
          <w:highlight w:val="none"/>
        </w:rPr>
        <w:t xml:space="preserve">4.交货期限: </w:t>
      </w:r>
    </w:p>
    <w:p>
      <w:pPr>
        <w:pStyle w:val="7"/>
        <w:spacing w:before="105" w:after="120" w:line="360" w:lineRule="auto"/>
        <w:ind w:firstLine="464"/>
        <w:jc w:val="both"/>
        <w:rPr>
          <w:rFonts w:ascii="宋体" w:hAnsi="宋体" w:eastAsia="宋体" w:cs="宋体"/>
          <w:color w:val="auto"/>
          <w:sz w:val="24"/>
          <w:highlight w:val="none"/>
        </w:rPr>
      </w:pPr>
      <w:r>
        <w:rPr>
          <w:rFonts w:ascii="宋体" w:hAnsi="宋体" w:eastAsia="宋体" w:cs="宋体"/>
          <w:color w:val="auto"/>
          <w:sz w:val="24"/>
          <w:highlight w:val="none"/>
        </w:rPr>
        <w:t>采购包1：</w:t>
      </w:r>
    </w:p>
    <w:p>
      <w:pPr>
        <w:pStyle w:val="7"/>
        <w:spacing w:before="105" w:after="120" w:line="360" w:lineRule="auto"/>
        <w:ind w:firstLine="464"/>
        <w:jc w:val="both"/>
        <w:rPr>
          <w:rFonts w:ascii="宋体" w:hAnsi="宋体" w:eastAsia="宋体" w:cs="宋体"/>
          <w:color w:val="auto"/>
          <w:sz w:val="24"/>
          <w:highlight w:val="none"/>
          <w:lang w:eastAsia="zh-CN"/>
        </w:rPr>
      </w:pPr>
      <w:r>
        <w:rPr>
          <w:rFonts w:ascii="宋体" w:hAnsi="宋体" w:eastAsia="宋体" w:cs="宋体"/>
          <w:color w:val="auto"/>
          <w:sz w:val="24"/>
          <w:highlight w:val="none"/>
        </w:rPr>
        <w:t>国产设备合同签订后甲方发出发货通知函</w:t>
      </w:r>
      <w:r>
        <w:rPr>
          <w:rFonts w:ascii="宋体" w:hAnsi="宋体" w:eastAsia="宋体" w:cs="宋体"/>
          <w:color w:val="auto"/>
          <w:sz w:val="24"/>
          <w:highlight w:val="none"/>
          <w:lang w:eastAsia="zh-CN"/>
        </w:rPr>
        <w:t>30</w:t>
      </w:r>
      <w:r>
        <w:rPr>
          <w:rFonts w:ascii="宋体" w:hAnsi="宋体" w:eastAsia="宋体" w:cs="宋体"/>
          <w:color w:val="auto"/>
          <w:sz w:val="24"/>
          <w:highlight w:val="none"/>
        </w:rPr>
        <w:t>天内必须发货到业主指定地点安装并调试完成</w:t>
      </w:r>
      <w:r>
        <w:rPr>
          <w:rFonts w:ascii="宋体" w:hAnsi="宋体" w:eastAsia="宋体" w:cs="宋体"/>
          <w:color w:val="auto"/>
          <w:sz w:val="24"/>
          <w:highlight w:val="none"/>
          <w:lang w:eastAsia="zh-CN"/>
        </w:rPr>
        <w:t>。</w:t>
      </w:r>
    </w:p>
    <w:p>
      <w:pPr>
        <w:pStyle w:val="7"/>
        <w:spacing w:before="105" w:after="120" w:line="360" w:lineRule="auto"/>
        <w:ind w:firstLine="464"/>
        <w:jc w:val="both"/>
        <w:rPr>
          <w:rFonts w:ascii="宋体" w:hAnsi="宋体" w:eastAsia="宋体" w:cs="宋体"/>
          <w:color w:val="auto"/>
          <w:sz w:val="24"/>
          <w:highlight w:val="none"/>
        </w:rPr>
      </w:pPr>
      <w:r>
        <w:rPr>
          <w:rFonts w:ascii="宋体" w:hAnsi="宋体" w:eastAsia="宋体" w:cs="宋体"/>
          <w:color w:val="auto"/>
          <w:sz w:val="24"/>
          <w:highlight w:val="none"/>
        </w:rPr>
        <w:t>采购包</w:t>
      </w:r>
      <w:r>
        <w:rPr>
          <w:rFonts w:ascii="宋体" w:hAnsi="宋体" w:eastAsia="宋体" w:cs="宋体"/>
          <w:color w:val="auto"/>
          <w:sz w:val="24"/>
          <w:highlight w:val="none"/>
          <w:lang w:eastAsia="zh-CN"/>
        </w:rPr>
        <w:t>2</w:t>
      </w:r>
      <w:r>
        <w:rPr>
          <w:rFonts w:ascii="宋体" w:hAnsi="宋体" w:eastAsia="宋体" w:cs="宋体"/>
          <w:color w:val="auto"/>
          <w:sz w:val="24"/>
          <w:highlight w:val="none"/>
        </w:rPr>
        <w:t>：</w:t>
      </w:r>
    </w:p>
    <w:p>
      <w:pPr>
        <w:pStyle w:val="7"/>
        <w:spacing w:before="105" w:after="120" w:line="360" w:lineRule="auto"/>
        <w:ind w:firstLine="464"/>
        <w:jc w:val="both"/>
        <w:rPr>
          <w:rFonts w:ascii="宋体" w:hAnsi="宋体" w:eastAsia="宋体" w:cs="宋体"/>
          <w:color w:val="auto"/>
          <w:sz w:val="24"/>
          <w:highlight w:val="none"/>
          <w:lang w:eastAsia="zh-CN"/>
        </w:rPr>
      </w:pPr>
      <w:r>
        <w:rPr>
          <w:rFonts w:ascii="宋体" w:hAnsi="宋体" w:eastAsia="宋体" w:cs="宋体"/>
          <w:color w:val="auto"/>
          <w:sz w:val="24"/>
          <w:highlight w:val="none"/>
        </w:rPr>
        <w:t>国产设备合同签订后甲方发出发货通知函</w:t>
      </w:r>
      <w:r>
        <w:rPr>
          <w:rFonts w:ascii="宋体" w:hAnsi="宋体" w:eastAsia="宋体" w:cs="宋体"/>
          <w:color w:val="auto"/>
          <w:sz w:val="24"/>
          <w:highlight w:val="none"/>
          <w:lang w:eastAsia="zh-CN"/>
        </w:rPr>
        <w:t>30</w:t>
      </w:r>
      <w:r>
        <w:rPr>
          <w:rFonts w:ascii="宋体" w:hAnsi="宋体" w:eastAsia="宋体" w:cs="宋体"/>
          <w:color w:val="auto"/>
          <w:sz w:val="24"/>
          <w:highlight w:val="none"/>
        </w:rPr>
        <w:t>天内必须发货到业主指定地点安装并调试完成</w:t>
      </w:r>
      <w:r>
        <w:rPr>
          <w:rFonts w:ascii="宋体" w:hAnsi="宋体" w:eastAsia="宋体" w:cs="宋体"/>
          <w:color w:val="auto"/>
          <w:sz w:val="24"/>
          <w:highlight w:val="none"/>
          <w:lang w:eastAsia="zh-CN"/>
        </w:rPr>
        <w:t>。</w:t>
      </w:r>
    </w:p>
    <w:p>
      <w:pPr>
        <w:pStyle w:val="7"/>
        <w:spacing w:before="105" w:after="120" w:line="360" w:lineRule="auto"/>
        <w:ind w:firstLine="464"/>
        <w:jc w:val="both"/>
        <w:rPr>
          <w:rFonts w:ascii="宋体" w:hAnsi="宋体" w:eastAsia="宋体" w:cs="宋体"/>
          <w:color w:val="auto"/>
          <w:sz w:val="24"/>
          <w:highlight w:val="none"/>
          <w:lang w:eastAsia="zh-CN"/>
        </w:rPr>
      </w:pPr>
      <w:r>
        <w:rPr>
          <w:rFonts w:ascii="宋体" w:hAnsi="宋体" w:eastAsia="宋体" w:cs="宋体"/>
          <w:color w:val="auto"/>
          <w:sz w:val="24"/>
          <w:highlight w:val="none"/>
          <w:lang w:eastAsia="zh-CN"/>
        </w:rPr>
        <w:t>进口</w:t>
      </w:r>
      <w:r>
        <w:rPr>
          <w:rFonts w:ascii="宋体" w:hAnsi="宋体" w:eastAsia="宋体" w:cs="宋体"/>
          <w:color w:val="auto"/>
          <w:sz w:val="24"/>
          <w:highlight w:val="none"/>
        </w:rPr>
        <w:t>设备合同签订后甲方发出发货通知函</w:t>
      </w:r>
      <w:r>
        <w:rPr>
          <w:rFonts w:ascii="宋体" w:hAnsi="宋体" w:eastAsia="宋体" w:cs="宋体"/>
          <w:color w:val="auto"/>
          <w:sz w:val="24"/>
          <w:highlight w:val="none"/>
          <w:lang w:eastAsia="zh-CN"/>
        </w:rPr>
        <w:t>90</w:t>
      </w:r>
      <w:r>
        <w:rPr>
          <w:rFonts w:ascii="宋体" w:hAnsi="宋体" w:eastAsia="宋体" w:cs="宋体"/>
          <w:color w:val="auto"/>
          <w:sz w:val="24"/>
          <w:highlight w:val="none"/>
        </w:rPr>
        <w:t>天内必须发货到业主指定地点安装并调试完成</w:t>
      </w:r>
      <w:r>
        <w:rPr>
          <w:rFonts w:ascii="宋体" w:hAnsi="宋体" w:eastAsia="宋体" w:cs="宋体"/>
          <w:color w:val="auto"/>
          <w:sz w:val="24"/>
          <w:highlight w:val="none"/>
          <w:lang w:eastAsia="zh-CN"/>
        </w:rPr>
        <w:t>。</w:t>
      </w:r>
    </w:p>
    <w:p>
      <w:pPr>
        <w:pStyle w:val="7"/>
        <w:spacing w:before="105" w:after="120" w:line="360" w:lineRule="auto"/>
        <w:ind w:firstLine="464"/>
        <w:jc w:val="both"/>
        <w:rPr>
          <w:rFonts w:ascii="宋体" w:hAnsi="宋体" w:eastAsia="宋体" w:cs="宋体"/>
          <w:color w:val="auto"/>
          <w:highlight w:val="none"/>
        </w:rPr>
      </w:pPr>
      <w:r>
        <w:rPr>
          <w:rFonts w:ascii="宋体" w:hAnsi="宋体" w:eastAsia="宋体" w:cs="宋体"/>
          <w:color w:val="auto"/>
          <w:sz w:val="24"/>
          <w:highlight w:val="none"/>
        </w:rPr>
        <w:t>5.交货地点：采购人指定地点</w:t>
      </w:r>
    </w:p>
    <w:p>
      <w:pPr>
        <w:pStyle w:val="7"/>
        <w:spacing w:before="105" w:after="105" w:line="360" w:lineRule="auto"/>
        <w:ind w:firstLine="482"/>
        <w:jc w:val="both"/>
        <w:rPr>
          <w:rFonts w:ascii="宋体" w:hAnsi="宋体" w:eastAsia="宋体" w:cs="宋体"/>
          <w:color w:val="auto"/>
          <w:highlight w:val="none"/>
        </w:rPr>
      </w:pPr>
      <w:r>
        <w:rPr>
          <w:rFonts w:ascii="宋体" w:hAnsi="宋体" w:eastAsia="宋体" w:cs="宋体"/>
          <w:b/>
          <w:color w:val="auto"/>
          <w:sz w:val="24"/>
          <w:highlight w:val="none"/>
        </w:rPr>
        <w:t>（二）技术资料及参数</w:t>
      </w:r>
    </w:p>
    <w:p>
      <w:pPr>
        <w:pStyle w:val="7"/>
        <w:spacing w:before="105" w:after="105" w:line="360" w:lineRule="auto"/>
        <w:ind w:firstLine="459"/>
        <w:jc w:val="both"/>
        <w:rPr>
          <w:rFonts w:ascii="宋体" w:hAnsi="宋体" w:eastAsia="宋体" w:cs="宋体"/>
          <w:color w:val="auto"/>
          <w:highlight w:val="none"/>
        </w:rPr>
      </w:pPr>
      <w:r>
        <w:rPr>
          <w:rFonts w:ascii="宋体" w:hAnsi="宋体" w:eastAsia="宋体" w:cs="宋体"/>
          <w:color w:val="auto"/>
          <w:sz w:val="24"/>
          <w:highlight w:val="none"/>
        </w:rPr>
        <w:t>1.投标人应保证所提交给招标人和招标代理机构的资料和数据是真实的，因提交的资料和数据不真实所引起的责任由投标人自行承担。</w:t>
      </w:r>
    </w:p>
    <w:p>
      <w:pPr>
        <w:pStyle w:val="7"/>
        <w:spacing w:before="105" w:after="105" w:line="360" w:lineRule="auto"/>
        <w:ind w:firstLine="459"/>
        <w:jc w:val="both"/>
        <w:rPr>
          <w:rFonts w:ascii="宋体" w:hAnsi="宋体" w:eastAsia="宋体" w:cs="宋体"/>
          <w:color w:val="auto"/>
          <w:highlight w:val="none"/>
        </w:rPr>
      </w:pPr>
      <w:r>
        <w:rPr>
          <w:rFonts w:ascii="宋体" w:hAnsi="宋体" w:eastAsia="宋体" w:cs="宋体"/>
          <w:color w:val="auto"/>
          <w:sz w:val="24"/>
          <w:highlight w:val="none"/>
        </w:rPr>
        <w:t>2.</w:t>
      </w:r>
      <w:r>
        <w:rPr>
          <w:rFonts w:ascii="宋体" w:hAnsi="宋体" w:eastAsia="宋体" w:cs="宋体"/>
          <w:color w:val="auto"/>
          <w:sz w:val="24"/>
          <w:highlight w:val="none"/>
        </w:rPr>
        <w:t>规格尺寸、重量类参数允许不超过±5%的偏差（上述技术参数已有要求的除外）</w:t>
      </w:r>
    </w:p>
    <w:p>
      <w:pPr>
        <w:pStyle w:val="7"/>
        <w:spacing w:before="105" w:after="105" w:line="360" w:lineRule="auto"/>
        <w:ind w:firstLine="459"/>
        <w:jc w:val="both"/>
        <w:rPr>
          <w:rFonts w:ascii="宋体" w:hAnsi="宋体" w:eastAsia="宋体" w:cs="宋体"/>
          <w:color w:val="auto"/>
          <w:highlight w:val="none"/>
        </w:rPr>
      </w:pPr>
      <w:r>
        <w:rPr>
          <w:rFonts w:ascii="宋体" w:hAnsi="宋体" w:eastAsia="宋体" w:cs="宋体"/>
          <w:color w:val="auto"/>
          <w:sz w:val="24"/>
          <w:highlight w:val="none"/>
        </w:rPr>
        <w:t>3.招标文件中所有的技术参数及其性能（配置）仅起参考作用，目的是为了满足采购人工作的基本要求，投标产品满足（实质相当于）或优于招标文件的采购需求均可。</w:t>
      </w:r>
    </w:p>
    <w:p>
      <w:pPr>
        <w:pStyle w:val="7"/>
        <w:spacing w:before="105" w:after="105" w:line="360" w:lineRule="auto"/>
        <w:ind w:firstLine="459"/>
        <w:jc w:val="both"/>
        <w:rPr>
          <w:rFonts w:ascii="宋体" w:hAnsi="宋体" w:eastAsia="宋体" w:cs="宋体"/>
          <w:color w:val="auto"/>
          <w:highlight w:val="none"/>
        </w:rPr>
      </w:pPr>
      <w:r>
        <w:rPr>
          <w:rFonts w:ascii="宋体" w:hAnsi="宋体" w:eastAsia="宋体" w:cs="宋体"/>
          <w:color w:val="auto"/>
          <w:sz w:val="24"/>
          <w:highlight w:val="none"/>
        </w:rPr>
        <w:t>4.供应商需对响应的“技术参数、规格、功能及其他要求”内容真实性负责，如虚假响应谋取成交资格，经核实发现，取消成交资格。</w:t>
      </w:r>
    </w:p>
    <w:p>
      <w:pPr>
        <w:pStyle w:val="7"/>
        <w:spacing w:before="105" w:after="105" w:line="360" w:lineRule="auto"/>
        <w:ind w:firstLine="464"/>
        <w:jc w:val="both"/>
        <w:rPr>
          <w:rFonts w:ascii="宋体" w:hAnsi="宋体" w:eastAsia="宋体" w:cs="宋体"/>
          <w:color w:val="auto"/>
          <w:highlight w:val="none"/>
        </w:rPr>
      </w:pPr>
      <w:r>
        <w:rPr>
          <w:rFonts w:ascii="宋体" w:hAnsi="宋体" w:eastAsia="宋体" w:cs="宋体"/>
          <w:color w:val="auto"/>
          <w:sz w:val="24"/>
          <w:highlight w:val="none"/>
        </w:rPr>
        <w:t>5. 所有产品均为标准化设备，不接受定制产品（除特殊需求外）。</w:t>
      </w:r>
    </w:p>
    <w:p>
      <w:pPr>
        <w:pStyle w:val="7"/>
        <w:spacing w:before="105" w:after="105" w:line="360" w:lineRule="auto"/>
        <w:ind w:firstLine="482"/>
        <w:jc w:val="both"/>
        <w:rPr>
          <w:rFonts w:ascii="宋体" w:hAnsi="宋体" w:eastAsia="宋体" w:cs="宋体"/>
          <w:color w:val="auto"/>
          <w:highlight w:val="none"/>
          <w:lang w:eastAsia="zh-CN"/>
        </w:rPr>
      </w:pPr>
      <w:r>
        <w:rPr>
          <w:rFonts w:ascii="宋体" w:hAnsi="宋体" w:eastAsia="宋体" w:cs="宋体"/>
          <w:b/>
          <w:color w:val="auto"/>
          <w:sz w:val="24"/>
          <w:highlight w:val="none"/>
        </w:rPr>
        <w:t>（三）工具</w:t>
      </w:r>
      <w:r>
        <w:rPr>
          <w:rFonts w:ascii="宋体" w:hAnsi="宋体" w:eastAsia="宋体" w:cs="宋体"/>
          <w:b/>
          <w:color w:val="auto"/>
          <w:sz w:val="24"/>
          <w:highlight w:val="none"/>
          <w:lang w:eastAsia="zh-CN"/>
        </w:rPr>
        <w:t>（如有）</w:t>
      </w:r>
    </w:p>
    <w:p>
      <w:pPr>
        <w:pStyle w:val="7"/>
        <w:spacing w:before="225" w:after="105" w:line="360" w:lineRule="auto"/>
        <w:ind w:left="300" w:right="105" w:firstLine="461"/>
        <w:jc w:val="both"/>
        <w:rPr>
          <w:rFonts w:ascii="宋体" w:hAnsi="宋体" w:eastAsia="宋体" w:cs="宋体"/>
          <w:color w:val="auto"/>
          <w:highlight w:val="none"/>
        </w:rPr>
      </w:pPr>
      <w:r>
        <w:rPr>
          <w:rFonts w:ascii="宋体" w:hAnsi="宋体" w:eastAsia="宋体" w:cs="宋体"/>
          <w:color w:val="auto"/>
          <w:sz w:val="24"/>
          <w:highlight w:val="none"/>
        </w:rPr>
        <w:t>投标人提供产品设备所带专用工具清单，并标明其种类、用途和生产厂，并在货物到货时同时提供给业主，此价格应包含在投标价中。</w:t>
      </w:r>
    </w:p>
    <w:p>
      <w:pPr>
        <w:pStyle w:val="7"/>
        <w:spacing w:before="105" w:after="105" w:line="360" w:lineRule="auto"/>
        <w:ind w:firstLine="482"/>
        <w:jc w:val="both"/>
        <w:rPr>
          <w:rFonts w:ascii="宋体" w:hAnsi="宋体" w:eastAsia="宋体" w:cs="宋体"/>
          <w:color w:val="auto"/>
          <w:highlight w:val="none"/>
        </w:rPr>
      </w:pPr>
      <w:r>
        <w:rPr>
          <w:rFonts w:ascii="宋体" w:hAnsi="宋体" w:eastAsia="宋体" w:cs="宋体"/>
          <w:b/>
          <w:color w:val="auto"/>
          <w:sz w:val="24"/>
          <w:highlight w:val="none"/>
        </w:rPr>
        <w:t>（四）备件</w:t>
      </w:r>
      <w:r>
        <w:rPr>
          <w:rFonts w:ascii="宋体" w:hAnsi="宋体" w:eastAsia="宋体" w:cs="宋体"/>
          <w:b/>
          <w:color w:val="auto"/>
          <w:sz w:val="24"/>
          <w:highlight w:val="none"/>
          <w:lang w:eastAsia="zh-CN"/>
        </w:rPr>
        <w:t>（如有）</w:t>
      </w:r>
    </w:p>
    <w:p>
      <w:pPr>
        <w:pStyle w:val="7"/>
        <w:spacing w:before="225" w:after="105" w:line="360" w:lineRule="auto"/>
        <w:ind w:left="300" w:right="105" w:firstLine="461"/>
        <w:jc w:val="both"/>
        <w:rPr>
          <w:rFonts w:ascii="宋体" w:hAnsi="宋体" w:eastAsia="宋体" w:cs="宋体"/>
          <w:color w:val="auto"/>
          <w:highlight w:val="none"/>
        </w:rPr>
      </w:pPr>
      <w:r>
        <w:rPr>
          <w:rFonts w:ascii="宋体" w:hAnsi="宋体" w:eastAsia="宋体" w:cs="宋体"/>
          <w:color w:val="auto"/>
          <w:sz w:val="24"/>
          <w:highlight w:val="none"/>
        </w:rPr>
        <w:t>投标人可提供一个在正常情况使用下，保质期满后一年内可保证仪器设备正常使用的备件和材料清单，并标明其种类、生产厂、单价和总价，业主有权决定全部或有选择的购买。</w:t>
      </w:r>
    </w:p>
    <w:p>
      <w:pPr>
        <w:pStyle w:val="7"/>
        <w:spacing w:before="105" w:after="105" w:line="360" w:lineRule="auto"/>
        <w:ind w:firstLine="482"/>
        <w:jc w:val="both"/>
        <w:rPr>
          <w:rFonts w:ascii="宋体" w:hAnsi="宋体" w:eastAsia="宋体" w:cs="宋体"/>
          <w:color w:val="auto"/>
          <w:highlight w:val="none"/>
        </w:rPr>
      </w:pPr>
      <w:r>
        <w:rPr>
          <w:rFonts w:ascii="宋体" w:hAnsi="宋体" w:eastAsia="宋体" w:cs="宋体"/>
          <w:b/>
          <w:color w:val="auto"/>
          <w:sz w:val="24"/>
          <w:highlight w:val="none"/>
        </w:rPr>
        <w:t>（五）易损件</w:t>
      </w:r>
      <w:r>
        <w:rPr>
          <w:rFonts w:ascii="宋体" w:hAnsi="宋体" w:eastAsia="宋体" w:cs="宋体"/>
          <w:b/>
          <w:color w:val="auto"/>
          <w:sz w:val="24"/>
          <w:highlight w:val="none"/>
          <w:lang w:eastAsia="zh-CN"/>
        </w:rPr>
        <w:t>（如有）</w:t>
      </w:r>
    </w:p>
    <w:p>
      <w:pPr>
        <w:pStyle w:val="7"/>
        <w:spacing w:before="225" w:after="105" w:line="360" w:lineRule="auto"/>
        <w:ind w:left="300" w:right="105" w:firstLine="461"/>
        <w:jc w:val="both"/>
        <w:rPr>
          <w:rFonts w:ascii="宋体" w:hAnsi="宋体" w:eastAsia="宋体" w:cs="宋体"/>
          <w:color w:val="auto"/>
          <w:highlight w:val="none"/>
        </w:rPr>
      </w:pPr>
      <w:r>
        <w:rPr>
          <w:rFonts w:ascii="宋体" w:hAnsi="宋体" w:eastAsia="宋体" w:cs="宋体"/>
          <w:color w:val="auto"/>
          <w:sz w:val="24"/>
          <w:highlight w:val="none"/>
        </w:rPr>
        <w:t>投标人可提供一个易损、易耗件清单，并标明用途、生产厂、常规使用寿命和单价。</w:t>
      </w:r>
    </w:p>
    <w:p>
      <w:pPr>
        <w:pStyle w:val="7"/>
        <w:spacing w:before="105" w:after="105" w:line="360" w:lineRule="auto"/>
        <w:ind w:firstLine="482"/>
        <w:jc w:val="both"/>
        <w:rPr>
          <w:rFonts w:ascii="宋体" w:hAnsi="宋体" w:eastAsia="宋体" w:cs="宋体"/>
          <w:color w:val="auto"/>
          <w:highlight w:val="none"/>
        </w:rPr>
      </w:pPr>
      <w:r>
        <w:rPr>
          <w:rFonts w:ascii="宋体" w:hAnsi="宋体" w:eastAsia="宋体" w:cs="宋体"/>
          <w:b/>
          <w:color w:val="auto"/>
          <w:sz w:val="24"/>
          <w:highlight w:val="none"/>
        </w:rPr>
        <w:t>（六）质量保质期</w:t>
      </w:r>
    </w:p>
    <w:p>
      <w:pPr>
        <w:pStyle w:val="7"/>
        <w:spacing w:before="225" w:after="105" w:line="360" w:lineRule="auto"/>
        <w:ind w:left="300" w:right="105" w:firstLine="461"/>
        <w:jc w:val="both"/>
        <w:rPr>
          <w:rFonts w:ascii="宋体" w:hAnsi="宋体" w:eastAsia="宋体" w:cs="宋体"/>
          <w:color w:val="auto"/>
          <w:highlight w:val="none"/>
        </w:rPr>
      </w:pPr>
      <w:r>
        <w:rPr>
          <w:rFonts w:ascii="宋体" w:hAnsi="宋体" w:eastAsia="宋体" w:cs="宋体"/>
          <w:color w:val="auto"/>
          <w:sz w:val="24"/>
          <w:highlight w:val="none"/>
        </w:rPr>
        <w:t>本项目的质保期最低为</w:t>
      </w:r>
      <w:r>
        <w:rPr>
          <w:rFonts w:ascii="宋体" w:hAnsi="宋体" w:eastAsia="宋体" w:cs="宋体"/>
          <w:color w:val="auto"/>
          <w:sz w:val="24"/>
          <w:highlight w:val="none"/>
          <w:lang w:eastAsia="zh-CN"/>
        </w:rPr>
        <w:t>2</w:t>
      </w:r>
      <w:r>
        <w:rPr>
          <w:rFonts w:ascii="宋体" w:hAnsi="宋体" w:eastAsia="宋体" w:cs="宋体"/>
          <w:color w:val="auto"/>
          <w:sz w:val="24"/>
          <w:highlight w:val="none"/>
        </w:rPr>
        <w:t>年</w:t>
      </w:r>
      <w:r>
        <w:rPr>
          <w:rFonts w:ascii="宋体" w:hAnsi="宋体" w:eastAsia="宋体" w:cs="宋体"/>
          <w:color w:val="auto"/>
          <w:sz w:val="24"/>
          <w:highlight w:val="none"/>
        </w:rPr>
        <w:t>，质保期从整体验收合格之日起计算，免费上门服务。（采购清单中免费保修期有特殊要求的按照采购清单中的为准）。若厂家有超过期限免费保修期的按厂家方案执行。）</w:t>
      </w:r>
    </w:p>
    <w:p>
      <w:pPr>
        <w:pStyle w:val="7"/>
        <w:spacing w:before="105" w:after="105" w:line="360" w:lineRule="auto"/>
        <w:ind w:firstLine="482"/>
        <w:jc w:val="both"/>
        <w:rPr>
          <w:rFonts w:ascii="宋体" w:hAnsi="宋体" w:eastAsia="宋体" w:cs="宋体"/>
          <w:color w:val="auto"/>
          <w:highlight w:val="none"/>
        </w:rPr>
      </w:pPr>
      <w:r>
        <w:rPr>
          <w:rFonts w:ascii="宋体" w:hAnsi="宋体" w:eastAsia="宋体" w:cs="宋体"/>
          <w:b/>
          <w:color w:val="auto"/>
          <w:sz w:val="24"/>
          <w:highlight w:val="none"/>
        </w:rPr>
        <w:t>（七）售后服务</w:t>
      </w:r>
    </w:p>
    <w:p>
      <w:pPr>
        <w:pStyle w:val="7"/>
        <w:spacing w:before="225" w:after="105" w:line="360" w:lineRule="auto"/>
        <w:ind w:left="300" w:right="105" w:firstLine="461"/>
        <w:jc w:val="both"/>
        <w:rPr>
          <w:rFonts w:ascii="宋体" w:hAnsi="宋体" w:eastAsia="宋体" w:cs="宋体"/>
          <w:color w:val="auto"/>
          <w:highlight w:val="none"/>
        </w:rPr>
      </w:pPr>
      <w:r>
        <w:rPr>
          <w:rFonts w:ascii="宋体" w:hAnsi="宋体" w:eastAsia="宋体" w:cs="宋体"/>
          <w:color w:val="auto"/>
          <w:sz w:val="24"/>
          <w:highlight w:val="none"/>
        </w:rPr>
        <w:t>1.供货方中标后需在项目所在地具有相应的技术支持及售后服务网点，确保设备使用的用户能够得到及时优质的售后服务。</w:t>
      </w:r>
    </w:p>
    <w:p>
      <w:pPr>
        <w:pStyle w:val="7"/>
        <w:spacing w:before="225" w:after="105" w:line="360" w:lineRule="auto"/>
        <w:ind w:left="300" w:right="105" w:firstLine="461"/>
        <w:jc w:val="both"/>
        <w:rPr>
          <w:rFonts w:ascii="宋体" w:hAnsi="宋体" w:eastAsia="宋体" w:cs="宋体"/>
          <w:color w:val="auto"/>
          <w:highlight w:val="none"/>
        </w:rPr>
      </w:pPr>
      <w:r>
        <w:rPr>
          <w:rFonts w:ascii="宋体" w:hAnsi="宋体" w:eastAsia="宋体" w:cs="宋体"/>
          <w:color w:val="auto"/>
          <w:sz w:val="24"/>
          <w:highlight w:val="none"/>
        </w:rPr>
        <w:t>2.在保质期以内，投标人在接到业主的维修通知后需及时响应，并派出有能力的维修人员赶到业主现场进行维修处理。产品的质保期为至少</w:t>
      </w:r>
      <w:r>
        <w:rPr>
          <w:rFonts w:ascii="宋体" w:hAnsi="宋体" w:eastAsia="宋体" w:cs="宋体"/>
          <w:color w:val="auto"/>
          <w:sz w:val="24"/>
          <w:highlight w:val="none"/>
          <w:lang w:eastAsia="zh-CN"/>
        </w:rPr>
        <w:t>2</w:t>
      </w:r>
      <w:r>
        <w:rPr>
          <w:rFonts w:ascii="宋体" w:hAnsi="宋体" w:eastAsia="宋体" w:cs="宋体"/>
          <w:color w:val="auto"/>
          <w:sz w:val="24"/>
          <w:highlight w:val="none"/>
        </w:rPr>
        <w:t>年，质保期内，凡因正常使用出现质量问题，供应商应提供免费维修或咨询等服务，承担因此产生的一切费用。</w:t>
      </w:r>
    </w:p>
    <w:p>
      <w:pPr>
        <w:pStyle w:val="7"/>
        <w:spacing w:before="225" w:after="105" w:line="360" w:lineRule="auto"/>
        <w:ind w:left="300" w:right="105" w:firstLine="461"/>
        <w:jc w:val="both"/>
        <w:rPr>
          <w:rFonts w:ascii="宋体" w:hAnsi="宋体" w:eastAsia="宋体" w:cs="宋体"/>
          <w:color w:val="auto"/>
          <w:highlight w:val="none"/>
        </w:rPr>
      </w:pPr>
      <w:r>
        <w:rPr>
          <w:rFonts w:ascii="宋体" w:hAnsi="宋体" w:eastAsia="宋体" w:cs="宋体"/>
          <w:color w:val="auto"/>
          <w:sz w:val="24"/>
          <w:highlight w:val="none"/>
        </w:rPr>
        <w:t>3.在保质期满后，投标人应保证以合理的价格提供备件和保养服务，当发生故障时，投标人应按保质期内同样的要求进行维修处理，供应商仍应负责对货物提供终生维修服务或对服务提供咨询服务，只收取配件成本或服务成本。</w:t>
      </w:r>
    </w:p>
    <w:p>
      <w:pPr>
        <w:pStyle w:val="7"/>
        <w:spacing w:before="105" w:after="105" w:line="360" w:lineRule="auto"/>
        <w:ind w:firstLine="482"/>
        <w:jc w:val="both"/>
        <w:rPr>
          <w:rFonts w:ascii="宋体" w:hAnsi="宋体" w:eastAsia="宋体" w:cs="宋体"/>
          <w:color w:val="auto"/>
          <w:highlight w:val="none"/>
        </w:rPr>
      </w:pPr>
      <w:r>
        <w:rPr>
          <w:rFonts w:ascii="宋体" w:hAnsi="宋体" w:eastAsia="宋体" w:cs="宋体"/>
          <w:b/>
          <w:color w:val="auto"/>
          <w:sz w:val="24"/>
          <w:highlight w:val="none"/>
        </w:rPr>
        <w:t>（八）培训服务：</w:t>
      </w:r>
    </w:p>
    <w:p>
      <w:pPr>
        <w:pStyle w:val="7"/>
        <w:spacing w:before="105" w:after="105" w:line="360" w:lineRule="auto"/>
        <w:ind w:firstLine="459"/>
        <w:jc w:val="both"/>
        <w:rPr>
          <w:rFonts w:ascii="宋体" w:hAnsi="宋体" w:eastAsia="宋体" w:cs="宋体"/>
          <w:color w:val="auto"/>
          <w:highlight w:val="none"/>
        </w:rPr>
      </w:pPr>
      <w:r>
        <w:rPr>
          <w:rFonts w:ascii="宋体" w:hAnsi="宋体" w:eastAsia="宋体" w:cs="宋体"/>
          <w:color w:val="auto"/>
          <w:sz w:val="24"/>
          <w:highlight w:val="none"/>
        </w:rPr>
        <w:t>1.供应商应在采购人规定的时间内将全部产品安装、调试完毕，提供给采购人正常使用，并免费提供使用说明书及有关产品使用和管理的培训。</w:t>
      </w:r>
    </w:p>
    <w:p>
      <w:pPr>
        <w:pStyle w:val="7"/>
        <w:spacing w:before="105" w:after="105" w:line="360" w:lineRule="auto"/>
        <w:ind w:firstLine="459"/>
        <w:jc w:val="both"/>
        <w:rPr>
          <w:rFonts w:ascii="宋体" w:hAnsi="宋体" w:eastAsia="宋体" w:cs="宋体"/>
          <w:color w:val="auto"/>
          <w:highlight w:val="none"/>
        </w:rPr>
      </w:pPr>
      <w:r>
        <w:rPr>
          <w:rFonts w:ascii="宋体" w:hAnsi="宋体" w:eastAsia="宋体" w:cs="宋体"/>
          <w:color w:val="auto"/>
          <w:sz w:val="24"/>
          <w:highlight w:val="none"/>
        </w:rPr>
        <w:t>2.免费提供培训材料及所培训内容。</w:t>
      </w:r>
    </w:p>
    <w:p>
      <w:pPr>
        <w:pStyle w:val="7"/>
        <w:spacing w:before="105" w:after="105" w:line="360" w:lineRule="auto"/>
        <w:ind w:firstLine="459"/>
        <w:jc w:val="both"/>
        <w:rPr>
          <w:rFonts w:ascii="宋体" w:hAnsi="宋体" w:eastAsia="宋体" w:cs="宋体"/>
          <w:color w:val="auto"/>
          <w:highlight w:val="none"/>
        </w:rPr>
      </w:pPr>
      <w:r>
        <w:rPr>
          <w:rFonts w:ascii="宋体" w:hAnsi="宋体" w:eastAsia="宋体" w:cs="宋体"/>
          <w:color w:val="auto"/>
          <w:sz w:val="24"/>
          <w:highlight w:val="none"/>
        </w:rPr>
        <w:t>3.培训地点：采购人指定地点；</w:t>
      </w:r>
    </w:p>
    <w:p>
      <w:pPr>
        <w:pStyle w:val="7"/>
        <w:spacing w:before="105" w:after="105" w:line="360" w:lineRule="auto"/>
        <w:ind w:firstLine="459"/>
        <w:jc w:val="both"/>
        <w:rPr>
          <w:rFonts w:ascii="宋体" w:hAnsi="宋体" w:eastAsia="宋体" w:cs="宋体"/>
          <w:color w:val="auto"/>
          <w:highlight w:val="none"/>
        </w:rPr>
      </w:pPr>
      <w:r>
        <w:rPr>
          <w:rFonts w:ascii="宋体" w:hAnsi="宋体" w:eastAsia="宋体" w:cs="宋体"/>
          <w:color w:val="auto"/>
          <w:sz w:val="24"/>
          <w:highlight w:val="none"/>
        </w:rPr>
        <w:t>4.时间：</w:t>
      </w:r>
      <w:r>
        <w:rPr>
          <w:rFonts w:ascii="宋体" w:hAnsi="宋体" w:eastAsia="宋体" w:cs="宋体"/>
          <w:color w:val="auto"/>
          <w:sz w:val="24"/>
          <w:highlight w:val="none"/>
        </w:rPr>
        <w:t>至少5天</w:t>
      </w:r>
      <w:r>
        <w:rPr>
          <w:rFonts w:ascii="宋体" w:hAnsi="宋体" w:eastAsia="宋体" w:cs="宋体"/>
          <w:color w:val="auto"/>
          <w:sz w:val="24"/>
          <w:highlight w:val="none"/>
        </w:rPr>
        <w:t>；</w:t>
      </w:r>
    </w:p>
    <w:p>
      <w:pPr>
        <w:pStyle w:val="7"/>
        <w:spacing w:before="105" w:after="105" w:line="360" w:lineRule="auto"/>
        <w:ind w:firstLine="459"/>
        <w:jc w:val="both"/>
        <w:rPr>
          <w:rFonts w:ascii="宋体" w:hAnsi="宋体" w:eastAsia="宋体" w:cs="宋体"/>
          <w:color w:val="auto"/>
          <w:highlight w:val="none"/>
        </w:rPr>
      </w:pPr>
      <w:r>
        <w:rPr>
          <w:rFonts w:ascii="宋体" w:hAnsi="宋体" w:eastAsia="宋体" w:cs="宋体"/>
          <w:color w:val="auto"/>
          <w:sz w:val="24"/>
          <w:highlight w:val="none"/>
        </w:rPr>
        <w:t>5.内容：产品的基本原理、结构、基本操作及维护知识，并指导用户进行操作，直到用户方使用人员可独立进行操作为止。</w:t>
      </w:r>
    </w:p>
    <w:p>
      <w:pPr>
        <w:pStyle w:val="7"/>
        <w:spacing w:before="105" w:after="105" w:line="360" w:lineRule="auto"/>
        <w:ind w:firstLine="459"/>
        <w:jc w:val="both"/>
        <w:rPr>
          <w:rFonts w:ascii="宋体" w:hAnsi="宋体" w:eastAsia="宋体" w:cs="宋体"/>
          <w:color w:val="auto"/>
          <w:highlight w:val="none"/>
        </w:rPr>
      </w:pPr>
      <w:r>
        <w:rPr>
          <w:rFonts w:ascii="宋体" w:hAnsi="宋体" w:eastAsia="宋体" w:cs="宋体"/>
          <w:color w:val="auto"/>
          <w:sz w:val="24"/>
          <w:highlight w:val="none"/>
        </w:rPr>
        <w:t>6.产品包含一次免费搬家服务</w:t>
      </w:r>
    </w:p>
    <w:p>
      <w:pPr>
        <w:pStyle w:val="7"/>
        <w:spacing w:before="105" w:after="105" w:line="360" w:lineRule="auto"/>
        <w:ind w:firstLine="482"/>
        <w:jc w:val="both"/>
        <w:rPr>
          <w:rFonts w:ascii="宋体" w:hAnsi="宋体" w:eastAsia="宋体" w:cs="宋体"/>
          <w:color w:val="auto"/>
          <w:highlight w:val="none"/>
        </w:rPr>
      </w:pPr>
      <w:r>
        <w:rPr>
          <w:rFonts w:ascii="宋体" w:hAnsi="宋体" w:eastAsia="宋体" w:cs="宋体"/>
          <w:b/>
          <w:color w:val="auto"/>
          <w:sz w:val="24"/>
          <w:highlight w:val="none"/>
        </w:rPr>
        <w:t>（九）除招标文件明确外，未经业主同意，中标供应商不得以任何方式转包或分包本项目。</w:t>
      </w:r>
    </w:p>
    <w:p>
      <w:pPr>
        <w:pStyle w:val="7"/>
        <w:spacing w:before="105" w:after="105" w:line="360" w:lineRule="auto"/>
        <w:ind w:firstLine="482"/>
        <w:jc w:val="both"/>
        <w:rPr>
          <w:rFonts w:ascii="宋体" w:hAnsi="宋体" w:eastAsia="宋体" w:cs="宋体"/>
          <w:color w:val="auto"/>
          <w:highlight w:val="none"/>
        </w:rPr>
      </w:pPr>
      <w:r>
        <w:rPr>
          <w:rFonts w:ascii="宋体" w:hAnsi="宋体" w:eastAsia="宋体" w:cs="宋体"/>
          <w:b/>
          <w:color w:val="auto"/>
          <w:sz w:val="24"/>
          <w:highlight w:val="none"/>
        </w:rPr>
        <w:t>（十）签订合同：中标供应商在收到《中标通知书》5个工作日与业主签订合同。</w:t>
      </w:r>
    </w:p>
    <w:p>
      <w:pPr>
        <w:pStyle w:val="7"/>
        <w:spacing w:before="105" w:after="105" w:line="360" w:lineRule="auto"/>
        <w:ind w:firstLine="482"/>
        <w:jc w:val="both"/>
        <w:rPr>
          <w:rFonts w:ascii="宋体" w:hAnsi="宋体" w:eastAsia="宋体" w:cs="宋体"/>
          <w:color w:val="auto"/>
          <w:highlight w:val="none"/>
        </w:rPr>
      </w:pPr>
      <w:r>
        <w:rPr>
          <w:rFonts w:ascii="宋体" w:hAnsi="宋体" w:eastAsia="宋体" w:cs="宋体"/>
          <w:b/>
          <w:color w:val="auto"/>
          <w:sz w:val="24"/>
          <w:highlight w:val="none"/>
        </w:rPr>
        <w:t>（十一）其它注意事项</w:t>
      </w:r>
    </w:p>
    <w:p>
      <w:pPr>
        <w:pStyle w:val="7"/>
        <w:spacing w:before="105" w:after="105" w:line="360" w:lineRule="auto"/>
        <w:ind w:firstLine="459"/>
        <w:jc w:val="both"/>
        <w:rPr>
          <w:rFonts w:ascii="宋体" w:hAnsi="宋体" w:eastAsia="宋体" w:cs="宋体"/>
          <w:color w:val="auto"/>
          <w:highlight w:val="none"/>
        </w:rPr>
      </w:pPr>
      <w:r>
        <w:rPr>
          <w:rFonts w:ascii="宋体" w:hAnsi="宋体" w:eastAsia="宋体" w:cs="宋体"/>
          <w:color w:val="auto"/>
          <w:sz w:val="24"/>
          <w:highlight w:val="none"/>
        </w:rPr>
        <w:t>1.提供正常系统维护和免费提供软件系统升级。</w:t>
      </w:r>
    </w:p>
    <w:p>
      <w:pPr>
        <w:pStyle w:val="7"/>
        <w:spacing w:before="105" w:after="105" w:line="360" w:lineRule="auto"/>
        <w:ind w:firstLine="459"/>
        <w:jc w:val="both"/>
        <w:rPr>
          <w:rFonts w:ascii="宋体" w:hAnsi="宋体" w:eastAsia="宋体" w:cs="宋体"/>
          <w:color w:val="auto"/>
          <w:highlight w:val="none"/>
        </w:rPr>
      </w:pPr>
      <w:r>
        <w:rPr>
          <w:rFonts w:ascii="宋体" w:hAnsi="宋体" w:eastAsia="宋体" w:cs="宋体"/>
          <w:color w:val="auto"/>
          <w:sz w:val="24"/>
          <w:highlight w:val="none"/>
        </w:rPr>
        <w:t>2.中标方负责设备的安装、调试。</w:t>
      </w:r>
    </w:p>
    <w:p>
      <w:pPr>
        <w:pStyle w:val="7"/>
        <w:spacing w:before="105" w:after="105" w:line="360" w:lineRule="auto"/>
        <w:ind w:firstLine="459"/>
        <w:jc w:val="both"/>
        <w:rPr>
          <w:rFonts w:ascii="宋体" w:hAnsi="宋体" w:eastAsia="宋体" w:cs="宋体"/>
          <w:color w:val="auto"/>
          <w:highlight w:val="none"/>
        </w:rPr>
      </w:pPr>
      <w:r>
        <w:rPr>
          <w:rFonts w:ascii="宋体" w:hAnsi="宋体" w:eastAsia="宋体" w:cs="宋体"/>
          <w:color w:val="auto"/>
          <w:sz w:val="24"/>
          <w:highlight w:val="none"/>
        </w:rPr>
        <w:t>3.未尽事宜由双方商议解决。</w:t>
      </w:r>
    </w:p>
    <w:p>
      <w:pPr>
        <w:pStyle w:val="7"/>
        <w:spacing w:before="105" w:after="105" w:line="360" w:lineRule="auto"/>
        <w:ind w:firstLine="459"/>
        <w:jc w:val="both"/>
        <w:rPr>
          <w:rFonts w:ascii="宋体" w:hAnsi="宋体" w:eastAsia="宋体" w:cs="宋体"/>
          <w:color w:val="auto"/>
          <w:highlight w:val="none"/>
        </w:rPr>
      </w:pPr>
      <w:r>
        <w:rPr>
          <w:rFonts w:ascii="宋体" w:hAnsi="宋体" w:eastAsia="宋体" w:cs="宋体"/>
          <w:color w:val="auto"/>
          <w:sz w:val="24"/>
          <w:highlight w:val="none"/>
        </w:rPr>
        <w:t>4.本项目</w:t>
      </w:r>
      <w:r>
        <w:rPr>
          <w:rFonts w:ascii="宋体" w:hAnsi="宋体" w:eastAsia="宋体" w:cs="宋体"/>
          <w:color w:val="auto"/>
          <w:sz w:val="24"/>
          <w:highlight w:val="none"/>
          <w:lang w:eastAsia="zh-CN"/>
        </w:rPr>
        <w:t>采购包1</w:t>
      </w:r>
      <w:r>
        <w:rPr>
          <w:rFonts w:ascii="宋体" w:hAnsi="宋体" w:eastAsia="宋体" w:cs="宋体"/>
          <w:color w:val="auto"/>
          <w:sz w:val="24"/>
          <w:highlight w:val="none"/>
        </w:rPr>
        <w:t>最高限价金额为</w:t>
      </w:r>
      <w:r>
        <w:rPr>
          <w:rFonts w:ascii="宋体" w:hAnsi="宋体" w:eastAsia="宋体" w:cs="宋体"/>
          <w:color w:val="auto"/>
          <w:sz w:val="24"/>
          <w:highlight w:val="none"/>
          <w:lang w:eastAsia="zh-CN"/>
        </w:rPr>
        <w:t>3726700.00</w:t>
      </w:r>
      <w:r>
        <w:rPr>
          <w:rFonts w:ascii="宋体" w:hAnsi="宋体" w:eastAsia="宋体" w:cs="宋体"/>
          <w:color w:val="auto"/>
          <w:sz w:val="24"/>
          <w:highlight w:val="none"/>
        </w:rPr>
        <w:t>元，</w:t>
      </w:r>
      <w:r>
        <w:rPr>
          <w:rFonts w:ascii="宋体" w:hAnsi="宋体" w:eastAsia="宋体" w:cs="宋体"/>
          <w:color w:val="auto"/>
          <w:sz w:val="24"/>
          <w:highlight w:val="none"/>
          <w:lang w:eastAsia="zh-CN"/>
        </w:rPr>
        <w:t>采购包2</w:t>
      </w:r>
      <w:r>
        <w:rPr>
          <w:rFonts w:ascii="宋体" w:hAnsi="宋体" w:eastAsia="宋体" w:cs="宋体"/>
          <w:color w:val="auto"/>
          <w:sz w:val="24"/>
          <w:highlight w:val="none"/>
        </w:rPr>
        <w:t>最高限价金额为</w:t>
      </w:r>
      <w:r>
        <w:rPr>
          <w:rFonts w:ascii="宋体" w:hAnsi="宋体" w:eastAsia="宋体" w:cs="宋体"/>
          <w:color w:val="auto"/>
          <w:sz w:val="24"/>
          <w:highlight w:val="none"/>
          <w:lang w:eastAsia="zh-CN"/>
        </w:rPr>
        <w:t>350000.00</w:t>
      </w:r>
      <w:r>
        <w:rPr>
          <w:rFonts w:ascii="宋体" w:hAnsi="宋体" w:eastAsia="宋体" w:cs="宋体"/>
          <w:color w:val="auto"/>
          <w:sz w:val="24"/>
          <w:highlight w:val="none"/>
        </w:rPr>
        <w:t>元，供应商的报价不得超过此最高限价，否则按无效投标处理。</w:t>
      </w:r>
    </w:p>
    <w:p>
      <w:pPr>
        <w:pStyle w:val="7"/>
        <w:spacing w:before="105" w:after="105" w:line="360" w:lineRule="auto"/>
        <w:ind w:firstLine="459"/>
        <w:jc w:val="both"/>
        <w:rPr>
          <w:rFonts w:ascii="宋体" w:hAnsi="宋体" w:eastAsia="宋体" w:cs="宋体"/>
          <w:color w:val="auto"/>
          <w:highlight w:val="none"/>
        </w:rPr>
      </w:pPr>
      <w:r>
        <w:rPr>
          <w:rFonts w:ascii="宋体" w:hAnsi="宋体" w:eastAsia="宋体" w:cs="宋体"/>
          <w:color w:val="auto"/>
          <w:sz w:val="24"/>
          <w:highlight w:val="none"/>
        </w:rPr>
        <w:t>5.安全标准：符合国家、地方和行业的相关政策、法规。</w:t>
      </w:r>
    </w:p>
    <w:p>
      <w:pPr>
        <w:pStyle w:val="7"/>
        <w:spacing w:before="105" w:after="105" w:line="360" w:lineRule="auto"/>
        <w:ind w:firstLine="459"/>
        <w:jc w:val="both"/>
        <w:rPr>
          <w:rFonts w:ascii="宋体" w:hAnsi="宋体" w:eastAsia="宋体" w:cs="宋体"/>
          <w:color w:val="auto"/>
          <w:highlight w:val="none"/>
        </w:rPr>
      </w:pPr>
      <w:r>
        <w:rPr>
          <w:rFonts w:ascii="宋体" w:hAnsi="宋体" w:eastAsia="宋体" w:cs="宋体"/>
          <w:color w:val="auto"/>
          <w:sz w:val="24"/>
          <w:highlight w:val="none"/>
        </w:rPr>
        <w:t>6.项目的实质性要求：按招标文件要求实施。</w:t>
      </w:r>
    </w:p>
    <w:p>
      <w:pPr>
        <w:pStyle w:val="7"/>
        <w:spacing w:before="105" w:after="105" w:line="360" w:lineRule="auto"/>
        <w:ind w:firstLine="459"/>
        <w:jc w:val="both"/>
        <w:rPr>
          <w:rFonts w:ascii="宋体" w:hAnsi="宋体" w:eastAsia="宋体" w:cs="宋体"/>
          <w:color w:val="auto"/>
          <w:highlight w:val="none"/>
        </w:rPr>
      </w:pPr>
      <w:r>
        <w:rPr>
          <w:rFonts w:ascii="宋体" w:hAnsi="宋体" w:eastAsia="宋体" w:cs="宋体"/>
          <w:color w:val="auto"/>
          <w:sz w:val="24"/>
          <w:highlight w:val="none"/>
        </w:rPr>
        <w:t>7.合同的实质性条款：采购人与成交供应商的名称和住所、标的、数量、质量、价款或者报酬、履行期限及地点和方式、验收要求、违约责任、解决争议的方法等内容。</w:t>
      </w:r>
    </w:p>
    <w:p>
      <w:pPr>
        <w:pStyle w:val="7"/>
        <w:spacing w:before="105" w:after="105" w:line="360" w:lineRule="auto"/>
        <w:ind w:firstLine="459"/>
        <w:jc w:val="both"/>
        <w:rPr>
          <w:rFonts w:ascii="宋体" w:hAnsi="宋体" w:eastAsia="宋体" w:cs="宋体"/>
          <w:color w:val="auto"/>
          <w:sz w:val="24"/>
          <w:highlight w:val="none"/>
        </w:rPr>
      </w:pPr>
      <w:r>
        <w:rPr>
          <w:rFonts w:ascii="宋体" w:hAnsi="宋体" w:eastAsia="宋体" w:cs="宋体"/>
          <w:color w:val="auto"/>
          <w:sz w:val="24"/>
          <w:highlight w:val="none"/>
        </w:rPr>
        <w:t>8.法律法规规定的强制性标准：无</w:t>
      </w:r>
    </w:p>
    <w:p>
      <w:pPr>
        <w:pStyle w:val="7"/>
        <w:spacing w:before="105" w:after="105" w:line="360" w:lineRule="auto"/>
        <w:jc w:val="both"/>
        <w:rPr>
          <w:rFonts w:ascii="宋体" w:hAnsi="宋体" w:eastAsia="宋体" w:cs="宋体"/>
          <w:color w:val="auto"/>
          <w:sz w:val="24"/>
          <w:highlight w:val="none"/>
          <w:lang w:eastAsia="zh-CN"/>
        </w:rPr>
      </w:pPr>
      <w:r>
        <w:rPr>
          <w:rFonts w:ascii="宋体" w:hAnsi="宋体" w:eastAsia="宋体" w:cs="宋体"/>
          <w:color w:val="auto"/>
          <w:sz w:val="24"/>
          <w:highlight w:val="none"/>
          <w:lang w:eastAsia="zh-CN"/>
        </w:rPr>
        <w:t>（十二）采购包1-</w:t>
      </w:r>
      <w:r>
        <w:rPr>
          <w:rFonts w:ascii="宋体" w:hAnsi="宋体" w:eastAsia="宋体" w:cs="宋体"/>
          <w:color w:val="auto"/>
          <w:sz w:val="24"/>
          <w:szCs w:val="24"/>
          <w:highlight w:val="none"/>
        </w:rPr>
        <w:t>采购资金的支付方式、时间、条件</w:t>
      </w:r>
      <w:r>
        <w:rPr>
          <w:rFonts w:ascii="宋体" w:hAnsi="宋体" w:eastAsia="宋体" w:cs="宋体"/>
          <w:color w:val="auto"/>
          <w:sz w:val="24"/>
          <w:szCs w:val="24"/>
          <w:highlight w:val="none"/>
          <w:lang w:eastAsia="zh-CN"/>
        </w:rPr>
        <w:t>（以下内容中的甲方为海南大学，乙方为中标供应商）：</w:t>
      </w:r>
    </w:p>
    <w:p>
      <w:pPr>
        <w:pStyle w:val="7"/>
        <w:spacing w:before="105" w:after="105" w:line="360" w:lineRule="auto"/>
        <w:ind w:firstLine="480" w:firstLineChars="200"/>
        <w:jc w:val="both"/>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 xml:space="preserve">合同生效后，乙方向甲方提供有效期至少涵盖本合同指定到货时间点的预付款等额银行保函或者保险保函后，甲方应在5个工作日内向乙方支付合同总金额的 </w:t>
      </w:r>
      <w:r>
        <w:rPr>
          <w:rFonts w:hint="eastAsia" w:ascii="宋体" w:hAnsi="宋体" w:eastAsia="宋体" w:cs="宋体"/>
          <w:color w:val="auto"/>
          <w:sz w:val="24"/>
          <w:highlight w:val="none"/>
          <w:lang w:val="en-US" w:eastAsia="zh-CN"/>
        </w:rPr>
        <w:t>70</w:t>
      </w:r>
      <w:r>
        <w:rPr>
          <w:rFonts w:hint="eastAsia" w:ascii="宋体" w:hAnsi="宋体" w:eastAsia="宋体" w:cs="宋体"/>
          <w:color w:val="auto"/>
          <w:sz w:val="24"/>
          <w:highlight w:val="none"/>
          <w:lang w:eastAsia="zh-CN"/>
        </w:rPr>
        <w:t>%的预付款；</w:t>
      </w:r>
    </w:p>
    <w:p>
      <w:pPr>
        <w:pStyle w:val="7"/>
        <w:spacing w:before="105" w:after="105" w:line="360" w:lineRule="auto"/>
        <w:ind w:firstLine="480" w:firstLineChars="200"/>
        <w:jc w:val="both"/>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甲方收到本合同约定的所有货物并验收合格，对于满足合同约定支付条件的，自收到乙方开具的合法有效的增值税专用发票后5个工作日内将资金支付到合同约定的账户。在每次付款前，乙方应根据甲方财务管理要求及时提供有效、完整支付材料。</w:t>
      </w:r>
    </w:p>
    <w:p>
      <w:pPr>
        <w:pStyle w:val="7"/>
        <w:spacing w:before="105" w:after="105" w:line="360" w:lineRule="auto"/>
        <w:jc w:val="both"/>
        <w:rPr>
          <w:rFonts w:ascii="宋体" w:hAnsi="宋体" w:eastAsia="宋体" w:cs="宋体"/>
          <w:color w:val="auto"/>
          <w:sz w:val="24"/>
          <w:highlight w:val="none"/>
          <w:lang w:eastAsia="zh-CN"/>
        </w:rPr>
      </w:pPr>
    </w:p>
    <w:p>
      <w:pPr>
        <w:pStyle w:val="7"/>
        <w:spacing w:before="105" w:after="105" w:line="360" w:lineRule="auto"/>
        <w:jc w:val="both"/>
        <w:rPr>
          <w:rFonts w:ascii="宋体" w:hAnsi="宋体" w:eastAsia="宋体" w:cs="宋体"/>
          <w:color w:val="auto"/>
          <w:sz w:val="24"/>
          <w:szCs w:val="24"/>
          <w:highlight w:val="none"/>
        </w:rPr>
      </w:pPr>
      <w:r>
        <w:rPr>
          <w:rFonts w:ascii="宋体" w:hAnsi="宋体" w:eastAsia="宋体" w:cs="宋体"/>
          <w:color w:val="auto"/>
          <w:sz w:val="24"/>
          <w:highlight w:val="none"/>
          <w:lang w:eastAsia="zh-CN"/>
        </w:rPr>
        <w:t>采购包2-</w:t>
      </w:r>
      <w:r>
        <w:rPr>
          <w:rFonts w:ascii="宋体" w:hAnsi="宋体" w:eastAsia="宋体" w:cs="宋体"/>
          <w:color w:val="auto"/>
          <w:sz w:val="24"/>
          <w:szCs w:val="24"/>
          <w:highlight w:val="none"/>
        </w:rPr>
        <w:t>采购资金的支付方式、时间、条件</w:t>
      </w:r>
      <w:r>
        <w:rPr>
          <w:rFonts w:ascii="宋体" w:hAnsi="宋体" w:eastAsia="宋体" w:cs="宋体"/>
          <w:color w:val="auto"/>
          <w:sz w:val="24"/>
          <w:szCs w:val="24"/>
          <w:highlight w:val="none"/>
          <w:lang w:eastAsia="zh-CN"/>
        </w:rPr>
        <w:t>（以下内容中的甲方为海南大学，乙方为中标供应商，丙方为外贸代理服务机构）</w:t>
      </w:r>
      <w:r>
        <w:rPr>
          <w:rFonts w:ascii="宋体" w:hAnsi="宋体" w:eastAsia="宋体" w:cs="宋体"/>
          <w:color w:val="auto"/>
          <w:sz w:val="24"/>
          <w:szCs w:val="24"/>
          <w:highlight w:val="none"/>
        </w:rPr>
        <w:t>：</w:t>
      </w:r>
    </w:p>
    <w:p>
      <w:pPr>
        <w:pStyle w:val="7"/>
        <w:numPr>
          <w:ilvl w:val="0"/>
          <w:numId w:val="4"/>
        </w:numPr>
        <w:spacing w:before="105" w:after="105" w:line="360" w:lineRule="auto"/>
        <w:jc w:val="both"/>
        <w:rPr>
          <w:color w:val="auto"/>
          <w:highlight w:val="none"/>
        </w:rPr>
      </w:pPr>
      <w:r>
        <w:rPr>
          <w:rFonts w:ascii="宋体" w:hAnsi="宋体" w:eastAsia="宋体" w:cs="宋体"/>
          <w:color w:val="auto"/>
          <w:sz w:val="24"/>
          <w:szCs w:val="24"/>
          <w:highlight w:val="none"/>
        </w:rPr>
        <w:t>若中标产品为国产产品时，采用以下方式：</w:t>
      </w:r>
    </w:p>
    <w:p>
      <w:pPr>
        <w:pStyle w:val="7"/>
        <w:spacing w:before="105" w:after="105" w:line="360" w:lineRule="auto"/>
        <w:ind w:firstLine="480" w:firstLineChars="200"/>
        <w:jc w:val="both"/>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 xml:space="preserve">合同生效后，乙方向甲方提供有效期至少涵盖本合同指定到货时间点的预付款等额银行保函或者保险保函后，甲方应在5个工作日内向乙方支付合同总金额的 </w:t>
      </w:r>
      <w:r>
        <w:rPr>
          <w:rFonts w:hint="eastAsia" w:ascii="宋体" w:hAnsi="宋体" w:eastAsia="宋体" w:cs="宋体"/>
          <w:color w:val="auto"/>
          <w:sz w:val="24"/>
          <w:highlight w:val="none"/>
          <w:lang w:val="en-US" w:eastAsia="zh-CN"/>
        </w:rPr>
        <w:t>70</w:t>
      </w:r>
      <w:r>
        <w:rPr>
          <w:rFonts w:hint="eastAsia" w:ascii="宋体" w:hAnsi="宋体" w:eastAsia="宋体" w:cs="宋体"/>
          <w:color w:val="auto"/>
          <w:sz w:val="24"/>
          <w:highlight w:val="none"/>
          <w:lang w:eastAsia="zh-CN"/>
        </w:rPr>
        <w:t>%的预付款；</w:t>
      </w:r>
    </w:p>
    <w:p>
      <w:pPr>
        <w:pStyle w:val="7"/>
        <w:spacing w:before="105" w:after="105" w:line="360" w:lineRule="auto"/>
        <w:ind w:firstLine="480" w:firstLineChars="200"/>
        <w:jc w:val="both"/>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甲方收到本合同约定的所有货物并验收合格，对于满足合同约定支付条件的，自收到乙方开具的合法有效的增值税专用发票后5个工作日内将资金支付到合同约定的账户。在每次付款前，乙方应根据甲方财务管理要求及时提供有效、完整支付材料。</w:t>
      </w:r>
    </w:p>
    <w:p>
      <w:pPr>
        <w:pStyle w:val="7"/>
        <w:numPr>
          <w:ilvl w:val="-1"/>
          <w:numId w:val="0"/>
        </w:numPr>
        <w:spacing w:before="105" w:after="105" w:line="360" w:lineRule="auto"/>
        <w:jc w:val="both"/>
        <w:rPr>
          <w:color w:val="auto"/>
          <w:highlight w:val="none"/>
        </w:rPr>
      </w:pPr>
    </w:p>
    <w:p>
      <w:pPr>
        <w:pStyle w:val="3"/>
        <w:widowControl/>
        <w:numPr>
          <w:ilvl w:val="0"/>
          <w:numId w:val="4"/>
        </w:numPr>
        <w:wordWrap w:val="0"/>
        <w:topLinePunct/>
        <w:autoSpaceDE w:val="0"/>
        <w:autoSpaceDN w:val="0"/>
        <w:adjustRightInd w:val="0"/>
        <w:snapToGrid w:val="0"/>
        <w:spacing w:before="312" w:beforeLines="100" w:after="312" w:afterLines="100" w:line="360" w:lineRule="auto"/>
        <w:textAlignment w:val="baseline"/>
        <w:rPr>
          <w:rFonts w:hint="eastAsia" w:ascii="宋体" w:hAnsi="宋体" w:cs="宋体"/>
          <w:b w:val="0"/>
          <w:bCs w:val="0"/>
          <w:color w:val="auto"/>
          <w:sz w:val="24"/>
          <w:szCs w:val="24"/>
          <w:highlight w:val="none"/>
        </w:rPr>
      </w:pPr>
      <w:r>
        <w:rPr>
          <w:rFonts w:hint="eastAsia" w:ascii="宋体" w:hAnsi="宋体" w:cs="宋体"/>
          <w:b w:val="0"/>
          <w:bCs w:val="0"/>
          <w:color w:val="auto"/>
          <w:sz w:val="24"/>
          <w:szCs w:val="24"/>
          <w:highlight w:val="none"/>
        </w:rPr>
        <w:t>若中标产品为进口产品时，采用以下方式：</w:t>
      </w:r>
    </w:p>
    <w:p>
      <w:pPr>
        <w:pStyle w:val="3"/>
        <w:widowControl/>
        <w:numPr>
          <w:ilvl w:val="-1"/>
          <w:numId w:val="0"/>
        </w:numPr>
        <w:wordWrap w:val="0"/>
        <w:topLinePunct/>
        <w:autoSpaceDE w:val="0"/>
        <w:autoSpaceDN w:val="0"/>
        <w:adjustRightInd w:val="0"/>
        <w:snapToGrid w:val="0"/>
        <w:spacing w:before="312" w:beforeLines="100" w:after="312" w:afterLines="100" w:line="360" w:lineRule="auto"/>
        <w:textAlignment w:val="baseline"/>
        <w:rPr>
          <w:rFonts w:hint="eastAsia" w:ascii="宋体" w:hAnsi="宋体" w:cs="宋体"/>
          <w:b w:val="0"/>
          <w:bCs w:val="0"/>
          <w:color w:val="auto"/>
          <w:sz w:val="24"/>
          <w:szCs w:val="24"/>
          <w:highlight w:val="none"/>
        </w:rPr>
      </w:pPr>
      <w:r>
        <w:rPr>
          <w:rFonts w:hint="eastAsia" w:ascii="宋体" w:hAnsi="宋体" w:cs="宋体"/>
          <w:b w:val="0"/>
          <w:bCs w:val="0"/>
          <w:color w:val="auto"/>
          <w:sz w:val="24"/>
          <w:szCs w:val="24"/>
          <w:highlight w:val="none"/>
        </w:rPr>
        <w:t>甲方收到本合同约定的所有货物并验收合格，对于满足合同约定支付条件的，自取得丙方开具的合法有效的代理服务费和货物销售增值税发票后5个工作日，按合同约定金额向丙方付款。</w:t>
      </w:r>
    </w:p>
    <w:p>
      <w:pPr>
        <w:pStyle w:val="3"/>
        <w:widowControl/>
        <w:wordWrap w:val="0"/>
        <w:topLinePunct/>
        <w:autoSpaceDE w:val="0"/>
        <w:autoSpaceDN w:val="0"/>
        <w:adjustRightInd w:val="0"/>
        <w:snapToGrid w:val="0"/>
        <w:spacing w:before="312" w:beforeLines="100" w:after="312" w:afterLines="100" w:line="360" w:lineRule="auto"/>
        <w:textAlignment w:val="baseline"/>
        <w:rPr>
          <w:rFonts w:hint="eastAsia" w:ascii="宋体" w:hAnsi="宋体" w:cs="宋体"/>
          <w:b w:val="0"/>
          <w:bCs w:val="0"/>
          <w:color w:val="auto"/>
          <w:sz w:val="24"/>
          <w:szCs w:val="24"/>
          <w:highlight w:val="none"/>
        </w:rPr>
      </w:pPr>
      <w:r>
        <w:rPr>
          <w:rFonts w:hint="eastAsia" w:ascii="宋体" w:hAnsi="宋体" w:cs="宋体"/>
          <w:b w:val="0"/>
          <w:bCs w:val="0"/>
          <w:color w:val="auto"/>
          <w:sz w:val="24"/>
          <w:szCs w:val="24"/>
          <w:highlight w:val="none"/>
        </w:rPr>
        <w:t>3.若中标产品同时含国产产品和进口产品时，需分别签订《国产仪器设备合同》和《进口仪器设备合同》。</w:t>
      </w:r>
    </w:p>
    <w:p>
      <w:pPr>
        <w:rPr>
          <w:color w:val="auto"/>
          <w:highlight w:val="none"/>
        </w:rPr>
      </w:pPr>
    </w:p>
    <w:bookmarkEnd w:id="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DC7D023"/>
    <w:multiLevelType w:val="singleLevel"/>
    <w:tmpl w:val="BDC7D023"/>
    <w:lvl w:ilvl="0" w:tentative="0">
      <w:start w:val="1"/>
      <w:numFmt w:val="chineseCounting"/>
      <w:suff w:val="nothing"/>
      <w:lvlText w:val="%1、"/>
      <w:lvlJc w:val="left"/>
      <w:pPr>
        <w:ind w:left="210"/>
      </w:pPr>
      <w:rPr>
        <w:rFonts w:hint="eastAsia"/>
      </w:rPr>
    </w:lvl>
  </w:abstractNum>
  <w:abstractNum w:abstractNumId="1">
    <w:nsid w:val="09060293"/>
    <w:multiLevelType w:val="singleLevel"/>
    <w:tmpl w:val="09060293"/>
    <w:lvl w:ilvl="0" w:tentative="0">
      <w:start w:val="1"/>
      <w:numFmt w:val="decimal"/>
      <w:lvlText w:val="%1."/>
      <w:lvlJc w:val="left"/>
      <w:pPr>
        <w:tabs>
          <w:tab w:val="left" w:pos="312"/>
        </w:tabs>
      </w:pPr>
    </w:lvl>
  </w:abstractNum>
  <w:abstractNum w:abstractNumId="2">
    <w:nsid w:val="14306A30"/>
    <w:multiLevelType w:val="singleLevel"/>
    <w:tmpl w:val="14306A30"/>
    <w:lvl w:ilvl="0" w:tentative="0">
      <w:start w:val="1"/>
      <w:numFmt w:val="chineseCounting"/>
      <w:suff w:val="nothing"/>
      <w:lvlText w:val="（%1）"/>
      <w:lvlJc w:val="left"/>
      <w:rPr>
        <w:rFonts w:hint="eastAsia"/>
      </w:rPr>
    </w:lvl>
  </w:abstractNum>
  <w:abstractNum w:abstractNumId="3">
    <w:nsid w:val="6097A203"/>
    <w:multiLevelType w:val="singleLevel"/>
    <w:tmpl w:val="6097A203"/>
    <w:lvl w:ilvl="0" w:tentative="0">
      <w:start w:val="2"/>
      <w:numFmt w:val="decimal"/>
      <w:lvlText w:val="%1."/>
      <w:lvlJc w:val="left"/>
      <w:pPr>
        <w:tabs>
          <w:tab w:val="left" w:pos="312"/>
        </w:tabs>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4260A6"/>
    <w:rsid w:val="13DA7422"/>
    <w:rsid w:val="5D4260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3">
    <w:name w:val="heading 3"/>
    <w:basedOn w:val="1"/>
    <w:next w:val="1"/>
    <w:qFormat/>
    <w:uiPriority w:val="0"/>
    <w:pPr>
      <w:keepNext/>
      <w:keepLines/>
      <w:spacing w:before="260" w:after="260" w:line="416" w:lineRule="auto"/>
      <w:outlineLvl w:val="2"/>
    </w:pPr>
    <w:rPr>
      <w:b/>
      <w:bCs/>
      <w:sz w:val="32"/>
      <w:szCs w:val="32"/>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customStyle="1" w:styleId="6">
    <w:name w:val="样式1"/>
    <w:basedOn w:val="1"/>
    <w:uiPriority w:val="0"/>
    <w:rPr>
      <w:rFonts w:ascii="Calibri" w:hAnsi="Calibri" w:eastAsia="宋体" w:cs="Times New Roman"/>
      <w:sz w:val="44"/>
    </w:rPr>
  </w:style>
  <w:style w:type="paragraph" w:customStyle="1" w:styleId="7">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2025-06-13T10:23:00Z</dcterms:created>
  <dc:creator>Administrator</dc:creator>
  <cp:lastModifiedBy>Administrator</cp:lastModifiedBy>
  <dcterms:modified xsi:type="dcterms:W3CDTF">2025-06-13T10:24:11Z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ies>
</file>