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85351">
      <w:pPr>
        <w:keepNext/>
        <w:keepLines/>
        <w:pageBreakBefore w:val="0"/>
        <w:widowControl w:val="0"/>
        <w:kinsoku/>
        <w:wordWrap/>
        <w:overflowPunct/>
        <w:topLinePunct w:val="0"/>
        <w:bidi w:val="0"/>
        <w:spacing w:beforeAutospacing="0" w:line="360" w:lineRule="auto"/>
        <w:jc w:val="center"/>
        <w:textAlignment w:val="auto"/>
        <w:outlineLvl w:val="9"/>
        <w:rPr>
          <w:rFonts w:hint="eastAsia" w:ascii="宋体" w:hAnsi="宋体" w:eastAsia="宋体" w:cs="宋体"/>
          <w:b w:val="0"/>
          <w:bCs w:val="0"/>
          <w:color w:val="auto"/>
          <w:kern w:val="44"/>
          <w:sz w:val="44"/>
          <w:szCs w:val="44"/>
          <w:lang w:val="en-US" w:eastAsia="zh-CN"/>
        </w:rPr>
      </w:pPr>
      <w:bookmarkStart w:id="0" w:name="_Toc6616_WPSOffice_Level1"/>
    </w:p>
    <w:p w14:paraId="12D5FE3E">
      <w:pPr>
        <w:pageBreakBefore w:val="0"/>
        <w:widowControl w:val="0"/>
        <w:kinsoku/>
        <w:wordWrap/>
        <w:overflowPunct/>
        <w:topLinePunct w:val="0"/>
        <w:bidi w:val="0"/>
        <w:spacing w:beforeAutospacing="0" w:line="360" w:lineRule="auto"/>
        <w:textAlignment w:val="auto"/>
        <w:rPr>
          <w:rFonts w:hint="eastAsia" w:ascii="宋体" w:hAnsi="宋体" w:eastAsia="宋体" w:cs="宋体"/>
          <w:color w:val="auto"/>
          <w:sz w:val="24"/>
          <w:u w:val="single"/>
        </w:rPr>
      </w:pPr>
      <w:r>
        <w:rPr>
          <w:rFonts w:hint="eastAsia" w:ascii="宋体" w:hAnsi="宋体" w:eastAsia="宋体" w:cs="宋体"/>
          <w:b/>
          <w:color w:val="auto"/>
          <w:sz w:val="30"/>
          <w:szCs w:val="30"/>
        </w:rPr>
        <w:t>合同编号：</w:t>
      </w:r>
      <w:r>
        <w:rPr>
          <w:rFonts w:hint="eastAsia" w:ascii="宋体" w:hAnsi="宋体" w:eastAsia="宋体" w:cs="宋体"/>
          <w:color w:val="auto"/>
          <w:sz w:val="24"/>
          <w:u w:val="single"/>
        </w:rPr>
        <w:t xml:space="preserve">           </w:t>
      </w:r>
    </w:p>
    <w:p w14:paraId="266B6E21">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b/>
          <w:color w:val="auto"/>
          <w:sz w:val="30"/>
          <w:szCs w:val="30"/>
        </w:rPr>
      </w:pPr>
    </w:p>
    <w:p w14:paraId="660C8023">
      <w:pPr>
        <w:pageBreakBefore w:val="0"/>
        <w:widowControl w:val="0"/>
        <w:kinsoku/>
        <w:wordWrap/>
        <w:overflowPunct/>
        <w:topLinePunct w:val="0"/>
        <w:bidi w:val="0"/>
        <w:spacing w:beforeAutospacing="0" w:line="360" w:lineRule="auto"/>
        <w:ind w:right="40"/>
        <w:jc w:val="left"/>
        <w:textAlignment w:val="auto"/>
        <w:rPr>
          <w:rFonts w:hint="eastAsia" w:ascii="宋体" w:hAnsi="宋体" w:eastAsia="宋体" w:cs="宋体"/>
          <w:color w:val="auto"/>
          <w:sz w:val="30"/>
          <w:szCs w:val="30"/>
        </w:rPr>
      </w:pPr>
    </w:p>
    <w:p w14:paraId="2C6D3E52">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color w:val="auto"/>
          <w:sz w:val="72"/>
          <w:szCs w:val="72"/>
        </w:rPr>
      </w:pPr>
      <w:r>
        <w:rPr>
          <w:rFonts w:hint="eastAsia" w:ascii="宋体" w:hAnsi="宋体" w:eastAsia="宋体" w:cs="宋体"/>
          <w:b/>
          <w:color w:val="auto"/>
          <w:sz w:val="72"/>
          <w:szCs w:val="72"/>
        </w:rPr>
        <w:t>海南省政府采购项目</w:t>
      </w:r>
    </w:p>
    <w:p w14:paraId="1D482FF6">
      <w:pPr>
        <w:pageBreakBefore w:val="0"/>
        <w:widowControl w:val="0"/>
        <w:kinsoku/>
        <w:wordWrap/>
        <w:overflowPunct/>
        <w:topLinePunct w:val="0"/>
        <w:bidi w:val="0"/>
        <w:spacing w:beforeAutospacing="0" w:line="360" w:lineRule="auto"/>
        <w:textAlignment w:val="auto"/>
        <w:rPr>
          <w:rFonts w:hint="eastAsia" w:ascii="宋体" w:hAnsi="宋体" w:eastAsia="宋体" w:cs="宋体"/>
          <w:b/>
          <w:color w:val="auto"/>
          <w:sz w:val="30"/>
          <w:szCs w:val="30"/>
        </w:rPr>
      </w:pPr>
    </w:p>
    <w:p w14:paraId="647D0962">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color w:val="auto"/>
          <w:sz w:val="110"/>
          <w:szCs w:val="110"/>
        </w:rPr>
      </w:pPr>
      <w:r>
        <w:rPr>
          <w:rFonts w:hint="eastAsia" w:ascii="宋体" w:hAnsi="宋体" w:eastAsia="宋体" w:cs="宋体"/>
          <w:b/>
          <w:color w:val="auto"/>
          <w:sz w:val="110"/>
          <w:szCs w:val="110"/>
        </w:rPr>
        <w:t xml:space="preserve">合 </w:t>
      </w:r>
      <w:r>
        <w:rPr>
          <w:rFonts w:hint="eastAsia" w:ascii="宋体" w:hAnsi="宋体" w:eastAsia="宋体" w:cs="宋体"/>
          <w:b/>
          <w:color w:val="auto"/>
          <w:sz w:val="32"/>
          <w:szCs w:val="32"/>
        </w:rPr>
        <w:t xml:space="preserve">  </w:t>
      </w:r>
      <w:r>
        <w:rPr>
          <w:rFonts w:hint="eastAsia" w:ascii="宋体" w:hAnsi="宋体" w:eastAsia="宋体" w:cs="宋体"/>
          <w:b/>
          <w:color w:val="auto"/>
          <w:sz w:val="110"/>
          <w:szCs w:val="110"/>
        </w:rPr>
        <w:t xml:space="preserve">同 </w:t>
      </w:r>
      <w:r>
        <w:rPr>
          <w:rFonts w:hint="eastAsia" w:ascii="宋体" w:hAnsi="宋体" w:eastAsia="宋体" w:cs="宋体"/>
          <w:b/>
          <w:color w:val="auto"/>
          <w:sz w:val="32"/>
          <w:szCs w:val="32"/>
        </w:rPr>
        <w:t xml:space="preserve">  </w:t>
      </w:r>
      <w:r>
        <w:rPr>
          <w:rFonts w:hint="eastAsia" w:ascii="宋体" w:hAnsi="宋体" w:eastAsia="宋体" w:cs="宋体"/>
          <w:b/>
          <w:color w:val="auto"/>
          <w:sz w:val="110"/>
          <w:szCs w:val="110"/>
        </w:rPr>
        <w:t>书</w:t>
      </w:r>
    </w:p>
    <w:p w14:paraId="655B3A76">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b/>
          <w:color w:val="auto"/>
          <w:sz w:val="32"/>
          <w:szCs w:val="32"/>
        </w:rPr>
      </w:pPr>
    </w:p>
    <w:p w14:paraId="6D3B2121">
      <w:pPr>
        <w:pageBreakBefore w:val="0"/>
        <w:widowControl w:val="0"/>
        <w:kinsoku/>
        <w:wordWrap/>
        <w:overflowPunct/>
        <w:topLinePunct w:val="0"/>
        <w:bidi w:val="0"/>
        <w:spacing w:beforeAutospacing="0" w:line="360" w:lineRule="auto"/>
        <w:textAlignment w:val="auto"/>
        <w:rPr>
          <w:rFonts w:hint="eastAsia" w:ascii="宋体" w:hAnsi="宋体" w:eastAsia="宋体" w:cs="宋体"/>
          <w:b/>
          <w:color w:val="auto"/>
          <w:sz w:val="32"/>
          <w:szCs w:val="32"/>
        </w:rPr>
      </w:pPr>
    </w:p>
    <w:p w14:paraId="060F3DA8">
      <w:pPr>
        <w:pageBreakBefore w:val="0"/>
        <w:widowControl w:val="0"/>
        <w:tabs>
          <w:tab w:val="left" w:pos="1260"/>
          <w:tab w:val="left" w:pos="1620"/>
          <w:tab w:val="left" w:pos="6840"/>
          <w:tab w:val="left" w:pos="7020"/>
          <w:tab w:val="left" w:pos="7200"/>
        </w:tabs>
        <w:kinsoku/>
        <w:wordWrap/>
        <w:overflowPunct/>
        <w:topLinePunct w:val="0"/>
        <w:bidi w:val="0"/>
        <w:adjustRightInd w:val="0"/>
        <w:spacing w:beforeAutospacing="0" w:line="360" w:lineRule="auto"/>
        <w:ind w:right="-451" w:rightChars="-161" w:firstLine="1928" w:firstLineChars="600"/>
        <w:textAlignment w:val="auto"/>
        <w:rPr>
          <w:rFonts w:hint="eastAsia" w:ascii="宋体" w:hAnsi="宋体" w:eastAsia="宋体" w:cs="宋体"/>
          <w:b/>
          <w:color w:val="auto"/>
          <w:sz w:val="32"/>
          <w:szCs w:val="32"/>
        </w:rPr>
      </w:pPr>
    </w:p>
    <w:p w14:paraId="444D6C27">
      <w:pPr>
        <w:pageBreakBefore w:val="0"/>
        <w:widowControl w:val="0"/>
        <w:tabs>
          <w:tab w:val="left" w:pos="1260"/>
          <w:tab w:val="left" w:pos="1620"/>
          <w:tab w:val="left" w:pos="6840"/>
          <w:tab w:val="left" w:pos="7020"/>
          <w:tab w:val="left" w:pos="7200"/>
        </w:tabs>
        <w:kinsoku/>
        <w:wordWrap/>
        <w:overflowPunct/>
        <w:topLinePunct w:val="0"/>
        <w:bidi w:val="0"/>
        <w:adjustRightInd w:val="0"/>
        <w:spacing w:beforeAutospacing="0" w:line="360" w:lineRule="auto"/>
        <w:ind w:right="-451" w:rightChars="-161" w:firstLine="1928" w:firstLineChars="600"/>
        <w:textAlignment w:val="auto"/>
        <w:rPr>
          <w:rFonts w:hint="eastAsia" w:ascii="宋体" w:hAnsi="宋体" w:eastAsia="宋体" w:cs="宋体"/>
          <w:b/>
          <w:color w:val="auto"/>
          <w:sz w:val="32"/>
          <w:szCs w:val="32"/>
        </w:rPr>
      </w:pPr>
    </w:p>
    <w:p w14:paraId="51CFC095">
      <w:pPr>
        <w:pageBreakBefore w:val="0"/>
        <w:widowControl w:val="0"/>
        <w:tabs>
          <w:tab w:val="left" w:pos="1260"/>
          <w:tab w:val="left" w:pos="1620"/>
          <w:tab w:val="left" w:pos="6840"/>
          <w:tab w:val="left" w:pos="7020"/>
          <w:tab w:val="left" w:pos="7200"/>
        </w:tabs>
        <w:kinsoku/>
        <w:wordWrap/>
        <w:overflowPunct/>
        <w:topLinePunct w:val="0"/>
        <w:bidi w:val="0"/>
        <w:adjustRightInd w:val="0"/>
        <w:spacing w:beforeAutospacing="0" w:line="360" w:lineRule="auto"/>
        <w:ind w:right="-451" w:rightChars="-161" w:firstLine="1928" w:firstLineChars="6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项目名称：</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rPr>
        <w:t xml:space="preserve"> </w:t>
      </w:r>
    </w:p>
    <w:p w14:paraId="702F8549">
      <w:pPr>
        <w:pageBreakBefore w:val="0"/>
        <w:widowControl w:val="0"/>
        <w:tabs>
          <w:tab w:val="left" w:pos="1260"/>
          <w:tab w:val="left" w:pos="1620"/>
          <w:tab w:val="left" w:pos="6840"/>
          <w:tab w:val="left" w:pos="7020"/>
          <w:tab w:val="left" w:pos="7200"/>
        </w:tabs>
        <w:kinsoku/>
        <w:wordWrap/>
        <w:overflowPunct/>
        <w:topLinePunct w:val="0"/>
        <w:bidi w:val="0"/>
        <w:adjustRightInd w:val="0"/>
        <w:spacing w:beforeAutospacing="0" w:line="360" w:lineRule="auto"/>
        <w:ind w:right="-451" w:rightChars="-161" w:firstLine="1928" w:firstLineChars="6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项目编号：</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rPr>
        <w:t xml:space="preserve"> </w:t>
      </w:r>
    </w:p>
    <w:p w14:paraId="4656DB75">
      <w:pPr>
        <w:pageBreakBefore w:val="0"/>
        <w:widowControl w:val="0"/>
        <w:tabs>
          <w:tab w:val="left" w:pos="1260"/>
          <w:tab w:val="left" w:pos="1620"/>
          <w:tab w:val="left" w:pos="6840"/>
          <w:tab w:val="left" w:pos="7020"/>
          <w:tab w:val="left" w:pos="7200"/>
        </w:tabs>
        <w:kinsoku/>
        <w:wordWrap/>
        <w:overflowPunct/>
        <w:topLinePunct w:val="0"/>
        <w:bidi w:val="0"/>
        <w:adjustRightInd w:val="0"/>
        <w:spacing w:beforeAutospacing="0" w:line="360" w:lineRule="auto"/>
        <w:ind w:right="-451" w:rightChars="-161" w:firstLine="1928" w:firstLineChars="6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甲    方：</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rPr>
        <w:t xml:space="preserve">  </w:t>
      </w:r>
    </w:p>
    <w:p w14:paraId="179AE4D8">
      <w:pPr>
        <w:pageBreakBefore w:val="0"/>
        <w:widowControl w:val="0"/>
        <w:tabs>
          <w:tab w:val="left" w:pos="1260"/>
          <w:tab w:val="left" w:pos="1620"/>
          <w:tab w:val="left" w:pos="6840"/>
          <w:tab w:val="left" w:pos="7020"/>
          <w:tab w:val="left" w:pos="7200"/>
        </w:tabs>
        <w:kinsoku/>
        <w:wordWrap/>
        <w:overflowPunct/>
        <w:topLinePunct w:val="0"/>
        <w:bidi w:val="0"/>
        <w:adjustRightInd w:val="0"/>
        <w:spacing w:beforeAutospacing="0" w:line="360" w:lineRule="auto"/>
        <w:ind w:right="-451" w:rightChars="-161" w:firstLine="1928" w:firstLineChars="6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乙    方：</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rPr>
        <w:t xml:space="preserve"> </w:t>
      </w:r>
    </w:p>
    <w:p w14:paraId="0B391514">
      <w:pPr>
        <w:pageBreakBefore w:val="0"/>
        <w:widowControl w:val="0"/>
        <w:tabs>
          <w:tab w:val="left" w:pos="1260"/>
          <w:tab w:val="left" w:pos="1620"/>
          <w:tab w:val="left" w:pos="6840"/>
          <w:tab w:val="left" w:pos="7020"/>
          <w:tab w:val="left" w:pos="7200"/>
        </w:tabs>
        <w:kinsoku/>
        <w:wordWrap/>
        <w:overflowPunct/>
        <w:topLinePunct w:val="0"/>
        <w:bidi w:val="0"/>
        <w:adjustRightInd w:val="0"/>
        <w:spacing w:beforeAutospacing="0" w:line="360" w:lineRule="auto"/>
        <w:ind w:right="-451" w:rightChars="-161" w:firstLine="1928" w:firstLineChars="6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签订日期：</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rPr>
        <w:t>年</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rPr>
        <w:t xml:space="preserve"> 月</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rPr>
        <w:t>日</w:t>
      </w:r>
    </w:p>
    <w:p w14:paraId="6EE696BD">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br w:type="page"/>
      </w:r>
      <w:r>
        <w:rPr>
          <w:rFonts w:hint="eastAsia" w:ascii="宋体" w:hAnsi="宋体" w:eastAsia="宋体" w:cs="宋体"/>
          <w:b/>
          <w:color w:val="auto"/>
          <w:sz w:val="32"/>
          <w:szCs w:val="32"/>
        </w:rPr>
        <w:t>合同专用条款</w:t>
      </w:r>
    </w:p>
    <w:p w14:paraId="3833DEA3">
      <w:pPr>
        <w:pageBreakBefore w:val="0"/>
        <w:widowControl w:val="0"/>
        <w:kinsoku/>
        <w:wordWrap/>
        <w:overflowPunct/>
        <w:topLinePunct w:val="0"/>
        <w:bidi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u w:val="single"/>
        </w:rPr>
        <w:t xml:space="preserve">  （采购人名称）   </w:t>
      </w:r>
      <w:r>
        <w:rPr>
          <w:rFonts w:hint="eastAsia" w:ascii="宋体" w:hAnsi="宋体" w:eastAsia="宋体" w:cs="宋体"/>
          <w:color w:val="auto"/>
          <w:sz w:val="28"/>
          <w:szCs w:val="28"/>
        </w:rPr>
        <w:t xml:space="preserve">以 </w:t>
      </w:r>
      <w:r>
        <w:rPr>
          <w:rFonts w:hint="eastAsia" w:ascii="宋体" w:hAnsi="宋体" w:eastAsia="宋体" w:cs="宋体"/>
          <w:color w:val="auto"/>
          <w:sz w:val="28"/>
          <w:szCs w:val="28"/>
          <w:u w:val="single"/>
        </w:rPr>
        <w:t xml:space="preserve">  （政府采购方式）  </w:t>
      </w:r>
      <w:r>
        <w:rPr>
          <w:rFonts w:hint="eastAsia" w:ascii="宋体" w:hAnsi="宋体" w:eastAsia="宋体" w:cs="宋体"/>
          <w:color w:val="auto"/>
          <w:sz w:val="28"/>
          <w:szCs w:val="28"/>
        </w:rPr>
        <w:t xml:space="preserve">对 </w:t>
      </w:r>
      <w:r>
        <w:rPr>
          <w:rFonts w:hint="eastAsia" w:ascii="宋体" w:hAnsi="宋体" w:eastAsia="宋体" w:cs="宋体"/>
          <w:color w:val="auto"/>
          <w:sz w:val="28"/>
          <w:szCs w:val="28"/>
          <w:u w:val="single"/>
        </w:rPr>
        <w:t xml:space="preserve">  （同前页项目名称）</w:t>
      </w:r>
      <w:r>
        <w:rPr>
          <w:rFonts w:hint="eastAsia" w:ascii="宋体" w:hAnsi="宋体" w:eastAsia="宋体" w:cs="宋体"/>
          <w:color w:val="auto"/>
          <w:sz w:val="28"/>
          <w:szCs w:val="28"/>
        </w:rPr>
        <w:t xml:space="preserve">   项目（项目编号：</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）进行了采购，</w:t>
      </w:r>
      <w:r>
        <w:rPr>
          <w:rFonts w:hint="eastAsia" w:ascii="宋体" w:hAnsi="宋体" w:eastAsia="宋体" w:cs="宋体"/>
          <w:color w:val="auto"/>
          <w:sz w:val="28"/>
          <w:szCs w:val="28"/>
          <w:u w:val="single"/>
        </w:rPr>
        <w:t xml:space="preserve">   （中标供应商名称）</w:t>
      </w:r>
      <w:r>
        <w:rPr>
          <w:rFonts w:hint="eastAsia" w:ascii="宋体" w:hAnsi="宋体" w:eastAsia="宋体" w:cs="宋体"/>
          <w:color w:val="auto"/>
          <w:sz w:val="28"/>
          <w:szCs w:val="28"/>
        </w:rPr>
        <w:t>为该项目中标供应商。</w:t>
      </w:r>
    </w:p>
    <w:p w14:paraId="48042A8B">
      <w:pPr>
        <w:pageBreakBefore w:val="0"/>
        <w:widowControl w:val="0"/>
        <w:kinsoku/>
        <w:wordWrap/>
        <w:overflowPunct/>
        <w:topLinePunct w:val="0"/>
        <w:bidi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u w:val="single"/>
        </w:rPr>
        <w:t xml:space="preserve">（采购人名称）  </w:t>
      </w:r>
      <w:r>
        <w:rPr>
          <w:rFonts w:hint="eastAsia" w:ascii="宋体" w:hAnsi="宋体" w:eastAsia="宋体" w:cs="宋体"/>
          <w:color w:val="auto"/>
          <w:sz w:val="28"/>
          <w:szCs w:val="28"/>
          <w:lang w:val="zh-CN"/>
        </w:rPr>
        <w:t>(以下简称：甲方)</w:t>
      </w:r>
      <w:r>
        <w:rPr>
          <w:rFonts w:hint="eastAsia" w:ascii="宋体" w:hAnsi="宋体" w:eastAsia="宋体" w:cs="宋体"/>
          <w:color w:val="auto"/>
          <w:sz w:val="28"/>
          <w:szCs w:val="28"/>
        </w:rPr>
        <w:t xml:space="preserve">和 </w:t>
      </w:r>
      <w:r>
        <w:rPr>
          <w:rFonts w:hint="eastAsia" w:ascii="宋体" w:hAnsi="宋体" w:eastAsia="宋体" w:cs="宋体"/>
          <w:color w:val="auto"/>
          <w:sz w:val="28"/>
          <w:szCs w:val="28"/>
          <w:u w:val="single"/>
        </w:rPr>
        <w:t xml:space="preserve"> （中标供应商名称）   </w:t>
      </w:r>
      <w:r>
        <w:rPr>
          <w:rFonts w:hint="eastAsia" w:ascii="宋体" w:hAnsi="宋体" w:eastAsia="宋体" w:cs="宋体"/>
          <w:color w:val="auto"/>
          <w:sz w:val="28"/>
          <w:szCs w:val="28"/>
          <w:lang w:val="zh-CN"/>
        </w:rPr>
        <w:t>(以下简称：乙方)</w:t>
      </w:r>
      <w:r>
        <w:rPr>
          <w:rFonts w:hint="eastAsia" w:ascii="宋体" w:hAnsi="宋体" w:eastAsia="宋体" w:cs="宋体"/>
          <w:color w:val="auto"/>
          <w:sz w:val="28"/>
          <w:szCs w:val="28"/>
        </w:rPr>
        <w:t>根据《</w:t>
      </w:r>
      <w:r>
        <w:rPr>
          <w:rFonts w:hint="eastAsia" w:cs="宋体"/>
          <w:color w:val="auto"/>
          <w:sz w:val="28"/>
          <w:szCs w:val="28"/>
          <w:lang w:eastAsia="zh-CN"/>
        </w:rPr>
        <w:t>中华人民共和国民法典</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《中华人民共和国政府采购法》等相</w:t>
      </w:r>
      <w:r>
        <w:rPr>
          <w:rFonts w:hint="eastAsia" w:ascii="宋体" w:hAnsi="宋体" w:eastAsia="宋体" w:cs="宋体"/>
          <w:color w:val="auto"/>
          <w:sz w:val="28"/>
          <w:szCs w:val="28"/>
        </w:rPr>
        <w:t>关法律法规，遵循平等、自愿、公平和诚实信用原则，同意按照下面的条款和条件订立本政府采购合同，共同信守。</w:t>
      </w:r>
    </w:p>
    <w:p w14:paraId="407E8A8D">
      <w:pPr>
        <w:pageBreakBefore w:val="0"/>
        <w:widowControl w:val="0"/>
        <w:kinsoku/>
        <w:wordWrap/>
        <w:overflowPunct/>
        <w:topLinePunct w:val="0"/>
        <w:bidi w:val="0"/>
        <w:spacing w:beforeAutospacing="0" w:line="360" w:lineRule="auto"/>
        <w:ind w:firstLine="562" w:firstLineChars="200"/>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一、政府采购合同文件</w:t>
      </w:r>
    </w:p>
    <w:p w14:paraId="5CF43F31">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本政府采购合同所附下列文件是构成本政府采购合同不可分割的部分：</w:t>
      </w:r>
    </w:p>
    <w:p w14:paraId="0D02AF24">
      <w:pPr>
        <w:pageBreakBefore w:val="0"/>
        <w:widowControl w:val="0"/>
        <w:kinsoku/>
        <w:wordWrap/>
        <w:overflowPunct/>
        <w:topLinePunct w:val="0"/>
        <w:bidi w:val="0"/>
        <w:spacing w:before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1.招标文件（含澄清或者修改文件）；</w:t>
      </w:r>
    </w:p>
    <w:p w14:paraId="6A9420BE">
      <w:pPr>
        <w:pageBreakBefore w:val="0"/>
        <w:widowControl w:val="0"/>
        <w:kinsoku/>
        <w:wordWrap/>
        <w:overflowPunct/>
        <w:topLinePunct w:val="0"/>
        <w:bidi w:val="0"/>
        <w:spacing w:before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2.招标文件的更正公告、变更公告；</w:t>
      </w:r>
    </w:p>
    <w:p w14:paraId="169D4BBF">
      <w:pPr>
        <w:pageBreakBefore w:val="0"/>
        <w:widowControl w:val="0"/>
        <w:kinsoku/>
        <w:wordWrap/>
        <w:overflowPunct/>
        <w:topLinePunct w:val="0"/>
        <w:bidi w:val="0"/>
        <w:spacing w:before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3.乙方提交的投标文件（含澄清或者说明文件）；</w:t>
      </w:r>
    </w:p>
    <w:p w14:paraId="78091660">
      <w:pPr>
        <w:pageBreakBefore w:val="0"/>
        <w:widowControl w:val="0"/>
        <w:kinsoku/>
        <w:wordWrap/>
        <w:overflowPunct/>
        <w:topLinePunct w:val="0"/>
        <w:bidi w:val="0"/>
        <w:spacing w:before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4.政府采购合同条款；</w:t>
      </w:r>
    </w:p>
    <w:p w14:paraId="6A15CBC6">
      <w:pPr>
        <w:pageBreakBefore w:val="0"/>
        <w:widowControl w:val="0"/>
        <w:kinsoku/>
        <w:wordWrap/>
        <w:overflowPunct/>
        <w:topLinePunct w:val="0"/>
        <w:bidi w:val="0"/>
        <w:spacing w:before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5.中标通知书；</w:t>
      </w:r>
    </w:p>
    <w:p w14:paraId="7C642F69">
      <w:pPr>
        <w:pageBreakBefore w:val="0"/>
        <w:widowControl w:val="0"/>
        <w:kinsoku/>
        <w:wordWrap/>
        <w:overflowPunct/>
        <w:topLinePunct w:val="0"/>
        <w:bidi w:val="0"/>
        <w:spacing w:before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6.政府采购合同的其它附件。</w:t>
      </w:r>
    </w:p>
    <w:p w14:paraId="0096F030">
      <w:pPr>
        <w:pageBreakBefore w:val="0"/>
        <w:widowControl w:val="0"/>
        <w:kinsoku/>
        <w:wordWrap/>
        <w:overflowPunct/>
        <w:topLinePunct w:val="0"/>
        <w:bidi w:val="0"/>
        <w:spacing w:beforeAutospacing="0" w:line="360" w:lineRule="auto"/>
        <w:ind w:firstLine="562" w:firstLineChars="200"/>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二、政府采购合同范围和条件</w:t>
      </w:r>
    </w:p>
    <w:p w14:paraId="167299F3">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本政府采购合同的范围和条件与上述政府采购合同文件的规定相一致。</w:t>
      </w:r>
    </w:p>
    <w:p w14:paraId="6ADD878A">
      <w:pPr>
        <w:pageBreakBefore w:val="0"/>
        <w:widowControl w:val="0"/>
        <w:kinsoku/>
        <w:wordWrap/>
        <w:overflowPunct/>
        <w:topLinePunct w:val="0"/>
        <w:bidi w:val="0"/>
        <w:spacing w:beforeAutospacing="0" w:line="360" w:lineRule="auto"/>
        <w:ind w:firstLine="562" w:firstLineChars="200"/>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三、政府采购合同标的</w:t>
      </w:r>
    </w:p>
    <w:p w14:paraId="2BCA2CDB">
      <w:pPr>
        <w:pageBreakBefore w:val="0"/>
        <w:widowControl w:val="0"/>
        <w:kinsoku/>
        <w:wordWrap/>
        <w:overflowPunct/>
        <w:topLinePunct w:val="0"/>
        <w:bidi w:val="0"/>
        <w:spacing w:beforeAutospacing="0" w:line="360" w:lineRule="auto"/>
        <w:ind w:firstLine="560"/>
        <w:jc w:val="left"/>
        <w:textAlignment w:val="auto"/>
        <w:rPr>
          <w:rFonts w:hint="eastAsia" w:ascii="宋体" w:hAnsi="宋体" w:eastAsia="宋体" w:cs="宋体"/>
          <w:color w:val="auto"/>
        </w:rPr>
      </w:pPr>
      <w:r>
        <w:rPr>
          <w:rFonts w:hint="eastAsia" w:ascii="宋体" w:hAnsi="宋体" w:eastAsia="宋体" w:cs="宋体"/>
          <w:color w:val="auto"/>
          <w:sz w:val="28"/>
          <w:szCs w:val="28"/>
        </w:rPr>
        <w:t>本政府采购合同的标的为政府采购合同服务清单(同投标文件中的开标一览表/分项报价明细表)中所列服务。</w:t>
      </w:r>
    </w:p>
    <w:tbl>
      <w:tblPr>
        <w:tblStyle w:val="9"/>
        <w:tblW w:w="0" w:type="auto"/>
        <w:jc w:val="center"/>
        <w:tblLayout w:type="fixed"/>
        <w:tblCellMar>
          <w:top w:w="0" w:type="dxa"/>
          <w:left w:w="108" w:type="dxa"/>
          <w:bottom w:w="0" w:type="dxa"/>
          <w:right w:w="108" w:type="dxa"/>
        </w:tblCellMar>
      </w:tblPr>
      <w:tblGrid>
        <w:gridCol w:w="752"/>
        <w:gridCol w:w="1527"/>
        <w:gridCol w:w="1545"/>
        <w:gridCol w:w="1417"/>
        <w:gridCol w:w="1197"/>
        <w:gridCol w:w="1671"/>
        <w:gridCol w:w="1268"/>
      </w:tblGrid>
      <w:tr w14:paraId="175B8DB1">
        <w:tblPrEx>
          <w:tblCellMar>
            <w:top w:w="0" w:type="dxa"/>
            <w:left w:w="108" w:type="dxa"/>
            <w:bottom w:w="0" w:type="dxa"/>
            <w:right w:w="108" w:type="dxa"/>
          </w:tblCellMar>
        </w:tblPrEx>
        <w:trPr>
          <w:trHeight w:val="539" w:hRule="atLeast"/>
          <w:jc w:val="center"/>
        </w:trPr>
        <w:tc>
          <w:tcPr>
            <w:tcW w:w="752" w:type="dxa"/>
            <w:tcBorders>
              <w:top w:val="single" w:color="auto" w:sz="4" w:space="0"/>
              <w:left w:val="single" w:color="auto" w:sz="4" w:space="0"/>
              <w:bottom w:val="single" w:color="auto" w:sz="4" w:space="0"/>
              <w:right w:val="single" w:color="auto" w:sz="4" w:space="0"/>
            </w:tcBorders>
            <w:noWrap w:val="0"/>
            <w:vAlign w:val="center"/>
          </w:tcPr>
          <w:p w14:paraId="58125624">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bCs/>
                <w:color w:val="auto"/>
                <w:sz w:val="24"/>
              </w:rPr>
            </w:pPr>
            <w:r>
              <w:rPr>
                <w:rFonts w:hint="eastAsia" w:ascii="宋体" w:hAnsi="宋体" w:eastAsia="宋体" w:cs="宋体"/>
                <w:b/>
                <w:bCs/>
                <w:color w:val="auto"/>
                <w:sz w:val="24"/>
              </w:rPr>
              <w:t>序号</w:t>
            </w:r>
          </w:p>
        </w:tc>
        <w:tc>
          <w:tcPr>
            <w:tcW w:w="1527" w:type="dxa"/>
            <w:tcBorders>
              <w:top w:val="single" w:color="auto" w:sz="4" w:space="0"/>
              <w:left w:val="single" w:color="auto" w:sz="4" w:space="0"/>
              <w:bottom w:val="single" w:color="auto" w:sz="4" w:space="0"/>
              <w:right w:val="single" w:color="auto" w:sz="4" w:space="0"/>
            </w:tcBorders>
            <w:noWrap w:val="0"/>
            <w:vAlign w:val="center"/>
          </w:tcPr>
          <w:p w14:paraId="257C0077">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bCs/>
                <w:color w:val="auto"/>
                <w:sz w:val="24"/>
              </w:rPr>
            </w:pPr>
            <w:r>
              <w:rPr>
                <w:rFonts w:hint="eastAsia" w:ascii="宋体" w:hAnsi="宋体" w:eastAsia="宋体" w:cs="宋体"/>
                <w:b/>
                <w:bCs/>
                <w:color w:val="auto"/>
                <w:sz w:val="24"/>
              </w:rPr>
              <w:t>服务名称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5EB3939">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bCs/>
                <w:color w:val="auto"/>
                <w:sz w:val="24"/>
              </w:rPr>
            </w:pPr>
            <w:r>
              <w:rPr>
                <w:rFonts w:hint="eastAsia" w:ascii="宋体" w:hAnsi="宋体" w:eastAsia="宋体" w:cs="宋体"/>
                <w:b/>
                <w:bCs/>
                <w:color w:val="auto"/>
                <w:sz w:val="24"/>
              </w:rPr>
              <w:t>服务要求</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4BF6552E">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bCs/>
                <w:color w:val="auto"/>
                <w:sz w:val="24"/>
              </w:rPr>
            </w:pPr>
            <w:r>
              <w:rPr>
                <w:rFonts w:hint="eastAsia" w:ascii="宋体" w:hAnsi="宋体" w:eastAsia="宋体" w:cs="宋体"/>
                <w:b/>
                <w:bCs/>
                <w:color w:val="auto"/>
                <w:sz w:val="24"/>
              </w:rPr>
              <w:t>数量/单位</w:t>
            </w:r>
          </w:p>
        </w:tc>
        <w:tc>
          <w:tcPr>
            <w:tcW w:w="1197" w:type="dxa"/>
            <w:tcBorders>
              <w:top w:val="single" w:color="auto" w:sz="4" w:space="0"/>
              <w:left w:val="single" w:color="auto" w:sz="4" w:space="0"/>
              <w:bottom w:val="single" w:color="auto" w:sz="4" w:space="0"/>
              <w:right w:val="single" w:color="auto" w:sz="4" w:space="0"/>
            </w:tcBorders>
            <w:noWrap w:val="0"/>
            <w:vAlign w:val="center"/>
          </w:tcPr>
          <w:p w14:paraId="46CDAD38">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bCs/>
                <w:color w:val="auto"/>
                <w:sz w:val="24"/>
              </w:rPr>
            </w:pPr>
            <w:r>
              <w:rPr>
                <w:rFonts w:hint="eastAsia" w:ascii="宋体" w:hAnsi="宋体" w:eastAsia="宋体" w:cs="宋体"/>
                <w:b/>
                <w:bCs/>
                <w:color w:val="auto"/>
                <w:sz w:val="24"/>
              </w:rPr>
              <w:t>单价（元）</w:t>
            </w:r>
          </w:p>
        </w:tc>
        <w:tc>
          <w:tcPr>
            <w:tcW w:w="1671" w:type="dxa"/>
            <w:tcBorders>
              <w:top w:val="single" w:color="auto" w:sz="4" w:space="0"/>
              <w:left w:val="single" w:color="auto" w:sz="4" w:space="0"/>
              <w:bottom w:val="single" w:color="auto" w:sz="4" w:space="0"/>
              <w:right w:val="single" w:color="auto" w:sz="4" w:space="0"/>
            </w:tcBorders>
            <w:noWrap w:val="0"/>
            <w:vAlign w:val="center"/>
          </w:tcPr>
          <w:p w14:paraId="31408659">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bCs/>
                <w:color w:val="auto"/>
                <w:sz w:val="24"/>
              </w:rPr>
            </w:pPr>
            <w:r>
              <w:rPr>
                <w:rFonts w:hint="eastAsia" w:ascii="宋体" w:hAnsi="宋体" w:eastAsia="宋体" w:cs="宋体"/>
                <w:b/>
                <w:bCs/>
                <w:color w:val="auto"/>
                <w:sz w:val="24"/>
              </w:rPr>
              <w:t>单项总价(元)</w:t>
            </w:r>
          </w:p>
        </w:tc>
        <w:tc>
          <w:tcPr>
            <w:tcW w:w="1268" w:type="dxa"/>
            <w:tcBorders>
              <w:top w:val="single" w:color="auto" w:sz="4" w:space="0"/>
              <w:left w:val="single" w:color="auto" w:sz="4" w:space="0"/>
              <w:bottom w:val="single" w:color="auto" w:sz="4" w:space="0"/>
              <w:right w:val="single" w:color="auto" w:sz="4" w:space="0"/>
            </w:tcBorders>
            <w:noWrap w:val="0"/>
            <w:vAlign w:val="center"/>
          </w:tcPr>
          <w:p w14:paraId="05222C77">
            <w:pPr>
              <w:pageBreakBefore w:val="0"/>
              <w:widowControl w:val="0"/>
              <w:kinsoku/>
              <w:wordWrap/>
              <w:overflowPunct/>
              <w:topLinePunct w:val="0"/>
              <w:bidi w:val="0"/>
              <w:spacing w:beforeAutospacing="0" w:line="360" w:lineRule="auto"/>
              <w:ind w:left="0" w:leftChars="0" w:firstLine="0" w:firstLineChars="0"/>
              <w:jc w:val="center"/>
              <w:textAlignment w:val="auto"/>
              <w:rPr>
                <w:rFonts w:hint="eastAsia" w:ascii="宋体" w:hAnsi="宋体" w:eastAsia="宋体" w:cs="宋体"/>
                <w:b/>
                <w:bCs/>
                <w:color w:val="auto"/>
                <w:sz w:val="24"/>
              </w:rPr>
            </w:pPr>
            <w:r>
              <w:rPr>
                <w:rFonts w:hint="eastAsia" w:ascii="宋体" w:hAnsi="宋体" w:eastAsia="宋体" w:cs="宋体"/>
                <w:b/>
                <w:bCs/>
                <w:color w:val="auto"/>
                <w:sz w:val="24"/>
              </w:rPr>
              <w:t>备注</w:t>
            </w:r>
          </w:p>
        </w:tc>
      </w:tr>
      <w:tr w14:paraId="226621FE">
        <w:tblPrEx>
          <w:tblCellMar>
            <w:top w:w="0" w:type="dxa"/>
            <w:left w:w="108" w:type="dxa"/>
            <w:bottom w:w="0" w:type="dxa"/>
            <w:right w:w="108" w:type="dxa"/>
          </w:tblCellMar>
        </w:tblPrEx>
        <w:trPr>
          <w:trHeight w:val="628"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7ED411">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52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0409A9">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404152">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A059F1">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19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26988C">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6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5341DB">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97A883">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r>
      <w:tr w14:paraId="2E76FF39">
        <w:tblPrEx>
          <w:tblCellMar>
            <w:top w:w="0" w:type="dxa"/>
            <w:left w:w="108" w:type="dxa"/>
            <w:bottom w:w="0" w:type="dxa"/>
            <w:right w:w="108" w:type="dxa"/>
          </w:tblCellMar>
        </w:tblPrEx>
        <w:trPr>
          <w:trHeight w:val="628"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3CEB1F">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52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93BCDD">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178FB6">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E7DBE9">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19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2F0DDC">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6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1C4F10">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c>
          <w:tcPr>
            <w:tcW w:w="1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E40781">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p>
        </w:tc>
      </w:tr>
      <w:tr w14:paraId="32BD5207">
        <w:tblPrEx>
          <w:tblCellMar>
            <w:top w:w="0" w:type="dxa"/>
            <w:left w:w="108" w:type="dxa"/>
            <w:bottom w:w="0" w:type="dxa"/>
            <w:right w:w="108" w:type="dxa"/>
          </w:tblCellMar>
        </w:tblPrEx>
        <w:trPr>
          <w:trHeight w:val="628"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501E84A">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52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F845DB">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4FEF1D">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672F01">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19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019E47">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6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95C639">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FB155E">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r>
      <w:tr w14:paraId="0D32E860">
        <w:tblPrEx>
          <w:tblCellMar>
            <w:top w:w="0" w:type="dxa"/>
            <w:left w:w="108" w:type="dxa"/>
            <w:bottom w:w="0" w:type="dxa"/>
            <w:right w:w="108" w:type="dxa"/>
          </w:tblCellMar>
        </w:tblPrEx>
        <w:trPr>
          <w:trHeight w:val="628"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88EFFDB">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52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F7B963">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60E197">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CDC023">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19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5CF472">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6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CD3F71">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6B7F44">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r>
      <w:tr w14:paraId="5EE1A7DB">
        <w:tblPrEx>
          <w:tblCellMar>
            <w:top w:w="0" w:type="dxa"/>
            <w:left w:w="108" w:type="dxa"/>
            <w:bottom w:w="0" w:type="dxa"/>
            <w:right w:w="108" w:type="dxa"/>
          </w:tblCellMar>
        </w:tblPrEx>
        <w:trPr>
          <w:trHeight w:val="639" w:hRule="atLeast"/>
          <w:jc w:val="center"/>
        </w:trPr>
        <w:tc>
          <w:tcPr>
            <w:tcW w:w="6438"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653BAE6E">
            <w:pPr>
              <w:pageBreakBefore w:val="0"/>
              <w:widowControl w:val="0"/>
              <w:kinsoku/>
              <w:wordWrap/>
              <w:overflowPunct/>
              <w:topLinePunct w:val="0"/>
              <w:bidi w:val="0"/>
              <w:spacing w:beforeAutospacing="0"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总       价</w:t>
            </w:r>
          </w:p>
        </w:tc>
        <w:tc>
          <w:tcPr>
            <w:tcW w:w="16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A9797C">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c>
          <w:tcPr>
            <w:tcW w:w="1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4329AB">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color w:val="auto"/>
                <w:sz w:val="28"/>
                <w:szCs w:val="28"/>
              </w:rPr>
            </w:pPr>
          </w:p>
        </w:tc>
      </w:tr>
    </w:tbl>
    <w:p w14:paraId="2AD6803D">
      <w:pPr>
        <w:pageBreakBefore w:val="0"/>
        <w:widowControl w:val="0"/>
        <w:kinsoku/>
        <w:wordWrap/>
        <w:overflowPunct/>
        <w:topLinePunct w:val="0"/>
        <w:bidi w:val="0"/>
        <w:spacing w:beforeAutospacing="0" w:line="360" w:lineRule="auto"/>
        <w:ind w:firstLine="562" w:firstLineChars="200"/>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四、政府采购合同金额</w:t>
      </w:r>
    </w:p>
    <w:p w14:paraId="3145879A">
      <w:pPr>
        <w:pageBreakBefore w:val="0"/>
        <w:widowControl w:val="0"/>
        <w:kinsoku/>
        <w:wordWrap/>
        <w:overflowPunct/>
        <w:topLinePunct w:val="0"/>
        <w:bidi w:val="0"/>
        <w:spacing w:beforeAutospacing="0" w:line="360" w:lineRule="auto"/>
        <w:jc w:val="left"/>
        <w:textAlignment w:val="auto"/>
        <w:rPr>
          <w:rFonts w:hint="eastAsia" w:ascii="宋体" w:hAnsi="宋体" w:eastAsia="宋体" w:cs="宋体"/>
          <w:b/>
          <w:color w:val="auto"/>
          <w:sz w:val="28"/>
          <w:szCs w:val="28"/>
        </w:rPr>
      </w:pPr>
      <w:r>
        <w:rPr>
          <w:rFonts w:hint="eastAsia" w:ascii="宋体" w:hAnsi="宋体" w:eastAsia="宋体" w:cs="宋体"/>
          <w:color w:val="auto"/>
          <w:sz w:val="28"/>
          <w:szCs w:val="28"/>
        </w:rPr>
        <w:t>根据上述政府采购合同文件要求，政府采购合同的总金额为人民币</w:t>
      </w:r>
      <w:r>
        <w:rPr>
          <w:rFonts w:hint="eastAsia" w:ascii="宋体" w:hAnsi="宋体" w:eastAsia="宋体" w:cs="宋体"/>
          <w:color w:val="auto"/>
          <w:sz w:val="28"/>
          <w:szCs w:val="28"/>
          <w:u w:val="single"/>
        </w:rPr>
        <w:t xml:space="preserve">(大写) </w:t>
      </w:r>
      <w:r>
        <w:rPr>
          <w:rFonts w:hint="eastAsia" w:ascii="宋体" w:hAnsi="宋体" w:eastAsia="宋体" w:cs="宋体"/>
          <w:color w:val="auto"/>
          <w:sz w:val="28"/>
          <w:szCs w:val="28"/>
        </w:rPr>
        <w:t>，小写：</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元。 （此合同价指完成项目的全部款项）</w:t>
      </w:r>
    </w:p>
    <w:p w14:paraId="7CCB4C65">
      <w:pPr>
        <w:pageBreakBefore w:val="0"/>
        <w:widowControl w:val="0"/>
        <w:kinsoku/>
        <w:wordWrap/>
        <w:overflowPunct/>
        <w:topLinePunct w:val="0"/>
        <w:bidi w:val="0"/>
        <w:spacing w:beforeAutospacing="0" w:line="360" w:lineRule="auto"/>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五、付款方式</w:t>
      </w:r>
    </w:p>
    <w:p w14:paraId="65392F5F">
      <w:pPr>
        <w:pageBreakBefore w:val="0"/>
        <w:widowControl w:val="0"/>
        <w:kinsoku/>
        <w:wordWrap/>
        <w:overflowPunct/>
        <w:topLinePunct w:val="0"/>
        <w:bidi w:val="0"/>
        <w:spacing w:before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付款方式：甲方凭乙方提供的正规合法的食宿服务发票和实际驻勤人员的人数明细表，经甲方审核确认无误后，10个工作日内向乙方支付当月的服务费。（</w:t>
      </w:r>
      <w:r>
        <w:rPr>
          <w:rFonts w:hint="eastAsia" w:ascii="宋体" w:hAnsi="宋体" w:eastAsia="宋体" w:cs="宋体"/>
          <w:b/>
          <w:bCs/>
          <w:color w:val="auto"/>
          <w:sz w:val="28"/>
          <w:szCs w:val="28"/>
        </w:rPr>
        <w:t>注：按照本合同确定的单价（元/人.天），以实际保障服务时间和驻勤警力人数计算驻勤食宿费用。实际驻勤人数以甲方考勤系统记录为准，乙方如对考勤数据有异议，应在收到考勤数据后3个工作日内以书面形式提出申诉，逾期视为认可甲方考勤数据。</w:t>
      </w:r>
      <w:r>
        <w:rPr>
          <w:rFonts w:hint="eastAsia" w:ascii="宋体" w:hAnsi="宋体" w:eastAsia="宋体" w:cs="宋体"/>
          <w:color w:val="auto"/>
          <w:sz w:val="28"/>
          <w:szCs w:val="28"/>
        </w:rPr>
        <w:t>）</w:t>
      </w:r>
    </w:p>
    <w:p w14:paraId="38305E35">
      <w:pPr>
        <w:pageBreakBefore w:val="0"/>
        <w:widowControl w:val="0"/>
        <w:kinsoku/>
        <w:wordWrap/>
        <w:overflowPunct/>
        <w:topLinePunct w:val="0"/>
        <w:bidi w:val="0"/>
        <w:spacing w:beforeAutospacing="0" w:line="360" w:lineRule="auto"/>
        <w:ind w:firstLine="562" w:firstLineChars="200"/>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六、服务期、服务地点</w:t>
      </w:r>
    </w:p>
    <w:p w14:paraId="416489CD">
      <w:pPr>
        <w:pageBreakBefore w:val="0"/>
        <w:widowControl w:val="0"/>
        <w:kinsoku/>
        <w:wordWrap/>
        <w:overflowPunct/>
        <w:topLinePunct w:val="0"/>
        <w:bidi w:val="0"/>
        <w:spacing w:beforeAutospacing="0" w:line="360" w:lineRule="auto"/>
        <w:ind w:firstLine="560" w:firstLineChars="200"/>
        <w:textAlignment w:val="auto"/>
        <w:rPr>
          <w:rFonts w:hint="default" w:ascii="宋体" w:hAnsi="宋体" w:eastAsia="宋体" w:cs="宋体"/>
          <w:color w:val="auto"/>
          <w:sz w:val="28"/>
          <w:szCs w:val="28"/>
          <w:shd w:val="clear" w:color="auto" w:fill="FFFFFF"/>
          <w:lang w:val="en-US" w:eastAsia="zh-CN"/>
        </w:rPr>
      </w:pPr>
      <w:r>
        <w:rPr>
          <w:rFonts w:hint="eastAsia" w:ascii="宋体" w:hAnsi="宋体" w:eastAsia="宋体" w:cs="宋体"/>
          <w:color w:val="auto"/>
          <w:sz w:val="28"/>
          <w:szCs w:val="28"/>
          <w:shd w:val="clear" w:color="auto" w:fill="FFFFFF"/>
        </w:rPr>
        <w:t>服务期：</w:t>
      </w:r>
      <w:r>
        <w:rPr>
          <w:rFonts w:hint="eastAsia" w:ascii="宋体" w:hAnsi="宋体" w:eastAsia="宋体" w:cs="宋体"/>
          <w:color w:val="auto"/>
          <w:sz w:val="28"/>
          <w:szCs w:val="28"/>
          <w:shd w:val="clear" w:color="auto" w:fill="FFFFFF"/>
          <w:lang w:val="en-US" w:eastAsia="zh-CN"/>
        </w:rPr>
        <w:t>184天</w:t>
      </w:r>
      <w:r>
        <w:rPr>
          <w:rFonts w:hint="eastAsia" w:cs="宋体"/>
          <w:color w:val="auto"/>
          <w:sz w:val="28"/>
          <w:szCs w:val="28"/>
          <w:shd w:val="clear" w:color="auto" w:fill="FFFFFF"/>
          <w:lang w:val="en-US" w:eastAsia="zh-CN"/>
        </w:rPr>
        <w:t>（</w:t>
      </w:r>
      <w:r>
        <w:rPr>
          <w:rFonts w:hint="eastAsia"/>
          <w:color w:val="auto"/>
          <w:shd w:val="clear" w:color="auto" w:fill="FFFFFF"/>
        </w:rPr>
        <w:t>自 年 月 日至 年 月 日</w:t>
      </w:r>
      <w:r>
        <w:rPr>
          <w:rFonts w:hint="eastAsia" w:cs="宋体"/>
          <w:color w:val="auto"/>
          <w:sz w:val="28"/>
          <w:szCs w:val="28"/>
          <w:shd w:val="clear" w:color="auto" w:fill="FFFFFF"/>
          <w:lang w:val="en-US" w:eastAsia="zh-CN"/>
        </w:rPr>
        <w:t>）</w:t>
      </w:r>
    </w:p>
    <w:p w14:paraId="000827AA">
      <w:pPr>
        <w:pageBreakBefore w:val="0"/>
        <w:widowControl w:val="0"/>
        <w:tabs>
          <w:tab w:val="left" w:pos="1980"/>
        </w:tabs>
        <w:kinsoku/>
        <w:wordWrap/>
        <w:overflowPunct/>
        <w:topLinePunct w:val="0"/>
        <w:bidi w:val="0"/>
        <w:snapToGrid w:val="0"/>
        <w:spacing w:beforeAutospacing="0" w:line="360" w:lineRule="auto"/>
        <w:ind w:firstLine="548" w:firstLineChars="196"/>
        <w:textAlignment w:val="auto"/>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服务地点：广东省湛江市徐闻港、海安新港码头20公里半径范围内</w:t>
      </w:r>
    </w:p>
    <w:p w14:paraId="572C2240">
      <w:pPr>
        <w:pageBreakBefore w:val="0"/>
        <w:widowControl w:val="0"/>
        <w:tabs>
          <w:tab w:val="left" w:pos="1980"/>
        </w:tabs>
        <w:kinsoku/>
        <w:wordWrap/>
        <w:overflowPunct/>
        <w:topLinePunct w:val="0"/>
        <w:bidi w:val="0"/>
        <w:snapToGrid w:val="0"/>
        <w:spacing w:beforeAutospacing="0" w:line="360" w:lineRule="auto"/>
        <w:ind w:firstLine="562" w:firstLineChars="200"/>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七、合同纠纷处理</w:t>
      </w:r>
    </w:p>
    <w:p w14:paraId="3E0B3CDD">
      <w:pPr>
        <w:pageBreakBefore w:val="0"/>
        <w:widowControl w:val="0"/>
        <w:tabs>
          <w:tab w:val="left" w:pos="1980"/>
        </w:tabs>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本合同执行过程中发生纠纷，双方应协商处理，协商不成，选择如下第【】种方式处理：</w:t>
      </w:r>
    </w:p>
    <w:p w14:paraId="2C63B05E">
      <w:pPr>
        <w:pageBreakBefore w:val="0"/>
        <w:widowControl w:val="0"/>
        <w:tabs>
          <w:tab w:val="left" w:pos="1980"/>
        </w:tabs>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1.申请仲裁。仲裁机构为海南国际仲裁院。</w:t>
      </w:r>
    </w:p>
    <w:p w14:paraId="27375846">
      <w:pPr>
        <w:pageBreakBefore w:val="0"/>
        <w:widowControl w:val="0"/>
        <w:tabs>
          <w:tab w:val="left" w:pos="1980"/>
        </w:tabs>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2.提起诉讼。诉讼地点为甲方所在地人民法院。</w:t>
      </w:r>
    </w:p>
    <w:p w14:paraId="501B0B75">
      <w:pPr>
        <w:pageBreakBefore w:val="0"/>
        <w:widowControl w:val="0"/>
        <w:tabs>
          <w:tab w:val="left" w:pos="1980"/>
        </w:tabs>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诉讼/仲裁期间，乙方应继续履行合同义务，不得以存在争议为由中止或拒绝服务。</w:t>
      </w:r>
    </w:p>
    <w:p w14:paraId="172F7C02">
      <w:pPr>
        <w:pageBreakBefore w:val="0"/>
        <w:widowControl w:val="0"/>
        <w:kinsoku/>
        <w:wordWrap/>
        <w:overflowPunct/>
        <w:topLinePunct w:val="0"/>
        <w:bidi w:val="0"/>
        <w:spacing w:beforeAutospacing="0" w:line="360" w:lineRule="auto"/>
        <w:ind w:firstLine="562" w:firstLineChars="200"/>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八、政府采购合同生效</w:t>
      </w:r>
    </w:p>
    <w:p w14:paraId="093F9893">
      <w:pPr>
        <w:pageBreakBefore w:val="0"/>
        <w:widowControl w:val="0"/>
        <w:kinsoku/>
        <w:wordWrap/>
        <w:overflowPunct/>
        <w:topLinePunct w:val="0"/>
        <w:bidi w:val="0"/>
        <w:spacing w:beforeAutospacing="0" w:line="360" w:lineRule="auto"/>
        <w:ind w:firstLine="560" w:firstLineChars="200"/>
        <w:jc w:val="left"/>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本政府采购合同经甲乙双方</w:t>
      </w:r>
      <w:r>
        <w:rPr>
          <w:rFonts w:hint="eastAsia" w:cs="宋体"/>
          <w:color w:val="auto"/>
          <w:sz w:val="28"/>
          <w:szCs w:val="28"/>
          <w:lang w:val="en-US" w:eastAsia="zh-CN"/>
        </w:rPr>
        <w:t>法定代表人或</w:t>
      </w:r>
      <w:r>
        <w:rPr>
          <w:rFonts w:hint="eastAsia"/>
          <w:color w:val="auto"/>
        </w:rPr>
        <w:t>有书面授权的代表</w:t>
      </w:r>
      <w:r>
        <w:rPr>
          <w:rFonts w:hint="eastAsia" w:ascii="宋体" w:hAnsi="宋体" w:eastAsia="宋体" w:cs="宋体"/>
          <w:color w:val="auto"/>
          <w:sz w:val="28"/>
          <w:szCs w:val="28"/>
        </w:rPr>
        <w:t>签字盖章后生效。</w:t>
      </w:r>
    </w:p>
    <w:p w14:paraId="3EE05C13">
      <w:pPr>
        <w:pageBreakBefore w:val="0"/>
        <w:widowControl w:val="0"/>
        <w:kinsoku/>
        <w:wordWrap/>
        <w:overflowPunct/>
        <w:topLinePunct w:val="0"/>
        <w:bidi w:val="0"/>
        <w:spacing w:beforeAutospacing="0" w:line="360" w:lineRule="auto"/>
        <w:ind w:firstLine="560" w:firstLineChars="200"/>
        <w:jc w:val="left"/>
        <w:textAlignment w:val="auto"/>
        <w:outlineLvl w:val="9"/>
        <w:rPr>
          <w:rFonts w:hint="eastAsia" w:ascii="宋体" w:hAnsi="宋体" w:eastAsia="宋体" w:cs="宋体"/>
          <w:color w:val="auto"/>
          <w:sz w:val="28"/>
          <w:szCs w:val="28"/>
        </w:rPr>
      </w:pPr>
      <w:r>
        <w:rPr>
          <w:rFonts w:hint="eastAsia"/>
          <w:color w:val="auto"/>
        </w:rPr>
        <w:t>政府采购合同继续履行将损害国家利益和社会公共利益的，双方当事人应当变更、中止或者终止合同。有过错的一方应当承担赔偿责任，双方都有过错的，各自承担相应的责任。</w:t>
      </w:r>
    </w:p>
    <w:p w14:paraId="2F3B4F11">
      <w:pPr>
        <w:pageBreakBefore w:val="0"/>
        <w:widowControl w:val="0"/>
        <w:kinsoku/>
        <w:wordWrap/>
        <w:overflowPunct/>
        <w:topLinePunct w:val="0"/>
        <w:bidi w:val="0"/>
        <w:spacing w:beforeAutospacing="0" w:line="360" w:lineRule="auto"/>
        <w:ind w:firstLine="560" w:firstLineChars="200"/>
        <w:jc w:val="left"/>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本合同共三份：甲方一份、乙方一份、海南省政府采购中心一份。</w:t>
      </w:r>
    </w:p>
    <w:p w14:paraId="2699EDCD">
      <w:pPr>
        <w:pageBreakBefore w:val="0"/>
        <w:widowControl w:val="0"/>
        <w:kinsoku/>
        <w:wordWrap/>
        <w:overflowPunct/>
        <w:topLinePunct w:val="0"/>
        <w:bidi w:val="0"/>
        <w:spacing w:beforeAutospacing="0" w:line="360" w:lineRule="auto"/>
        <w:ind w:firstLine="562" w:firstLineChars="200"/>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rPr>
        <w:t>九、合同鉴证</w:t>
      </w:r>
    </w:p>
    <w:p w14:paraId="4BBE2436">
      <w:pPr>
        <w:pageBreakBefore w:val="0"/>
        <w:widowControl w:val="0"/>
        <w:kinsoku/>
        <w:wordWrap/>
        <w:overflowPunct/>
        <w:topLinePunct w:val="0"/>
        <w:bidi w:val="0"/>
        <w:spacing w:beforeAutospacing="0" w:line="360" w:lineRule="auto"/>
        <w:ind w:firstLine="560" w:firstLineChars="200"/>
        <w:jc w:val="left"/>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集中采购机构应当在本合同上签章，以证明本合同条款与招标文件、投标文件的相关要求相符并且未对采购服务进行实质性修改。</w:t>
      </w:r>
    </w:p>
    <w:p w14:paraId="028513A1">
      <w:pPr>
        <w:pageBreakBefore w:val="0"/>
        <w:widowControl w:val="0"/>
        <w:tabs>
          <w:tab w:val="left" w:pos="1980"/>
        </w:tabs>
        <w:kinsoku/>
        <w:wordWrap/>
        <w:overflowPunct/>
        <w:topLinePunct w:val="0"/>
        <w:bidi w:val="0"/>
        <w:snapToGrid w:val="0"/>
        <w:spacing w:beforeAutospacing="0" w:line="360" w:lineRule="auto"/>
        <w:ind w:firstLine="551" w:firstLineChars="196"/>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十、其他</w:t>
      </w:r>
    </w:p>
    <w:p w14:paraId="36C0DA6A">
      <w:pPr>
        <w:pageBreakBefore w:val="0"/>
        <w:widowControl w:val="0"/>
        <w:kinsoku/>
        <w:wordWrap/>
        <w:overflowPunct/>
        <w:topLinePunct w:val="0"/>
        <w:bidi w:val="0"/>
        <w:spacing w:beforeAutospacing="0" w:line="360" w:lineRule="auto"/>
        <w:ind w:firstLine="560" w:firstLineChars="200"/>
        <w:jc w:val="left"/>
        <w:textAlignment w:val="auto"/>
        <w:outlineLvl w:val="9"/>
        <w:rPr>
          <w:rFonts w:hint="default" w:cs="宋体"/>
          <w:color w:val="auto"/>
          <w:sz w:val="28"/>
          <w:szCs w:val="28"/>
          <w:lang w:val="en-US"/>
        </w:rPr>
      </w:pPr>
      <w:r>
        <w:rPr>
          <w:rFonts w:hint="default" w:cs="宋体"/>
          <w:color w:val="auto"/>
          <w:sz w:val="28"/>
          <w:szCs w:val="28"/>
          <w:lang w:val="en-US"/>
        </w:rPr>
        <w:t>1.在履行合同期限内，如政策决策等不可控因素导致服务期限提前终止的，甲方有权终止合同服务要求，乙方需表示理解并自行安排后续工作，</w:t>
      </w:r>
      <w:r>
        <w:rPr>
          <w:rFonts w:hint="default"/>
          <w:color w:val="auto"/>
        </w:rPr>
        <w:t>除按照合同约定结算费用外，</w:t>
      </w:r>
      <w:r>
        <w:rPr>
          <w:rFonts w:hint="default" w:cs="宋体"/>
          <w:color w:val="auto"/>
          <w:sz w:val="28"/>
          <w:szCs w:val="28"/>
          <w:lang w:val="en-US"/>
        </w:rPr>
        <w:t>不得要求甲方承担任何终止服务的违约责任。</w:t>
      </w:r>
    </w:p>
    <w:p w14:paraId="0A7231BD">
      <w:pPr>
        <w:pageBreakBefore w:val="0"/>
        <w:widowControl w:val="0"/>
        <w:kinsoku/>
        <w:wordWrap/>
        <w:overflowPunct/>
        <w:topLinePunct w:val="0"/>
        <w:bidi w:val="0"/>
        <w:spacing w:beforeAutospacing="0" w:line="360" w:lineRule="auto"/>
        <w:ind w:firstLine="560" w:firstLineChars="200"/>
        <w:jc w:val="left"/>
        <w:textAlignment w:val="auto"/>
        <w:outlineLvl w:val="9"/>
        <w:rPr>
          <w:rFonts w:hint="eastAsia" w:ascii="宋体" w:hAnsi="宋体" w:eastAsia="宋体" w:cs="宋体"/>
          <w:color w:val="auto"/>
          <w:sz w:val="28"/>
          <w:szCs w:val="28"/>
        </w:rPr>
      </w:pPr>
      <w:r>
        <w:rPr>
          <w:rFonts w:hint="default" w:cs="宋体"/>
          <w:color w:val="auto"/>
          <w:sz w:val="28"/>
          <w:szCs w:val="28"/>
          <w:lang w:val="en-US"/>
        </w:rPr>
        <w:t>2.</w:t>
      </w:r>
      <w:r>
        <w:rPr>
          <w:rFonts w:hint="eastAsia" w:ascii="宋体" w:hAnsi="宋体" w:eastAsia="宋体" w:cs="宋体"/>
          <w:color w:val="auto"/>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4A828E46">
      <w:pPr>
        <w:pageBreakBefore w:val="0"/>
        <w:widowControl w:val="0"/>
        <w:kinsoku/>
        <w:wordWrap/>
        <w:overflowPunct/>
        <w:topLinePunct w:val="0"/>
        <w:autoSpaceDE w:val="0"/>
        <w:autoSpaceDN w:val="0"/>
        <w:bidi w:val="0"/>
        <w:adjustRightInd w:val="0"/>
        <w:spacing w:beforeAutospacing="0" w:line="360" w:lineRule="auto"/>
        <w:ind w:firstLine="700" w:firstLineChars="25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附件：1.开标一览表、分项报价明细表；</w:t>
      </w:r>
    </w:p>
    <w:p w14:paraId="50AC9EEA">
      <w:pPr>
        <w:pageBreakBefore w:val="0"/>
        <w:widowControl w:val="0"/>
        <w:kinsoku/>
        <w:wordWrap/>
        <w:overflowPunct/>
        <w:topLinePunct w:val="0"/>
        <w:autoSpaceDE w:val="0"/>
        <w:autoSpaceDN w:val="0"/>
        <w:bidi w:val="0"/>
        <w:adjustRightInd w:val="0"/>
        <w:spacing w:beforeAutospacing="0" w:line="360" w:lineRule="auto"/>
        <w:ind w:firstLine="1540" w:firstLineChars="55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2.技术、商务响应表；</w:t>
      </w:r>
    </w:p>
    <w:p w14:paraId="24A3CE44">
      <w:pPr>
        <w:pStyle w:val="6"/>
        <w:pageBreakBefore w:val="0"/>
        <w:widowControl w:val="0"/>
        <w:kinsoku/>
        <w:wordWrap/>
        <w:overflowPunct/>
        <w:topLinePunct w:val="0"/>
        <w:bidi w:val="0"/>
        <w:spacing w:before="0" w:beforeAutospacing="0" w:line="360" w:lineRule="auto"/>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3.中标通知书。</w:t>
      </w:r>
    </w:p>
    <w:p w14:paraId="3ACD50BC">
      <w:pPr>
        <w:pageBreakBefore w:val="0"/>
        <w:widowControl w:val="0"/>
        <w:kinsoku/>
        <w:wordWrap/>
        <w:overflowPunct/>
        <w:topLinePunct w:val="0"/>
        <w:bidi w:val="0"/>
        <w:snapToGrid w:val="0"/>
        <w:spacing w:beforeAutospacing="0" w:line="360" w:lineRule="auto"/>
        <w:ind w:left="0" w:leftChars="0"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甲方（公章）:                        乙方(公章):  </w:t>
      </w:r>
    </w:p>
    <w:p w14:paraId="0AB0194E">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办公地址：                           办公地址：</w:t>
      </w:r>
    </w:p>
    <w:p w14:paraId="34754CC1">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法定代表人                           法定代表人</w:t>
      </w:r>
    </w:p>
    <w:p w14:paraId="5951CE98">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或授权代表(签字):                    或授权代表(签字):</w:t>
      </w:r>
    </w:p>
    <w:p w14:paraId="364B231D">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联系人：                             联系人：</w:t>
      </w:r>
    </w:p>
    <w:p w14:paraId="5EF35E37">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电话：                               电话：</w:t>
      </w:r>
    </w:p>
    <w:p w14:paraId="3BBBF19F">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传真:                                传真:</w:t>
      </w:r>
    </w:p>
    <w:p w14:paraId="4EEF7CC6">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zh-CN"/>
        </w:rPr>
        <w:t>电子邮箱：                           电子邮箱：</w:t>
      </w:r>
    </w:p>
    <w:p w14:paraId="7A29C9F8">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开户银行：                           开户银行： </w:t>
      </w:r>
    </w:p>
    <w:p w14:paraId="422AFD74">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开户名称：                           开户名称： </w:t>
      </w:r>
    </w:p>
    <w:p w14:paraId="2132FE68">
      <w:pPr>
        <w:pageBreakBefore w:val="0"/>
        <w:widowControl w:val="0"/>
        <w:kinsoku/>
        <w:wordWrap/>
        <w:overflowPunct/>
        <w:topLinePunct w:val="0"/>
        <w:bidi w:val="0"/>
        <w:snapToGrid w:val="0"/>
        <w:spacing w:beforeAutospacing="0" w:line="360" w:lineRule="auto"/>
        <w:ind w:firstLine="518" w:firstLineChars="18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开户账号：</w:t>
      </w:r>
      <w:r>
        <w:rPr>
          <w:rFonts w:hint="eastAsia" w:ascii="宋体" w:hAnsi="宋体" w:eastAsia="宋体" w:cs="宋体"/>
          <w:color w:val="auto"/>
          <w:sz w:val="28"/>
          <w:szCs w:val="28"/>
          <w:lang w:val="zh-CN"/>
        </w:rPr>
        <w:t xml:space="preserve">                           </w:t>
      </w:r>
      <w:r>
        <w:rPr>
          <w:rFonts w:hint="eastAsia" w:ascii="宋体" w:hAnsi="宋体" w:eastAsia="宋体" w:cs="宋体"/>
          <w:color w:val="auto"/>
          <w:sz w:val="28"/>
          <w:szCs w:val="28"/>
        </w:rPr>
        <w:t>开户账号：</w:t>
      </w:r>
    </w:p>
    <w:p w14:paraId="229EF6AA">
      <w:pPr>
        <w:pageBreakBefore w:val="0"/>
        <w:widowControl w:val="0"/>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rPr>
      </w:pPr>
    </w:p>
    <w:p w14:paraId="66BBC60D">
      <w:pPr>
        <w:pageBreakBefore w:val="0"/>
        <w:widowControl w:val="0"/>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政府集中采购机构声明：本合同标的经政府集中采购机构依法定程序采购，合同主要条款内容与招投标文件的内容一致。</w:t>
      </w:r>
    </w:p>
    <w:p w14:paraId="2E79A627">
      <w:pPr>
        <w:pageBreakBefore w:val="0"/>
        <w:widowControl w:val="0"/>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rPr>
        <w:t>代理机构(盖章）：</w:t>
      </w:r>
    </w:p>
    <w:p w14:paraId="38BEDAC4">
      <w:pPr>
        <w:pageBreakBefore w:val="0"/>
        <w:widowControl w:val="0"/>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地  址：</w:t>
      </w:r>
    </w:p>
    <w:p w14:paraId="3BFE8DA4">
      <w:pPr>
        <w:pageBreakBefore w:val="0"/>
        <w:widowControl w:val="0"/>
        <w:kinsoku/>
        <w:wordWrap/>
        <w:overflowPunct/>
        <w:topLinePunct w:val="0"/>
        <w:bidi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经办人：       </w:t>
      </w:r>
    </w:p>
    <w:p w14:paraId="53E8B747">
      <w:pPr>
        <w:pageBreakBefore w:val="0"/>
        <w:widowControl w:val="0"/>
        <w:kinsoku/>
        <w:wordWrap/>
        <w:overflowPunct/>
        <w:topLinePunct w:val="0"/>
        <w:bidi w:val="0"/>
        <w:snapToGrid w:val="0"/>
        <w:spacing w:beforeAutospacing="0" w:line="360" w:lineRule="auto"/>
        <w:ind w:firstLine="1400" w:firstLineChars="500"/>
        <w:jc w:val="righ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年   月    日</w:t>
      </w:r>
    </w:p>
    <w:p w14:paraId="6B756132">
      <w:pPr>
        <w:pageBreakBefore w:val="0"/>
        <w:widowControl w:val="0"/>
        <w:kinsoku/>
        <w:wordWrap/>
        <w:overflowPunct/>
        <w:topLinePunct w:val="0"/>
        <w:bidi w:val="0"/>
        <w:spacing w:beforeAutospacing="0" w:line="360" w:lineRule="auto"/>
        <w:textAlignment w:val="auto"/>
        <w:rPr>
          <w:rFonts w:hint="eastAsia" w:ascii="宋体" w:hAnsi="宋体" w:eastAsia="宋体" w:cs="宋体"/>
          <w:color w:val="auto"/>
          <w:sz w:val="28"/>
          <w:szCs w:val="28"/>
        </w:rPr>
        <w:sectPr>
          <w:pgSz w:w="11907" w:h="16840"/>
          <w:pgMar w:top="1440" w:right="1077" w:bottom="1440" w:left="1247" w:header="936" w:footer="992" w:gutter="0"/>
          <w:pgNumType w:fmt="decimal"/>
          <w:cols w:space="720" w:num="1"/>
          <w:titlePg/>
          <w:docGrid w:linePitch="312" w:charSpace="0"/>
        </w:sectPr>
      </w:pPr>
    </w:p>
    <w:p w14:paraId="68D76205">
      <w:pPr>
        <w:pStyle w:val="4"/>
        <w:pageBreakBefore w:val="0"/>
        <w:widowControl w:val="0"/>
        <w:kinsoku/>
        <w:wordWrap/>
        <w:overflowPunct/>
        <w:topLinePunct w:val="0"/>
        <w:bidi w:val="0"/>
        <w:adjustRightInd w:val="0"/>
        <w:snapToGrid w:val="0"/>
        <w:spacing w:beforeAutospacing="0" w:line="360" w:lineRule="auto"/>
        <w:jc w:val="center"/>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合同通用条款</w:t>
      </w:r>
    </w:p>
    <w:p w14:paraId="4BDEFAAD">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1．定义</w:t>
      </w:r>
    </w:p>
    <w:p w14:paraId="2F211828">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本合同下列术语应解释为：</w:t>
      </w:r>
    </w:p>
    <w:p w14:paraId="422EEB89">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（l）“合同”系指甲方和乙方（以下简称合同双方）签署的、合同格式中列明的合同双方所达成的协议，包括所有的附件、附录和构成合同的所有文件。</w:t>
      </w:r>
    </w:p>
    <w:p w14:paraId="4902767F">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（2）“合同价”系指根据合同规定，乙方在完全履行合同义务后甲方应付给乙方的价格。</w:t>
      </w:r>
    </w:p>
    <w:p w14:paraId="0C514146">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（3）“货物（含软件及相关服务）”系指乙方按合同要求，须向甲方提供的一切设备、机械、仪器、备件、工具、技术及手册等有关资料。“工程”系指按合同要求进行施工。</w:t>
      </w:r>
    </w:p>
    <w:p w14:paraId="5E11D678">
      <w:pPr>
        <w:pageBreakBefore w:val="0"/>
        <w:widowControl w:val="0"/>
        <w:kinsoku/>
        <w:wordWrap/>
        <w:overflowPunct/>
        <w:topLinePunct w:val="0"/>
        <w:bidi w:val="0"/>
        <w:adjustRightInd w:val="0"/>
        <w:snapToGrid w:val="0"/>
        <w:spacing w:before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（4）“服务”系指根据合同规定乙方承担与供货有关的所有辅助服务，如运输、保险以及其它的服务，如安装、调试、提供技术援助、培训及其他类似的义务。</w:t>
      </w:r>
    </w:p>
    <w:p w14:paraId="77D53CBF">
      <w:pPr>
        <w:pageBreakBefore w:val="0"/>
        <w:widowControl w:val="0"/>
        <w:kinsoku/>
        <w:wordWrap/>
        <w:overflowPunct/>
        <w:topLinePunct w:val="0"/>
        <w:bidi w:val="0"/>
        <w:adjustRightInd w:val="0"/>
        <w:snapToGrid w:val="0"/>
        <w:spacing w:before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（5）“甲方”系指购买货物（含软件及相关服务）的单位。</w:t>
      </w:r>
    </w:p>
    <w:p w14:paraId="3AF1AA61">
      <w:pPr>
        <w:pageBreakBefore w:val="0"/>
        <w:widowControl w:val="0"/>
        <w:kinsoku/>
        <w:wordWrap/>
        <w:overflowPunct/>
        <w:topLinePunct w:val="0"/>
        <w:bidi w:val="0"/>
        <w:adjustRightInd w:val="0"/>
        <w:snapToGrid w:val="0"/>
        <w:spacing w:before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（6）“乙方”系指根据合同规定提供货物（含软件及相关服务）和服务的制造商或代理商。</w:t>
      </w:r>
    </w:p>
    <w:p w14:paraId="3A9894A3">
      <w:pPr>
        <w:pageBreakBefore w:val="0"/>
        <w:widowControl w:val="0"/>
        <w:kinsoku/>
        <w:wordWrap/>
        <w:overflowPunct/>
        <w:topLinePunct w:val="0"/>
        <w:bidi w:val="0"/>
        <w:adjustRightInd w:val="0"/>
        <w:snapToGrid w:val="0"/>
        <w:spacing w:before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（7）“现场”系指将要进行货物（含软件及相关服务）安装和调试的地点。</w:t>
      </w:r>
    </w:p>
    <w:p w14:paraId="6E0BF9BA">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2．技术规范</w:t>
      </w:r>
    </w:p>
    <w:p w14:paraId="47C3F7E1">
      <w:pPr>
        <w:pageBreakBefore w:val="0"/>
        <w:widowControl w:val="0"/>
        <w:kinsoku/>
        <w:wordWrap/>
        <w:overflowPunct/>
        <w:topLinePunct w:val="0"/>
        <w:bidi w:val="0"/>
        <w:adjustRightInd w:val="0"/>
        <w:snapToGrid w:val="0"/>
        <w:spacing w:beforeAutospacing="0" w:line="360" w:lineRule="auto"/>
        <w:ind w:firstLine="548" w:firstLineChars="196"/>
        <w:textAlignment w:val="auto"/>
        <w:rPr>
          <w:rFonts w:hint="eastAsia" w:ascii="宋体" w:hAnsi="宋体" w:eastAsia="宋体" w:cs="宋体"/>
          <w:b/>
          <w:color w:val="auto"/>
          <w:sz w:val="28"/>
          <w:szCs w:val="28"/>
        </w:rPr>
      </w:pPr>
      <w:r>
        <w:rPr>
          <w:rFonts w:hint="eastAsia" w:ascii="宋体" w:hAnsi="宋体" w:eastAsia="宋体" w:cs="宋体"/>
          <w:color w:val="auto"/>
          <w:sz w:val="28"/>
          <w:szCs w:val="28"/>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0E43DC85">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3．专利权</w:t>
      </w:r>
    </w:p>
    <w:p w14:paraId="2D36D2F0">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85924C6">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4．包装要求</w:t>
      </w:r>
    </w:p>
    <w:p w14:paraId="18ED1850">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027D319F">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4.2 每件包装箱内应附一份详细装箱单和质量合格证。</w:t>
      </w:r>
    </w:p>
    <w:p w14:paraId="731CA375">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5．装运标志</w:t>
      </w:r>
    </w:p>
    <w:p w14:paraId="7316FFC8">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5.1 乙方应在每一包装箱邻接的四侧用不褪色的油漆以醒目的中文字样做出下列标记：</w:t>
      </w:r>
    </w:p>
    <w:p w14:paraId="2629553B">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（l）收货人</w:t>
      </w:r>
    </w:p>
    <w:p w14:paraId="5195CE0F">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（2）合同号</w:t>
      </w:r>
    </w:p>
    <w:p w14:paraId="30FBF1A2">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（3）装运标志</w:t>
      </w:r>
    </w:p>
    <w:p w14:paraId="6694ECD9">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（4）收货人代号</w:t>
      </w:r>
    </w:p>
    <w:p w14:paraId="14141B90">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（5）目的地</w:t>
      </w:r>
    </w:p>
    <w:p w14:paraId="71365DB1">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（6）货物（含软件及相关服务）名称、品目号和箱号</w:t>
      </w:r>
    </w:p>
    <w:p w14:paraId="2578F6C9">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（7）毛重／净重</w:t>
      </w:r>
    </w:p>
    <w:p w14:paraId="528D5066">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（8）尺寸（长X宽X高，以厘米计）</w:t>
      </w:r>
    </w:p>
    <w:p w14:paraId="32E391CC">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42520450">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5.3因缺少装运标志或者装运标志不明确导致货物在运输、装卸过程中产生的损失，乙方应承担相应的过错责任。</w:t>
      </w:r>
    </w:p>
    <w:p w14:paraId="34DDF4A2">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6．交货方式</w:t>
      </w:r>
    </w:p>
    <w:p w14:paraId="3A551BA6">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6.1 交货方式一般为下列其中一种，具体在合同专用条款中规定。</w:t>
      </w:r>
    </w:p>
    <w:p w14:paraId="52DFD1BF">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6.1.1 现场交货：乙方负责办理运输和保险，将货物（含软件及相关服务）运抵现场。有关运输和保险的一切费用由乙方承担。所有货物（含软件及相关服务）运抵现扬的日期为交货日期。</w:t>
      </w:r>
    </w:p>
    <w:p w14:paraId="3ABB4463">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6.1.2 工厂交货：由乙方负责办理运输和保险事宜。运输费和保险费由甲方承担。运输部门出具收据的日期为交货日期。</w:t>
      </w:r>
    </w:p>
    <w:p w14:paraId="5D41ACB4">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6.1.3 甲方自提货物（含软件及相关服务）：由甲方在合同规定地点自行办理提货。提单日期为交货日期。</w:t>
      </w:r>
    </w:p>
    <w:p w14:paraId="58DB6D4D">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1A836FA0">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6.3 在现场交货和工厂交货条件下，乙方装运的货物（含软件及相关服务）不应超过合同规定的数量或重量。否则，乙方应对超运部分的数量或重量而引起的一切后果负责。</w:t>
      </w:r>
    </w:p>
    <w:p w14:paraId="2ACB68A9">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7．装运通知</w:t>
      </w:r>
    </w:p>
    <w:p w14:paraId="0047F6F6">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66901022">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8．保险</w:t>
      </w:r>
    </w:p>
    <w:p w14:paraId="279EB56D">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7E678EAC">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9．付款方式</w:t>
      </w:r>
    </w:p>
    <w:p w14:paraId="621D9F94">
      <w:pPr>
        <w:pageBreakBefore w:val="0"/>
        <w:widowControl w:val="0"/>
        <w:kinsoku/>
        <w:wordWrap/>
        <w:overflowPunct/>
        <w:topLinePunct w:val="0"/>
        <w:bidi w:val="0"/>
        <w:adjustRightInd w:val="0"/>
        <w:snapToGrid w:val="0"/>
        <w:spacing w:before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付款方式见合同专用条款。</w:t>
      </w:r>
    </w:p>
    <w:p w14:paraId="43FF0133">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10．技术资料</w:t>
      </w:r>
    </w:p>
    <w:p w14:paraId="602892BF">
      <w:pPr>
        <w:pageBreakBefore w:val="0"/>
        <w:widowControl w:val="0"/>
        <w:kinsoku/>
        <w:wordWrap/>
        <w:overflowPunct/>
        <w:topLinePunct w:val="0"/>
        <w:bidi w:val="0"/>
        <w:adjustRightInd w:val="0"/>
        <w:snapToGrid w:val="0"/>
        <w:spacing w:before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合同项下技术资料（除合同专用条款规定外）将以下列方式交付：</w:t>
      </w:r>
    </w:p>
    <w:p w14:paraId="3D56F1F5">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10.1 合同生效后 60天之内，乙方应将每台设备和仪器的中文技术资料一套，如目录索引、图纸、操作手册、使用指南、维修指南和服务手册等交给甲方。</w:t>
      </w:r>
    </w:p>
    <w:p w14:paraId="119FA246">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10.2 另外一套完整的上述资料应包装好随每批货物（含软件及相关服务）一起发运。</w:t>
      </w:r>
    </w:p>
    <w:p w14:paraId="1C42AAC3">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10.3 如果甲方确认乙方提供的技术资料不完整或在运输过程中丢失，乙方将在收到甲方通知后3天内将这些资料免费交给甲方。</w:t>
      </w:r>
    </w:p>
    <w:p w14:paraId="3103F22A">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11．质量保证</w:t>
      </w:r>
    </w:p>
    <w:p w14:paraId="7BE94C82">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0CE76518">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19017C63">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11.3 乙方在收到通知后三十天内应免费维修或更换有缺陷的货物（含软件及相关服务）或部件，并无偿为甲方提供替代产品。</w:t>
      </w:r>
    </w:p>
    <w:p w14:paraId="7A90B8BC">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11.4 如果乙方在收到通知后三十天内没有弥补缺陷，甲方可采取必要的补救措施，但风险和费用将由乙方承担。</w:t>
      </w:r>
    </w:p>
    <w:p w14:paraId="33342C68">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11.5 除合同专用条款规定外，合同项下货物（含软件及相关服务）的质量保证期为自货物（含软件及相关服务）通过最终验收起12个月。</w:t>
      </w:r>
    </w:p>
    <w:p w14:paraId="774DDC41">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default" w:ascii="宋体" w:hAnsi="宋体" w:eastAsia="宋体" w:cs="宋体"/>
          <w:color w:val="auto"/>
          <w:sz w:val="28"/>
          <w:szCs w:val="28"/>
          <w:u w:val="single"/>
          <w:lang w:val="en-US" w:eastAsia="zh-CN"/>
        </w:rPr>
      </w:pPr>
      <w:r>
        <w:rPr>
          <w:rFonts w:hint="eastAsia" w:cs="宋体"/>
          <w:color w:val="auto"/>
          <w:sz w:val="28"/>
          <w:szCs w:val="28"/>
          <w:lang w:val="en-US" w:eastAsia="zh-CN"/>
        </w:rPr>
        <w:t>11.6</w:t>
      </w:r>
      <w:r>
        <w:rPr>
          <w:rFonts w:hint="eastAsia"/>
          <w:color w:val="auto"/>
        </w:rPr>
        <w:t>乙方应确认提供的服务人员经过培训，符合上岗要求（可列明上岗要求作为附件），提供服务人员不符合甲方要求的，甲方有权随时更换服务人员，乙方应无条件配合。甲方有权制定考核标准，对提供服务人员按期考核，考核不合格的，甲方有权不予发放该人员对应的服务费用。（考核标准作为附件提供）。</w:t>
      </w:r>
    </w:p>
    <w:p w14:paraId="54B14F63">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12.检验及安装</w:t>
      </w:r>
    </w:p>
    <w:p w14:paraId="439AFE4A">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36D3E212">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69CBF11B">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392C3443">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12.4 甲方有权提出在货物（含软件及相关服务）制造过程中派人到制造厂进行监造，乙方有义务为甲方监造人员提乙方便。</w:t>
      </w:r>
    </w:p>
    <w:p w14:paraId="4FDB910B">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12.5 制造厂对所供货物（含软件及相关服务）进行机械运转试验和性能试验时，必须提前通知甲方。</w:t>
      </w:r>
    </w:p>
    <w:p w14:paraId="7D80B572">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12.6 货物（含软件及相关服务）的安装按采购文件的要求进行。</w:t>
      </w:r>
    </w:p>
    <w:p w14:paraId="012D3C9D">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13．索赔</w:t>
      </w:r>
    </w:p>
    <w:p w14:paraId="4BD227A4">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13.1 除责任应由保险公司或运输部门承担的之外，甲方有权根据甲方按检验标准自己检验的结果或当地商检部门出具的商检证书向乙方提出索赔。</w:t>
      </w:r>
    </w:p>
    <w:p w14:paraId="67EC655A">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13.2 在第 11条和第 12条规定的检验期和质量保证期内，如果乙方对甲方提出的索赔和差异负有责任，乙方应按照甲方同意的下列一种或多种方式解决索赔事宜：</w:t>
      </w:r>
    </w:p>
    <w:p w14:paraId="0DD169EF">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79F75833">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（2）根据货物（含软件及相关服务）的低劣程度、损坏程度以及甲方遭受损失的数额，经买卖双方商定降低货物（含软件及相关服务）的价格。</w:t>
      </w:r>
    </w:p>
    <w:p w14:paraId="0E9CCFB4">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2494ED5E">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365BF77E">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14．拖延交货</w:t>
      </w:r>
    </w:p>
    <w:p w14:paraId="1AF5E109">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14.l 乙方应按照合同专用条款中规定的交货期交货和提供服务。</w:t>
      </w:r>
    </w:p>
    <w:p w14:paraId="08A7AD9A">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14.2 如果乙方毫无理由地拖延交货达1个月以上的，将受到以下制裁：没收履约保证金，加收违约损失赔偿和／或终止合同。</w:t>
      </w:r>
    </w:p>
    <w:p w14:paraId="0E5E45C7">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6935A032">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15．违约赔偿</w:t>
      </w:r>
    </w:p>
    <w:p w14:paraId="749E3F89">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cs="宋体"/>
          <w:color w:val="auto"/>
          <w:sz w:val="28"/>
          <w:szCs w:val="28"/>
          <w:lang w:val="en-US" w:eastAsia="zh-CN"/>
        </w:rPr>
        <w:t>15.1</w:t>
      </w:r>
      <w:r>
        <w:rPr>
          <w:rFonts w:hint="eastAsia" w:ascii="宋体" w:hAnsi="宋体" w:eastAsia="宋体" w:cs="宋体"/>
          <w:color w:val="auto"/>
          <w:sz w:val="28"/>
          <w:szCs w:val="28"/>
        </w:rPr>
        <w:t>除第16条规定的不可抗力外，除第16条规定的不可抗力外，如果乙方存在违反法律规定或合同约定的情形，每违约一次，乙方应支付违约金【】元，违约金不足以赔偿甲方损失的，乙方应继续承担赔偿责任。甲方可从应付合同款中扣除违约金、赔偿金等费用。</w:t>
      </w:r>
    </w:p>
    <w:p w14:paraId="75C9C0CD">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default" w:ascii="宋体" w:hAnsi="宋体" w:eastAsia="宋体" w:cs="宋体"/>
          <w:color w:val="auto"/>
          <w:sz w:val="28"/>
          <w:szCs w:val="28"/>
          <w:lang w:val="en-US" w:eastAsia="zh-CN"/>
        </w:rPr>
      </w:pPr>
      <w:r>
        <w:rPr>
          <w:rFonts w:hint="eastAsia" w:cs="宋体"/>
          <w:color w:val="auto"/>
          <w:sz w:val="28"/>
          <w:szCs w:val="28"/>
          <w:lang w:val="en-US" w:eastAsia="zh-CN"/>
        </w:rPr>
        <w:t>15.2因乙方违约或违反法律规定，甲方为维护权益所产生的一切费用由乙方承担，包括但不限于律师费、鉴定评估费、诉讼/仲裁申请费、保全申请费、保全保险费、公告费、反担保费、差旅费、交通费等。</w:t>
      </w:r>
    </w:p>
    <w:p w14:paraId="57B7231D">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16．不可抗力</w:t>
      </w:r>
    </w:p>
    <w:p w14:paraId="30C58AC7">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5FE6A6FC">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5FD0A224">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17．税费</w:t>
      </w:r>
    </w:p>
    <w:p w14:paraId="501BBF72">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17.l 中国政府根据现行税法对甲方征收的与本合同有关的一切税费均由甲方承担。</w:t>
      </w:r>
    </w:p>
    <w:p w14:paraId="61DBB7E8">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17.2 中国政府根据现行税法对乙方征收的与本合同有关的一切税费均由乙方承担。</w:t>
      </w:r>
    </w:p>
    <w:p w14:paraId="6E2182ED">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17.3 在中国境外发生的与执行本合同有关的一切税费均由乙方承担。</w:t>
      </w:r>
    </w:p>
    <w:p w14:paraId="11DDFD41">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18．仲裁</w:t>
      </w:r>
    </w:p>
    <w:p w14:paraId="65B24478">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18.l 买卖双方应通过友好协商，解决在执行本合同中所发生的或与本合同有关的一切争端，如果协商仍得不到解决，任何一方均可按“</w:t>
      </w:r>
      <w:r>
        <w:rPr>
          <w:rFonts w:hint="eastAsia" w:cs="宋体"/>
          <w:color w:val="auto"/>
          <w:sz w:val="28"/>
          <w:szCs w:val="28"/>
          <w:lang w:eastAsia="zh-CN"/>
        </w:rPr>
        <w:t>中华人民共和国民法典</w:t>
      </w:r>
      <w:r>
        <w:rPr>
          <w:rFonts w:hint="eastAsia" w:ascii="宋体" w:hAnsi="宋体" w:eastAsia="宋体" w:cs="宋体"/>
          <w:color w:val="auto"/>
          <w:sz w:val="28"/>
          <w:szCs w:val="28"/>
        </w:rPr>
        <w:t>”规定提交调解和仲裁。</w:t>
      </w:r>
    </w:p>
    <w:p w14:paraId="2D73663E">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18.2 仲裁裁决应为终局裁决，对双方均具有约束力。</w:t>
      </w:r>
    </w:p>
    <w:p w14:paraId="43E058AA">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18.3 仲裁费除仲裁机构另有裁决外应由败诉方负担。</w:t>
      </w:r>
    </w:p>
    <w:p w14:paraId="0204BB34">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18.4 在仲裁期间，除正在进行仲裁的部分外，合同其它部分继续执行。</w:t>
      </w:r>
    </w:p>
    <w:p w14:paraId="0BD79596">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19．违约终止合同</w:t>
      </w:r>
    </w:p>
    <w:p w14:paraId="25D4B690">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19.l 乙方有下列违约情况之一，甲方有权解除合同：</w:t>
      </w:r>
    </w:p>
    <w:p w14:paraId="5A8CDBDB">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（l）乙方违反合同约定或法律规定超过【】次或累计给甲方造成损失达【】元的；</w:t>
      </w:r>
    </w:p>
    <w:p w14:paraId="5B3E2BC6">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（2）乙方提供的服务或货物不符合法律规定或合同约定，甲方指定期限内未完成纠正；</w:t>
      </w:r>
    </w:p>
    <w:p w14:paraId="363F458D">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（3）乙方擅自将本合同权利义务转包或分包的；</w:t>
      </w:r>
    </w:p>
    <w:p w14:paraId="6DE49F26">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（4）违反保密义务</w:t>
      </w:r>
    </w:p>
    <w:p w14:paraId="6A7B1544">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（5）其他根本违约行为。</w:t>
      </w:r>
    </w:p>
    <w:p w14:paraId="540D5D5E">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19.2 在甲方根据第19.1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且甲方有权要求乙方一次性支付违约金【】元，违约金不足以赔偿甲方损失的，乙方应继续承担赔付责任。</w:t>
      </w:r>
    </w:p>
    <w:p w14:paraId="0A176108">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20．破产终止合同</w:t>
      </w:r>
    </w:p>
    <w:p w14:paraId="6A7D29EB">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如果乙方破产或无清偿能力，甲方可在任何时候以书面通知乙方终止合同，该终止合同以不损害或影响甲方已经采取或将采取补救措施的权利。</w:t>
      </w:r>
    </w:p>
    <w:p w14:paraId="71D3C0FD">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21．转让与分包</w:t>
      </w:r>
    </w:p>
    <w:p w14:paraId="47B1F0F0">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21.1 未经甲方事先书面同意，乙方不得部分转让或全部转让其应履行的合同义务。</w:t>
      </w:r>
    </w:p>
    <w:p w14:paraId="40CBE0B0">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21.2 对投标中没有明确分包的合同，乙方须事先取得甲方书面同意，且分包方须具备相应资质，否则甲方有权拒绝。乙方应书面提供甲方本合同中将分包的全部分包合同，在原投标/响应文件中或后来发出的分包通知均不能解除乙方履行本合同的义务。</w:t>
      </w:r>
    </w:p>
    <w:p w14:paraId="71203B58">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22．适用法律</w:t>
      </w:r>
    </w:p>
    <w:p w14:paraId="4A346122">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本合同应按中华人民共和国的法律进行解释。</w:t>
      </w:r>
    </w:p>
    <w:p w14:paraId="04C17451">
      <w:pPr>
        <w:pStyle w:val="5"/>
        <w:pageBreakBefore w:val="0"/>
        <w:widowControl w:val="0"/>
        <w:kinsoku/>
        <w:wordWrap/>
        <w:overflowPunct/>
        <w:topLinePunct w:val="0"/>
        <w:bidi w:val="0"/>
        <w:adjustRightInd w:val="0"/>
        <w:snapToGrid w:val="0"/>
        <w:spacing w:before="0" w:beforeAutospacing="0" w:after="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23．合同生效及其它</w:t>
      </w:r>
    </w:p>
    <w:p w14:paraId="334AE2F6">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23.1 合同在双方签字盖章后生效。</w:t>
      </w:r>
    </w:p>
    <w:p w14:paraId="06A68475">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23.2 如需修改或补充合同内容，经协商，双方应签署书面修改或补充协议并经招标人鉴证，该协议将作为本合同的一个组成部分。</w:t>
      </w:r>
    </w:p>
    <w:p w14:paraId="115F3332">
      <w:pPr>
        <w:pageBreakBefore w:val="0"/>
        <w:widowControl w:val="0"/>
        <w:kinsoku/>
        <w:wordWrap/>
        <w:overflowPunct/>
        <w:topLinePunct w:val="0"/>
        <w:bidi w:val="0"/>
        <w:adjustRightInd w:val="0"/>
        <w:snapToGrid w:val="0"/>
        <w:spacing w:beforeAutospacing="0" w:line="360" w:lineRule="auto"/>
        <w:ind w:firstLine="562" w:firstLineChars="200"/>
        <w:textAlignment w:val="auto"/>
        <w:rPr>
          <w:rFonts w:hint="eastAsia"/>
          <w:b/>
          <w:bCs/>
          <w:color w:val="auto"/>
        </w:rPr>
      </w:pPr>
      <w:r>
        <w:rPr>
          <w:rFonts w:hint="eastAsia" w:ascii="宋体" w:hAnsi="宋体" w:eastAsia="宋体" w:cs="宋体"/>
          <w:b/>
          <w:bCs/>
          <w:color w:val="auto"/>
          <w:sz w:val="28"/>
          <w:szCs w:val="28"/>
        </w:rPr>
        <w:t>2</w:t>
      </w:r>
      <w:r>
        <w:rPr>
          <w:rFonts w:hint="eastAsia" w:cs="宋体"/>
          <w:b/>
          <w:bCs/>
          <w:color w:val="auto"/>
          <w:sz w:val="28"/>
          <w:szCs w:val="28"/>
          <w:lang w:eastAsia="zh-CN"/>
        </w:rPr>
        <w:t>4</w:t>
      </w:r>
      <w:r>
        <w:rPr>
          <w:rFonts w:hint="eastAsia" w:ascii="宋体" w:hAnsi="宋体" w:eastAsia="宋体" w:cs="宋体"/>
          <w:b/>
          <w:bCs/>
          <w:color w:val="auto"/>
          <w:sz w:val="28"/>
          <w:szCs w:val="28"/>
        </w:rPr>
        <w:t>．</w:t>
      </w:r>
      <w:r>
        <w:rPr>
          <w:rFonts w:hint="eastAsia"/>
          <w:b/>
          <w:bCs/>
          <w:color w:val="auto"/>
        </w:rPr>
        <w:t>保密条款</w:t>
      </w:r>
    </w:p>
    <w:p w14:paraId="20DDCB24">
      <w:pPr>
        <w:pageBreakBefore w:val="0"/>
        <w:widowControl w:val="0"/>
        <w:kinsoku/>
        <w:wordWrap/>
        <w:overflowPunct/>
        <w:topLinePunct w:val="0"/>
        <w:bidi w:val="0"/>
        <w:adjustRightInd w:val="0"/>
        <w:snapToGrid w:val="0"/>
        <w:spacing w:beforeAutospacing="0" w:line="360" w:lineRule="auto"/>
        <w:ind w:firstLine="560" w:firstLineChars="200"/>
        <w:textAlignment w:val="auto"/>
        <w:rPr>
          <w:rFonts w:hint="eastAsia" w:ascii="宋体" w:hAnsi="宋体" w:eastAsia="宋体" w:cs="宋体"/>
          <w:b w:val="0"/>
          <w:bCs w:val="0"/>
          <w:color w:val="auto"/>
          <w:sz w:val="28"/>
          <w:szCs w:val="28"/>
        </w:rPr>
      </w:pPr>
      <w:r>
        <w:rPr>
          <w:rFonts w:hint="eastAsia"/>
          <w:b w:val="0"/>
          <w:bCs w:val="0"/>
          <w:color w:val="auto"/>
        </w:rPr>
        <w:t>双方同意对于合同履行过程中接触、知晓的对方的保密信息（包括但不限于本合同内容、商业秘密、技术秘密、经营信息、财务信息等，无论是否标明“保密”字样）承担保密责任，除依法律规定或事先征得对方书面同意或双方另有约定外，不得以任何方式将其泄露给任何第三方。保密信息接收方为本协议目的可向其确有知悉必要的雇员、法律顾问或财务顾问披露对方提供的保密资料，但同时须指示该等人员遵守本条规定的保密义务，该等人员违反本条保密义务视为接收方违反本条保密义务。保密信息接收方违反本条规定泄露披露方的保密信息的，由此产生的法律责任由接收方承担，造成披露方损失的，接收方依法应当承担赔偿责任。本保密义务的保密期限为本协议签订、履行期间以及本协议履行完毕之后持续有效。</w:t>
      </w:r>
    </w:p>
    <w:p w14:paraId="6D86222D">
      <w:pPr>
        <w:pageBreakBefore w:val="0"/>
        <w:widowControl w:val="0"/>
        <w:kinsoku/>
        <w:wordWrap/>
        <w:overflowPunct/>
        <w:topLinePunct w:val="0"/>
        <w:bidi w:val="0"/>
        <w:adjustRightInd w:val="0"/>
        <w:snapToGrid w:val="0"/>
        <w:spacing w:beforeAutospacing="0" w:line="360" w:lineRule="auto"/>
        <w:textAlignment w:val="auto"/>
        <w:rPr>
          <w:rFonts w:hint="eastAsia" w:ascii="宋体" w:hAnsi="宋体" w:eastAsia="宋体" w:cs="宋体"/>
          <w:dstrike/>
          <w:color w:val="auto"/>
          <w:sz w:val="28"/>
          <w:szCs w:val="28"/>
        </w:rPr>
      </w:pPr>
    </w:p>
    <w:p w14:paraId="143844A8">
      <w:pPr>
        <w:pageBreakBefore w:val="0"/>
        <w:widowControl w:val="0"/>
        <w:kinsoku/>
        <w:wordWrap/>
        <w:overflowPunct/>
        <w:topLinePunct w:val="0"/>
        <w:bidi w:val="0"/>
        <w:spacing w:beforeAutospacing="0" w:line="360" w:lineRule="auto"/>
        <w:ind w:firstLine="562" w:firstLineChars="200"/>
        <w:textAlignment w:val="auto"/>
        <w:rPr>
          <w:rFonts w:hint="eastAsia" w:ascii="宋体" w:hAnsi="宋体" w:eastAsia="宋体" w:cs="宋体"/>
          <w:color w:val="auto"/>
          <w:lang w:val="en-US" w:eastAsia="zh-CN"/>
        </w:rPr>
      </w:pPr>
      <w:r>
        <w:rPr>
          <w:rFonts w:hint="eastAsia" w:ascii="宋体" w:hAnsi="宋体" w:eastAsia="宋体" w:cs="宋体"/>
          <w:b/>
          <w:color w:val="auto"/>
          <w:sz w:val="28"/>
          <w:szCs w:val="28"/>
        </w:rPr>
        <w:t>备注：合同通用条款与合同专用条款不一致的，以合同专用条款为准。</w:t>
      </w:r>
    </w:p>
    <w:p w14:paraId="321994A1">
      <w:pPr>
        <w:pageBreakBefore w:val="0"/>
        <w:widowControl w:val="0"/>
        <w:kinsoku/>
        <w:wordWrap/>
        <w:overflowPunct/>
        <w:topLinePunct w:val="0"/>
        <w:bidi w:val="0"/>
        <w:spacing w:beforeAutospacing="0" w:line="360" w:lineRule="auto"/>
        <w:textAlignment w:val="auto"/>
        <w:rPr>
          <w:rFonts w:hint="eastAsia" w:ascii="宋体" w:hAnsi="宋体" w:eastAsia="宋体" w:cs="宋体"/>
          <w:color w:val="auto"/>
          <w:lang w:val="en-US" w:eastAsia="zh-CN"/>
        </w:rPr>
      </w:pPr>
    </w:p>
    <w:p w14:paraId="138FA4E1">
      <w:pPr>
        <w:pageBreakBefore w:val="0"/>
        <w:widowControl w:val="0"/>
        <w:kinsoku/>
        <w:wordWrap/>
        <w:overflowPunct/>
        <w:topLinePunct w:val="0"/>
        <w:bidi w:val="0"/>
        <w:spacing w:beforeAutospacing="0" w:line="360" w:lineRule="auto"/>
        <w:textAlignment w:val="auto"/>
        <w:rPr>
          <w:rFonts w:hint="eastAsia" w:ascii="宋体" w:hAnsi="宋体" w:eastAsia="宋体" w:cs="宋体"/>
          <w:color w:val="auto"/>
          <w:lang w:val="en-US" w:eastAsia="zh-CN"/>
        </w:rPr>
      </w:pPr>
    </w:p>
    <w:p w14:paraId="4EB2CA07">
      <w:pPr>
        <w:pageBreakBefore w:val="0"/>
        <w:widowControl w:val="0"/>
        <w:kinsoku/>
        <w:wordWrap/>
        <w:overflowPunct/>
        <w:topLinePunct w:val="0"/>
        <w:bidi w:val="0"/>
        <w:spacing w:beforeAutospacing="0" w:line="360" w:lineRule="auto"/>
        <w:textAlignment w:val="auto"/>
        <w:rPr>
          <w:rFonts w:hint="eastAsia" w:ascii="仿宋" w:hAnsi="仿宋" w:eastAsia="仿宋" w:cs="仿宋"/>
          <w:color w:val="auto"/>
          <w:lang w:val="en-US" w:eastAsia="zh-CN"/>
        </w:rPr>
      </w:pPr>
    </w:p>
    <w:p w14:paraId="1B0D7B3B">
      <w:pPr>
        <w:pageBreakBefore w:val="0"/>
        <w:widowControl w:val="0"/>
        <w:kinsoku/>
        <w:wordWrap/>
        <w:overflowPunct/>
        <w:topLinePunct w:val="0"/>
        <w:bidi w:val="0"/>
        <w:spacing w:beforeAutospacing="0" w:line="360" w:lineRule="auto"/>
        <w:textAlignment w:val="auto"/>
        <w:rPr>
          <w:rFonts w:hint="eastAsia" w:ascii="仿宋" w:hAnsi="仿宋" w:eastAsia="仿宋" w:cs="仿宋"/>
          <w:color w:val="auto"/>
          <w:lang w:val="en-US" w:eastAsia="zh-CN"/>
        </w:rPr>
      </w:pPr>
      <w:bookmarkStart w:id="1" w:name="_GoBack"/>
      <w:bookmarkEnd w:id="1"/>
    </w:p>
    <w:p w14:paraId="7A22C0C0">
      <w:pPr>
        <w:pageBreakBefore w:val="0"/>
        <w:widowControl w:val="0"/>
        <w:kinsoku/>
        <w:wordWrap/>
        <w:overflowPunct/>
        <w:topLinePunct w:val="0"/>
        <w:bidi w:val="0"/>
        <w:spacing w:beforeAutospacing="0" w:line="360" w:lineRule="auto"/>
        <w:textAlignment w:val="auto"/>
        <w:rPr>
          <w:rFonts w:hint="eastAsia" w:ascii="仿宋" w:hAnsi="仿宋" w:eastAsia="仿宋" w:cs="仿宋"/>
          <w:color w:val="auto"/>
          <w:lang w:val="en-US" w:eastAsia="zh-CN"/>
        </w:rPr>
      </w:pPr>
    </w:p>
    <w:p w14:paraId="675B37DA">
      <w:pPr>
        <w:pageBreakBefore w:val="0"/>
        <w:widowControl w:val="0"/>
        <w:kinsoku/>
        <w:wordWrap/>
        <w:overflowPunct/>
        <w:topLinePunct w:val="0"/>
        <w:bidi w:val="0"/>
        <w:spacing w:beforeAutospacing="0" w:line="360" w:lineRule="auto"/>
        <w:textAlignment w:val="auto"/>
        <w:rPr>
          <w:rFonts w:hint="eastAsia" w:ascii="仿宋" w:hAnsi="仿宋" w:eastAsia="仿宋" w:cs="仿宋"/>
          <w:color w:val="auto"/>
          <w:lang w:val="en-US" w:eastAsia="zh-CN"/>
        </w:rPr>
      </w:pPr>
    </w:p>
    <w:p w14:paraId="40CDF152">
      <w:pPr>
        <w:pageBreakBefore w:val="0"/>
        <w:widowControl w:val="0"/>
        <w:kinsoku/>
        <w:wordWrap/>
        <w:overflowPunct/>
        <w:topLinePunct w:val="0"/>
        <w:bidi w:val="0"/>
        <w:spacing w:beforeAutospacing="0" w:line="360" w:lineRule="auto"/>
        <w:textAlignment w:val="auto"/>
        <w:rPr>
          <w:rFonts w:hint="eastAsia" w:ascii="仿宋" w:hAnsi="仿宋" w:eastAsia="仿宋" w:cs="仿宋"/>
          <w:color w:val="auto"/>
          <w:lang w:val="en-US" w:eastAsia="zh-CN"/>
        </w:rPr>
      </w:pPr>
    </w:p>
    <w:bookmarkEnd w:id="0"/>
    <w:p w14:paraId="48C8F619">
      <w:pPr>
        <w:pStyle w:val="7"/>
        <w:tabs>
          <w:tab w:val="left" w:pos="1786"/>
          <w:tab w:val="left" w:pos="2266"/>
          <w:tab w:val="left" w:pos="2746"/>
        </w:tabs>
        <w:spacing w:before="88"/>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9D2A2F"/>
    <w:rsid w:val="1D7C35FF"/>
    <w:rsid w:val="2C0A1AC5"/>
    <w:rsid w:val="40576C0D"/>
    <w:rsid w:val="57951C72"/>
    <w:rsid w:val="629D2A2F"/>
    <w:rsid w:val="75DF7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4">
    <w:name w:val="heading 1"/>
    <w:basedOn w:val="1"/>
    <w:next w:val="1"/>
    <w:qFormat/>
    <w:uiPriority w:val="0"/>
    <w:pPr>
      <w:keepNext/>
      <w:keepLines/>
      <w:spacing w:beforeLines="0" w:beforeAutospacing="0" w:afterLines="0" w:afterAutospacing="0" w:line="360" w:lineRule="auto"/>
      <w:outlineLvl w:val="0"/>
    </w:pPr>
    <w:rPr>
      <w:b/>
      <w:bCs/>
      <w:kern w:val="44"/>
      <w:sz w:val="32"/>
      <w:szCs w:val="32"/>
    </w:rPr>
  </w:style>
  <w:style w:type="paragraph" w:styleId="5">
    <w:name w:val="heading 2"/>
    <w:basedOn w:val="1"/>
    <w:next w:val="1"/>
    <w:qFormat/>
    <w:uiPriority w:val="9"/>
    <w:pPr>
      <w:keepNext/>
      <w:keepLines/>
      <w:spacing w:beforeAutospacing="0" w:afterAutospacing="0" w:line="360" w:lineRule="auto"/>
      <w:outlineLvl w:val="1"/>
    </w:pPr>
    <w:rPr>
      <w:rFonts w:ascii="宋体" w:hAnsi="宋体" w:eastAsia="宋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6">
    <w:name w:val="Normal Indent"/>
    <w:basedOn w:val="1"/>
    <w:qFormat/>
    <w:uiPriority w:val="0"/>
    <w:pPr>
      <w:spacing w:before="60"/>
      <w:ind w:firstLine="420" w:firstLineChars="200"/>
    </w:pPr>
  </w:style>
  <w:style w:type="paragraph" w:styleId="7">
    <w:name w:val="Body Text"/>
    <w:basedOn w:val="1"/>
    <w:next w:val="8"/>
    <w:qFormat/>
    <w:uiPriority w:val="1"/>
    <w:rPr>
      <w:rFonts w:ascii="宋体" w:hAnsi="宋体" w:cs="宋体"/>
      <w:sz w:val="18"/>
      <w:szCs w:val="18"/>
      <w:lang w:val="zh-CN" w:bidi="zh-CN"/>
    </w:rPr>
  </w:style>
  <w:style w:type="paragraph" w:customStyle="1" w:styleId="8">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8075</Words>
  <Characters>8284</Characters>
  <Lines>0</Lines>
  <Paragraphs>0</Paragraphs>
  <TotalTime>0</TotalTime>
  <ScaleCrop>false</ScaleCrop>
  <LinksUpToDate>false</LinksUpToDate>
  <CharactersWithSpaces>8871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2025-05-27T11:18:00Z</dcterms:created>
  <dc:creator>潇潇</dc:creator>
  <cp:lastModifiedBy>潇潇</cp:lastModifiedBy>
  <dcterms:modified xsi:type="dcterms:W3CDTF">2025-06-11T07:07:54Z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925C91FB6E5E4E46969C6ACB836977BC_13</vt:lpwstr>
  </property>
  <property fmtid="{D5CDD505-2E9C-101B-9397-08002B2CF9AE}" pid="4" name="KSOTemplateDocerSaveRecord">
    <vt:lpwstr>eyJoZGlkIjoiOTMxODExNzVmYWE2MGZjODQwZDhlN2VmMWM0MGYwMDYiLCJ1c2VySWQiOiIzNjEzOTYwOTIifQ==</vt:lpwstr>
  </property>
</Properties>
</file>