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2025年海南省适龄女生HPV疫苗采购项目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2.3供应商完成响应文件编制后，应按照谈判文件第六章明确的签章要求，使用互认的证书及签章对响应文件进行电子签章和加密。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谈判文件澄清或者修改的内容可能影响谈判文件编制的，代理机构将重新发布澄清或者修改后的谈判文件，供应商应重新获取澄清或者修改后的谈判文件，按照澄清或者修改后的谈判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备用响应文件（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供应商未按谈判文件要求提供备用响应文件的。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政府采购谈判邀请函</w:t>
      </w:r>
    </w:p>
    <w:p>
      <w:pPr>
        <w:pStyle w:val="null3"/>
        <w:ind w:firstLine="480"/>
        <w:jc w:val="left"/>
      </w:pPr>
      <w:r>
        <w:rPr>
          <w:rFonts w:ascii="仿宋_GB2312" w:hAnsi="仿宋_GB2312" w:cs="仿宋_GB2312" w:eastAsia="仿宋_GB2312"/>
        </w:rPr>
        <w:t>受</w:t>
      </w:r>
      <w:r>
        <w:rPr>
          <w:rFonts w:ascii="仿宋_GB2312" w:hAnsi="仿宋_GB2312" w:cs="仿宋_GB2312" w:eastAsia="仿宋_GB2312"/>
        </w:rPr>
        <w:t>海南省疾病预防控制中心</w:t>
      </w:r>
      <w:r>
        <w:rPr>
          <w:rFonts w:ascii="仿宋_GB2312" w:hAnsi="仿宋_GB2312" w:cs="仿宋_GB2312" w:eastAsia="仿宋_GB2312"/>
        </w:rPr>
        <w:t xml:space="preserve"> 的委托，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2025年海南省适龄女生HPV疫苗采购项目</w:t>
      </w:r>
      <w:r>
        <w:rPr>
          <w:rFonts w:ascii="仿宋_GB2312" w:hAnsi="仿宋_GB2312" w:cs="仿宋_GB2312" w:eastAsia="仿宋_GB2312"/>
        </w:rPr>
        <w:t xml:space="preserve"> 项目进行竞争性谈判采购。 </w:t>
      </w:r>
      <w:r>
        <w:rPr>
          <w:rFonts w:ascii="仿宋_GB2312" w:hAnsi="仿宋_GB2312" w:cs="仿宋_GB2312" w:eastAsia="仿宋_GB2312"/>
        </w:rPr>
        <w:t>现欢迎被采购人及评审专家推荐的供应商前来参加。</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HNTXGP2025-009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2025年海南省适龄女生HPV疫苗采购项目</w:t>
      </w:r>
    </w:p>
    <w:p>
      <w:pPr>
        <w:pStyle w:val="null3"/>
        <w:ind w:firstLine="480"/>
        <w:jc w:val="left"/>
      </w:pPr>
      <w:r>
        <w:rPr>
          <w:rFonts w:ascii="仿宋_GB2312" w:hAnsi="仿宋_GB2312" w:cs="仿宋_GB2312" w:eastAsia="仿宋_GB2312"/>
        </w:rPr>
        <w:t>3.采购方式：竞争性谈判</w:t>
      </w:r>
    </w:p>
    <w:p>
      <w:pPr>
        <w:pStyle w:val="null3"/>
        <w:ind w:firstLine="480"/>
        <w:jc w:val="left"/>
      </w:pPr>
      <w:r>
        <w:rPr>
          <w:rFonts w:ascii="仿宋_GB2312" w:hAnsi="仿宋_GB2312" w:cs="仿宋_GB2312" w:eastAsia="仿宋_GB2312"/>
        </w:rPr>
        <w:t>4.预算金额：</w:t>
      </w:r>
    </w:p>
    <w:p>
      <w:pPr>
        <w:pStyle w:val="null3"/>
        <w:jc w:val="left"/>
      </w:pPr>
      <w:r>
        <w:rPr>
          <w:rFonts w:ascii="仿宋_GB2312" w:hAnsi="仿宋_GB2312" w:cs="仿宋_GB2312" w:eastAsia="仿宋_GB2312"/>
        </w:rPr>
        <w:t>采购包1：3,112,000.00元</w:t>
      </w:r>
      <w:r>
        <w:rPr>
          <w:rFonts w:ascii="仿宋_GB2312" w:hAnsi="仿宋_GB2312" w:cs="仿宋_GB2312" w:eastAsia="仿宋_GB2312"/>
        </w:rPr>
        <w:t>叁佰壹拾壹万贰仟元整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合同签订后按照各市县疾病预防控制机构送货计划交货，具体供货数量、时间要按照合同或各市县疾病预防控制机构的要求。供应商应严格执行各市县疾病预防控制机构的送货计划，保证疫苗的正常供应。</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1.符合《政府采购法》第二十二条规定的条件；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投标人若为经销商的，须提供有效的《药品经营许可证》及制造商（生产厂家）的《药品生产许可证》，所投产品按原国家食品药品监督管理总局颁发的《药品注册管理办法》办理药品注册证并提供《药品注册证》（提供相关证明材料加盖投标人公章）。 2、投标人若为制造商（生产厂家）的，须提供有效的《药品生产许可证》，所投产品按原国家食品药品监督管理总局颁发的《药品注册管理办法》办理药品注册证并提供《药品注册证》（提供相关证明材料加盖投标人公章）。</w:t>
      </w:r>
    </w:p>
    <w:p>
      <w:pPr>
        <w:pStyle w:val="null3"/>
        <w:jc w:val="left"/>
        <w:outlineLvl w:val="2"/>
      </w:pPr>
      <w:r>
        <w:rPr>
          <w:rFonts w:ascii="仿宋_GB2312" w:hAnsi="仿宋_GB2312" w:cs="仿宋_GB2312" w:eastAsia="仿宋_GB2312"/>
          <w:sz w:val="28"/>
          <w:b/>
        </w:rPr>
        <w:t>三、获取谈判文件</w:t>
      </w:r>
    </w:p>
    <w:p>
      <w:pPr>
        <w:pStyle w:val="null3"/>
        <w:ind w:firstLine="480"/>
        <w:jc w:val="left"/>
      </w:pPr>
      <w:r>
        <w:rPr>
          <w:rFonts w:ascii="仿宋_GB2312" w:hAnsi="仿宋_GB2312" w:cs="仿宋_GB2312" w:eastAsia="仿宋_GB2312"/>
        </w:rPr>
        <w:t>1.时间：遵照竞争性谈判公告或更正公告的相关约定（北京时间）。</w:t>
      </w:r>
    </w:p>
    <w:p>
      <w:pPr>
        <w:pStyle w:val="null3"/>
        <w:ind w:firstLine="480"/>
        <w:jc w:val="left"/>
      </w:pPr>
      <w:r>
        <w:rPr>
          <w:rFonts w:ascii="仿宋_GB2312" w:hAnsi="仿宋_GB2312" w:cs="仿宋_GB2312" w:eastAsia="仿宋_GB2312"/>
        </w:rPr>
        <w:t>2.在谈判文件获取期限内，供应商应通过海南省政府采购智慧云平台注册账号（免费注册）并获取谈判文件(登录海南省政府采购智慧云平台进行文件获取)，否则报价响应将被拒绝。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谈判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2.地点：遵照竞争性谈判公告或更正公告的相关约定。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1.时间：遵照竞争性谈判公告或更正公告的相关约定。</w:t>
      </w:r>
    </w:p>
    <w:p>
      <w:pPr>
        <w:pStyle w:val="null3"/>
        <w:ind w:firstLine="480"/>
        <w:jc w:val="left"/>
      </w:pPr>
      <w:r>
        <w:rPr>
          <w:rFonts w:ascii="仿宋_GB2312" w:hAnsi="仿宋_GB2312" w:cs="仿宋_GB2312" w:eastAsia="仿宋_GB2312"/>
        </w:rPr>
        <w:t>2.地点：遵照竞争性谈判公告或更正公告的相关约定。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六、竞争性谈判公告期限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海口市美兰区演丰镇苏民村委会 S201 灵文加线琼文路 168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0898-65315782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left"/>
      </w:pPr>
      <w:r>
        <w:rPr>
          <w:rFonts w:ascii="仿宋_GB2312" w:hAnsi="仿宋_GB2312" w:cs="仿宋_GB2312" w:eastAsia="仿宋_GB2312"/>
        </w:rPr>
        <w:t>2.有关本项目谈判文件的补遗、澄清及变更信息以上述网站公告与下载为准，采购代理机构不再另行通知，谈判文件与更正公告的内容相互矛盾时，以最后发出的更正公告内容为准。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采购包1：3,112,000.00元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谈判保证金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从递交投标文件的截止之日起算 90 日历天内保持有效。投标有效期不足的投标，将被视为无效投标。</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代理服务费收费标准：采购代理服务费以中标（成交）金额为计费基数，按照《海南省物价局关于降低部分招标代理机构服务收费标准的通知》（琼价费管〔2011〕225 号）文件规定的收费标准执行。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采购包1：2名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“采购单位”指谈判文件中所述所有货物及相关服务的甲方。</w:t>
      </w:r>
    </w:p>
    <w:p>
      <w:pPr>
        <w:pStyle w:val="null3"/>
        <w:ind w:firstLine="480"/>
        <w:jc w:val="both"/>
      </w:pPr>
      <w:r>
        <w:rPr>
          <w:rFonts w:ascii="仿宋_GB2312" w:hAnsi="仿宋_GB2312" w:cs="仿宋_GB2312" w:eastAsia="仿宋_GB2312"/>
        </w:rPr>
        <w:t>2.1.3 “货物”是指供应商制造或组织符合谈判文件要求的货物等。谈判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谈判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“供应商”指按谈判文件规定取得谈判文件并参加交易活动谈判的供应商。</w:t>
      </w:r>
    </w:p>
    <w:p>
      <w:pPr>
        <w:pStyle w:val="null3"/>
        <w:ind w:firstLine="480"/>
        <w:jc w:val="both"/>
      </w:pPr>
      <w:r>
        <w:rPr>
          <w:rFonts w:ascii="仿宋_GB2312" w:hAnsi="仿宋_GB2312" w:cs="仿宋_GB2312" w:eastAsia="仿宋_GB2312"/>
        </w:rPr>
        <w:t>2.1.6 “成交人”是指经谈判小组评审，授予合同的供应商。</w:t>
      </w:r>
    </w:p>
    <w:p>
      <w:pPr>
        <w:pStyle w:val="null3"/>
        <w:ind w:firstLine="480"/>
        <w:jc w:val="both"/>
      </w:pPr>
      <w:r>
        <w:rPr>
          <w:rFonts w:ascii="仿宋_GB2312" w:hAnsi="仿宋_GB2312" w:cs="仿宋_GB2312" w:eastAsia="仿宋_GB2312"/>
        </w:rPr>
        <w:t>2.1.7 谈判文件中涉及的时间均为北京时间。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适用于谈判文件载明项目的政府采购活动（以下简称：“本次采购活动”）。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如供应商是银行、保险、石油石化、电力、电信行业的，分支机构可参与本项目的政府采购活动。谈判文件中涉及要求提供“法定代表人”相关证明材料的，提供分支机构“负责人”的相关证明材料。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政府采购谈判邀请函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2.4谈判费用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2.4.2不论谈判结果如何，供应商应自行承担其准备和参加本次采购活动所涉及的一切费用。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现场考察（如有），采购单位应在规定的时间、地点组织已报名的潜在供应商进行现场考察。（组织时间、地点、联系人、联系电话：遵照竞争性谈判公告或更正公告的相关约定。）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答疑会（如有），采购单位应在规定的时间、地点组织已报名的潜在供应商召开答疑会。（组织时间、地点、联系人、联系电话：遵照竞争性谈判公告或更正公告的相关约定。）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三、谈判文件</w:t>
      </w:r>
    </w:p>
    <w:p>
      <w:pPr>
        <w:pStyle w:val="null3"/>
        <w:ind w:firstLine="480"/>
        <w:jc w:val="both"/>
      </w:pPr>
      <w:r>
        <w:rPr>
          <w:rFonts w:ascii="仿宋_GB2312" w:hAnsi="仿宋_GB2312" w:cs="仿宋_GB2312" w:eastAsia="仿宋_GB2312"/>
        </w:rPr>
        <w:t>3.1谈判文件的组成</w:t>
      </w:r>
    </w:p>
    <w:p>
      <w:pPr>
        <w:pStyle w:val="null3"/>
        <w:ind w:firstLine="480"/>
        <w:jc w:val="both"/>
      </w:pPr>
      <w:r>
        <w:rPr>
          <w:rFonts w:ascii="仿宋_GB2312" w:hAnsi="仿宋_GB2312" w:cs="仿宋_GB2312" w:eastAsia="仿宋_GB2312"/>
        </w:rPr>
        <w:t>3.1.1谈判文件由六部分组成，包括：</w:t>
      </w:r>
    </w:p>
    <w:p>
      <w:pPr>
        <w:pStyle w:val="null3"/>
        <w:ind w:firstLine="480"/>
        <w:jc w:val="both"/>
      </w:pPr>
      <w:r>
        <w:rPr>
          <w:rFonts w:ascii="仿宋_GB2312" w:hAnsi="仿宋_GB2312" w:cs="仿宋_GB2312" w:eastAsia="仿宋_GB2312"/>
        </w:rPr>
        <w:t>第一章 政府采购谈判邀请函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3.1.2供应商被视为充分熟悉本采购项目所在地的与履行合同有关的各种情况，包括自然环境、气候条件、劳动力及公用设施等，本谈判文件不再对上述情况进行描述。</w:t>
      </w:r>
    </w:p>
    <w:p>
      <w:pPr>
        <w:pStyle w:val="null3"/>
        <w:ind w:firstLine="480"/>
        <w:jc w:val="both"/>
      </w:pPr>
      <w:r>
        <w:rPr>
          <w:rFonts w:ascii="仿宋_GB2312" w:hAnsi="仿宋_GB2312" w:cs="仿宋_GB2312" w:eastAsia="仿宋_GB2312"/>
        </w:rPr>
        <w:t>3.1.3 供应商必须详阅谈判文件的所有条款、文件及表格格式。供应商若未按谈判文件的要求和规范编制、提交响应文件，将有可能导致响应文件被拒绝接受，所造成的负面后果由供应商负责。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3.2谈判文件的澄清和修改</w:t>
      </w:r>
    </w:p>
    <w:p>
      <w:pPr>
        <w:pStyle w:val="null3"/>
        <w:ind w:firstLine="480"/>
        <w:jc w:val="both"/>
      </w:pPr>
      <w:r>
        <w:rPr>
          <w:rFonts w:ascii="仿宋_GB2312" w:hAnsi="仿宋_GB2312" w:cs="仿宋_GB2312" w:eastAsia="仿宋_GB2312"/>
        </w:rPr>
        <w:t>3.2.1供应商应仔细阅读和检查谈判文件的全部内容。如发现缺项或谈判文件构成要件不全，应及时向采购代理机构提出，以便获得文件补全。</w:t>
      </w:r>
    </w:p>
    <w:p>
      <w:pPr>
        <w:pStyle w:val="null3"/>
        <w:ind w:firstLine="480"/>
        <w:jc w:val="both"/>
      </w:pPr>
      <w:r>
        <w:rPr>
          <w:rFonts w:ascii="仿宋_GB2312" w:hAnsi="仿宋_GB2312" w:cs="仿宋_GB2312" w:eastAsia="仿宋_GB2312"/>
        </w:rPr>
        <w:t>3.2.2谈判文件发出后，采购代理机构和采购单位可以对谈判文件进行澄清和修改。澄清和修改的内容{{采购代理机构名称}}将以法定网站上公告的方式通知。（网址详见政府采购谈判邀请函）</w:t>
      </w:r>
    </w:p>
    <w:p>
      <w:pPr>
        <w:pStyle w:val="null3"/>
        <w:ind w:firstLine="480"/>
        <w:jc w:val="both"/>
      </w:pPr>
      <w:r>
        <w:rPr>
          <w:rFonts w:ascii="仿宋_GB2312" w:hAnsi="仿宋_GB2312" w:cs="仿宋_GB2312" w:eastAsia="仿宋_GB2312"/>
        </w:rPr>
        <w:t>3.2.3当谈判文件、更正公告等内容相互矛盾时，以最后发出的更正公告为准。</w:t>
      </w:r>
    </w:p>
    <w:p>
      <w:pPr>
        <w:pStyle w:val="null3"/>
        <w:ind w:firstLine="480"/>
        <w:jc w:val="both"/>
      </w:pPr>
      <w:r>
        <w:rPr>
          <w:rFonts w:ascii="仿宋_GB2312" w:hAnsi="仿宋_GB2312" w:cs="仿宋_GB2312" w:eastAsia="仿宋_GB2312"/>
        </w:rPr>
        <w:t>3.2.4谈判文件的澄清和更正内容是谈判文件的组成部分，对供应商具有约束力,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4.3谈判保证金（如有）</w:t>
      </w:r>
    </w:p>
    <w:p>
      <w:pPr>
        <w:pStyle w:val="null3"/>
        <w:ind w:firstLine="480"/>
        <w:jc w:val="both"/>
      </w:pPr>
      <w:r>
        <w:rPr>
          <w:rFonts w:ascii="仿宋_GB2312" w:hAnsi="仿宋_GB2312" w:cs="仿宋_GB2312" w:eastAsia="仿宋_GB2312"/>
        </w:rPr>
        <w:t>4.3.1谈判保证金是参加本项目谈判的必要条件，保证金到账截止时间即提交响应文件截止时间（具体时间详见“第一章 政府采购谈判邀请函”）。</w:t>
      </w:r>
    </w:p>
    <w:p>
      <w:pPr>
        <w:pStyle w:val="null3"/>
        <w:ind w:firstLine="480"/>
        <w:jc w:val="both"/>
      </w:pPr>
      <w:r>
        <w:rPr>
          <w:rFonts w:ascii="仿宋_GB2312" w:hAnsi="仿宋_GB2312" w:cs="仿宋_GB2312" w:eastAsia="仿宋_GB2312"/>
        </w:rPr>
        <w:t>4.3.2谈判保证金缴纳方式：</w:t>
      </w:r>
    </w:p>
    <w:p>
      <w:pPr>
        <w:pStyle w:val="null3"/>
        <w:ind w:firstLine="480"/>
        <w:jc w:val="both"/>
      </w:pPr>
      <w:r>
        <w:rPr>
          <w:rFonts w:ascii="仿宋_GB2312" w:hAnsi="仿宋_GB2312" w:cs="仿宋_GB2312" w:eastAsia="仿宋_GB2312"/>
        </w:rPr>
        <w:t>4.3.2.1 供应商以汇款形式缴纳谈判保证金的，应从其银行账户（基本存款账户）按照下列方式：公对公转账方式向谈判文件载明的谈判保证金账户提交谈判保证金。</w:t>
      </w:r>
    </w:p>
    <w:p>
      <w:pPr>
        <w:pStyle w:val="null3"/>
        <w:ind w:firstLine="480"/>
        <w:jc w:val="both"/>
      </w:pPr>
      <w:r>
        <w:rPr>
          <w:rFonts w:ascii="仿宋_GB2312" w:hAnsi="仿宋_GB2312" w:cs="仿宋_GB2312" w:eastAsia="仿宋_GB2312"/>
        </w:rPr>
        <w:t>4.3.2.2 供应商以电子保函形式提交谈判保证金的，可在谈判文件载明的响应截止时间前通过海南省政府采购智慧云平台“保函服务”栏目办理电子保函并在电汇或银行转账单上注明（项目编号）；在响应截止时间之前将电子保函文件放入响应文件中，否则视为未提交谈判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若本项目接受联合体参与且供应商为联合体，则联合体中的牵头方应按照本章第4.3.2条第4.3.2.1、4.3.2.2点规定提交谈判保证金。</w:t>
      </w:r>
    </w:p>
    <w:p>
      <w:pPr>
        <w:pStyle w:val="null3"/>
        <w:ind w:firstLine="480"/>
        <w:jc w:val="both"/>
      </w:pPr>
      <w:r>
        <w:rPr>
          <w:rFonts w:ascii="仿宋_GB2312" w:hAnsi="仿宋_GB2312" w:cs="仿宋_GB2312" w:eastAsia="仿宋_GB2312"/>
        </w:rPr>
        <w:t>4.3.3若供应商不按规定提交谈判保证金，其响应文件将被拒绝接收。</w:t>
      </w:r>
    </w:p>
    <w:p>
      <w:pPr>
        <w:pStyle w:val="null3"/>
        <w:ind w:firstLine="480"/>
        <w:jc w:val="both"/>
      </w:pPr>
      <w:r>
        <w:rPr>
          <w:rFonts w:ascii="仿宋_GB2312" w:hAnsi="仿宋_GB2312" w:cs="仿宋_GB2312" w:eastAsia="仿宋_GB2312"/>
        </w:rPr>
        <w:t>4.4谈判保证金的退还</w:t>
      </w:r>
    </w:p>
    <w:p>
      <w:pPr>
        <w:pStyle w:val="null3"/>
        <w:ind w:firstLine="480"/>
        <w:jc w:val="both"/>
      </w:pPr>
      <w:r>
        <w:rPr>
          <w:rFonts w:ascii="仿宋_GB2312" w:hAnsi="仿宋_GB2312" w:cs="仿宋_GB2312" w:eastAsia="仿宋_GB2312"/>
        </w:rPr>
        <w:t>4.4.1成交供应商的谈判保证金在其与采购人签订了采购合同之日起5个工作日内无息退还。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4.4.2未成交的供应商的谈判保证金将在成交通知书发出之日起5个工作日内无息退还。</w:t>
      </w:r>
    </w:p>
    <w:p>
      <w:pPr>
        <w:pStyle w:val="null3"/>
        <w:ind w:firstLine="480"/>
        <w:jc w:val="both"/>
      </w:pPr>
      <w:r>
        <w:rPr>
          <w:rFonts w:ascii="仿宋_GB2312" w:hAnsi="仿宋_GB2312" w:cs="仿宋_GB2312" w:eastAsia="仿宋_GB2312"/>
        </w:rPr>
        <w:t>4.4.3发生下列情况之一，谈判保证金将不予退还：</w:t>
      </w:r>
    </w:p>
    <w:p>
      <w:pPr>
        <w:pStyle w:val="null3"/>
        <w:ind w:firstLine="480"/>
        <w:jc w:val="both"/>
      </w:pPr>
      <w:r>
        <w:rPr>
          <w:rFonts w:ascii="仿宋_GB2312" w:hAnsi="仿宋_GB2312" w:cs="仿宋_GB2312" w:eastAsia="仿宋_GB2312"/>
        </w:rPr>
        <w:t>（1）供应商在规定的谈判有效期内撤销或修改其响应文件的；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（5）向采购人、采购机构、谈判小组成员行贿或者提供其他不正当利益的；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4.5谈判有效期</w:t>
      </w:r>
    </w:p>
    <w:p>
      <w:pPr>
        <w:pStyle w:val="null3"/>
        <w:ind w:firstLine="480"/>
        <w:jc w:val="both"/>
      </w:pPr>
      <w:r>
        <w:rPr>
          <w:rFonts w:ascii="仿宋_GB2312" w:hAnsi="仿宋_GB2312" w:cs="仿宋_GB2312" w:eastAsia="仿宋_GB2312"/>
        </w:rPr>
        <w:t>4.5.l 谈判有效期为从递交响应文件的截止之日起，详见第二章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谈判有效期满之前，征得供应商同意延长谈判有效期，要求与答复均应以书面形式进行。供应商可以拒绝接受这一要求而放弃报价，谈判保证金将在规定期限内无息退还。同意这一要求的供应商，无需也不允许修改其响应文件，但须相应延长谈判有效期。受谈判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供应商应在响应文件中提供证明其所投货物、服务的合格性和符合谈判文件规定的相关证明文件。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谈判文件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4.6.4谈判文件中《报价表》、《明细报价表》（若有）、《技术响应表》、《商务响应表》等要求盖章的文件需单位加盖公章。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4.6.5响应文件中的《法定代表人资格证明书》和《法定代表人授权委托书》（若有）除了需加盖单位公章外，还需法定代表人签名或盖章。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政府采购谈判邀请函”。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六、谈判</w:t>
      </w:r>
    </w:p>
    <w:p>
      <w:pPr>
        <w:pStyle w:val="null3"/>
        <w:ind w:firstLine="480"/>
        <w:jc w:val="both"/>
      </w:pPr>
      <w:r>
        <w:rPr>
          <w:rFonts w:ascii="仿宋_GB2312" w:hAnsi="仿宋_GB2312" w:cs="仿宋_GB2312" w:eastAsia="仿宋_GB2312"/>
        </w:rPr>
        <w:t>6.1谈判时间和地点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 推迟了谈判时间（即递交响应文件截止时间），应以公告的形式通知所有供应商。在这种情况下，供应商的权利和义务均应以新的截止时间为准。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6.1.4采购代理机构将按照竞争性谈判公告或更正公告约定的谈判形式、谈判时间进行谈判。开启会的主持人、记录人及其他工作人员（若有）均由采购代理机构 派出，现场监督人员（若有）可由有关方面派出。谈判小组成员不得参加开启活动。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6.1.6供应商到现场参加谈判，供应商应派其法定代表人或其授权代表准时参加谈判会，并代表供应商进行签到、文件解密等工作，否则将导致响应无效。</w:t>
      </w:r>
    </w:p>
    <w:p>
      <w:pPr>
        <w:pStyle w:val="null3"/>
        <w:ind w:firstLine="480"/>
        <w:jc w:val="both"/>
      </w:pPr>
      <w:r>
        <w:rPr>
          <w:rFonts w:ascii="仿宋_GB2312" w:hAnsi="仿宋_GB2312" w:cs="仿宋_GB2312" w:eastAsia="仿宋_GB2312"/>
        </w:rPr>
        <w:t>6.1.7出席谈判现场的人员必须携带本人身份证。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6.2谈判程序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1）在竞争性谈判公告或更正公告规定的时间进开启，由主持人宣布开启会须知，然后由供应商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（6）谈判小组对供应商递交的响应文件进行初审。</w:t>
      </w:r>
    </w:p>
    <w:p>
      <w:pPr>
        <w:pStyle w:val="null3"/>
        <w:ind w:firstLine="480"/>
        <w:jc w:val="both"/>
      </w:pPr>
      <w:r>
        <w:rPr>
          <w:rFonts w:ascii="仿宋_GB2312" w:hAnsi="仿宋_GB2312" w:cs="仿宋_GB2312" w:eastAsia="仿宋_GB2312"/>
        </w:rPr>
        <w:t>（7）谈判小组与初审合格的供应商进行一对一谈判。</w:t>
      </w:r>
    </w:p>
    <w:p>
      <w:pPr>
        <w:pStyle w:val="null3"/>
        <w:ind w:firstLine="480"/>
        <w:jc w:val="both"/>
      </w:pPr>
      <w:r>
        <w:rPr>
          <w:rFonts w:ascii="仿宋_GB2312" w:hAnsi="仿宋_GB2312" w:cs="仿宋_GB2312" w:eastAsia="仿宋_GB2312"/>
        </w:rPr>
        <w:t>（8）供应商根据每轮谈判要求，修改并递交其响应文件以响应谈判。</w:t>
      </w:r>
    </w:p>
    <w:p>
      <w:pPr>
        <w:pStyle w:val="null3"/>
        <w:ind w:firstLine="480"/>
        <w:jc w:val="both"/>
      </w:pPr>
      <w:r>
        <w:rPr>
          <w:rFonts w:ascii="仿宋_GB2312" w:hAnsi="仿宋_GB2312" w:cs="仿宋_GB2312" w:eastAsia="仿宋_GB2312"/>
        </w:rPr>
        <w:t>（9）谈判小组按照谈判文件中规定的评审要求对供应商进行评审。</w:t>
      </w:r>
    </w:p>
    <w:p>
      <w:pPr>
        <w:pStyle w:val="null3"/>
        <w:ind w:firstLine="480"/>
        <w:jc w:val="both"/>
      </w:pPr>
      <w:r>
        <w:rPr>
          <w:rFonts w:ascii="仿宋_GB2312" w:hAnsi="仿宋_GB2312" w:cs="仿宋_GB2312" w:eastAsia="仿宋_GB2312"/>
        </w:rPr>
        <w:t>（10）谈判小组推荐成交顺序，提交评审报告，评审结束。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6.3出现下列情形之一的，将导致供应商本次谈判无效。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（2）相关人员未按时进行谈判签到的；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（4）未按谈判文件要求提交保证金的；</w:t>
      </w:r>
    </w:p>
    <w:p>
      <w:pPr>
        <w:pStyle w:val="null3"/>
        <w:ind w:firstLine="480"/>
        <w:jc w:val="both"/>
      </w:pPr>
      <w:r>
        <w:rPr>
          <w:rFonts w:ascii="仿宋_GB2312" w:hAnsi="仿宋_GB2312" w:cs="仿宋_GB2312" w:eastAsia="仿宋_GB2312"/>
        </w:rPr>
        <w:t>（5）谈判有效期不足的；</w:t>
      </w:r>
    </w:p>
    <w:p>
      <w:pPr>
        <w:pStyle w:val="null3"/>
        <w:ind w:firstLine="480"/>
        <w:jc w:val="both"/>
      </w:pPr>
      <w:r>
        <w:rPr>
          <w:rFonts w:ascii="仿宋_GB2312" w:hAnsi="仿宋_GB2312" w:cs="仿宋_GB2312" w:eastAsia="仿宋_GB2312"/>
        </w:rPr>
        <w:t>（6）响应文件未按谈判文件规定要求及给定的格式填写、签署及盖章的；</w:t>
      </w:r>
    </w:p>
    <w:p>
      <w:pPr>
        <w:pStyle w:val="null3"/>
        <w:ind w:firstLine="480"/>
        <w:jc w:val="both"/>
      </w:pPr>
      <w:r>
        <w:rPr>
          <w:rFonts w:ascii="仿宋_GB2312" w:hAnsi="仿宋_GB2312" w:cs="仿宋_GB2312" w:eastAsia="仿宋_GB2312"/>
        </w:rPr>
        <w:t>（7）报价超过谈判文件中规定的预算金额或者最高限价的；</w:t>
      </w:r>
    </w:p>
    <w:p>
      <w:pPr>
        <w:pStyle w:val="null3"/>
        <w:ind w:firstLine="480"/>
        <w:jc w:val="both"/>
      </w:pPr>
      <w:r>
        <w:rPr>
          <w:rFonts w:ascii="仿宋_GB2312" w:hAnsi="仿宋_GB2312" w:cs="仿宋_GB2312" w:eastAsia="仿宋_GB2312"/>
        </w:rPr>
        <w:t>（8）谈判小组认为供应商的报价明显低于其他通过符合性审查供应商，有可能影响产品质量或者不能诚信履约的，且供应商不能按谈判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竞争性谈判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竞争性谈判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（10）不满足谈判文件中规定的其他实质性要求和条件的；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（12）属于谈判文件中规定的串通行为的情形的；</w:t>
      </w:r>
    </w:p>
    <w:p>
      <w:pPr>
        <w:pStyle w:val="null3"/>
        <w:ind w:firstLine="480"/>
        <w:jc w:val="both"/>
      </w:pPr>
      <w:r>
        <w:rPr>
          <w:rFonts w:ascii="仿宋_GB2312" w:hAnsi="仿宋_GB2312" w:cs="仿宋_GB2312" w:eastAsia="仿宋_GB2312"/>
        </w:rPr>
        <w:t>（13）法律、法规和谈判文件规定的其他无效情形。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6.4.1谈判小组查询供应商的信用记录。供应商存在不良信用记录的，将被认定为响应无效。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t>
      </w:r>
    </w:p>
    <w:p>
      <w:pPr>
        <w:pStyle w:val="null3"/>
        <w:ind w:firstLine="480"/>
        <w:jc w:val="both"/>
      </w:pPr>
      <w:r>
        <w:rPr>
          <w:rFonts w:ascii="仿宋_GB2312" w:hAnsi="仿宋_GB2312" w:cs="仿宋_GB2312" w:eastAsia="仿宋_GB2312"/>
        </w:rPr>
        <w:t>（www.creditchina.gov.cn）被列入失信被执行人、重大税收违法失信主体，或在中国政府采购网（www.ccgp.gov.cn）被列入政府采购严重违法失信行为记录名单。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以联合体形式参加谈判的，联合体任何成员存在以上不良信用记录的，将被认定为响应无效。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供应商不良信用记录以谈判小组查询结果为准。</w:t>
      </w:r>
    </w:p>
    <w:p>
      <w:pPr>
        <w:pStyle w:val="null3"/>
        <w:ind w:firstLine="480"/>
        <w:jc w:val="both"/>
      </w:pPr>
      <w:r>
        <w:rPr>
          <w:rFonts w:ascii="仿宋_GB2312" w:hAnsi="仿宋_GB2312" w:cs="仿宋_GB2312" w:eastAsia="仿宋_GB2312"/>
        </w:rPr>
        <w:t>在本谈判文件规定的查询时间之后，网站信息发生的任何变更均不再作为评审依据。供应商自行提供的与网站信息不一致的其他证明材料亦不作为资格审查的依据。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7.1谈判小组</w:t>
      </w:r>
    </w:p>
    <w:p>
      <w:pPr>
        <w:pStyle w:val="null3"/>
        <w:ind w:firstLine="480"/>
        <w:jc w:val="both"/>
      </w:pPr>
      <w:r>
        <w:rPr>
          <w:rFonts w:ascii="仿宋_GB2312" w:hAnsi="仿宋_GB2312" w:cs="仿宋_GB2312" w:eastAsia="仿宋_GB2312"/>
        </w:rPr>
        <w:t>谈判小组由采购人代表和有关专家共三人以上的单数组成。谈判小组负责具体评审事务，根据有关法律法规和谈判文件规定独立履行谈判小组职责。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7.2.2评审方法：谈判小组从质量和服务均能满足谈判文件实质性响应要求的供应商中，按照报价由低到高的顺序提出3名以上成交候选人。</w:t>
      </w:r>
    </w:p>
    <w:p>
      <w:pPr>
        <w:pStyle w:val="null3"/>
        <w:ind w:firstLine="480"/>
        <w:jc w:val="both"/>
      </w:pPr>
      <w:r>
        <w:rPr>
          <w:rFonts w:ascii="仿宋_GB2312" w:hAnsi="仿宋_GB2312" w:cs="仿宋_GB2312" w:eastAsia="仿宋_GB2312"/>
        </w:rPr>
        <w:t>7.2.3 评审过程的分为文件初审、澄清（如需）、谈判、推荐成交候选供应商。</w:t>
      </w:r>
    </w:p>
    <w:p>
      <w:pPr>
        <w:pStyle w:val="null3"/>
        <w:ind w:firstLine="480"/>
        <w:jc w:val="both"/>
      </w:pPr>
      <w:r>
        <w:rPr>
          <w:rFonts w:ascii="仿宋_GB2312" w:hAnsi="仿宋_GB2312" w:cs="仿宋_GB2312" w:eastAsia="仿宋_GB2312"/>
        </w:rPr>
        <w:t>7.2.4评审中如有未考虑到的问题，由谈判小组集体研究处理。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谈判小组将根据谈判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7.3.2谈判小组将只根据响应文件本身的内容做出独立判断，而不需寻求其他外部证据。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7.3.3通过初步评审的供应商不足三家的，按废标处理。（根据《政府采购非招标采购方式管理办法》第二十七条第二款规定，经财政部门批准可以与两家供应商进行谈判采购的，从其规定）。</w:t>
      </w:r>
    </w:p>
    <w:p>
      <w:pPr>
        <w:pStyle w:val="null3"/>
        <w:ind w:firstLine="480"/>
        <w:jc w:val="both"/>
      </w:pPr>
      <w:r>
        <w:rPr>
          <w:rFonts w:ascii="仿宋_GB2312" w:hAnsi="仿宋_GB2312" w:cs="仿宋_GB2312" w:eastAsia="仿宋_GB2312"/>
        </w:rPr>
        <w:t>7.3.4提供相同品牌产品的不同供应商参加同一合同项下谈判的，按一家供应商计算。非单一产品采购项目，多家供应商提供的核心产品品牌相同的，按一家供应商计算。核心产品详见“采购需求”。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7.3.5在评审过程中，谈判小组发现供应商有下列表现形式之一的，可以认定属于串通行为，其响应无效，具体表现形式如下：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（4）不同供应商委托同一单位或者个人办理谈判事宜；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谈判小组对于响应文件中含义不明确、同类问题表述不一致或者有明显文字和计算错误的内容或数据，可要求供应商在规定的时限内做出必要的澄清、说明或者补正。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谈判</w:t>
      </w:r>
    </w:p>
    <w:p>
      <w:pPr>
        <w:pStyle w:val="null3"/>
        <w:ind w:firstLine="480"/>
        <w:jc w:val="both"/>
      </w:pPr>
      <w:r>
        <w:rPr>
          <w:rFonts w:ascii="仿宋_GB2312" w:hAnsi="仿宋_GB2312" w:cs="仿宋_GB2312" w:eastAsia="仿宋_GB2312"/>
        </w:rPr>
        <w:t>7.5.1在谈判过程中谈判的任何一方不得向他人透露与谈判有关的技术资料、价格或其他信息。</w:t>
      </w:r>
    </w:p>
    <w:p>
      <w:pPr>
        <w:pStyle w:val="null3"/>
        <w:ind w:firstLine="480"/>
        <w:jc w:val="both"/>
      </w:pPr>
      <w:r>
        <w:rPr>
          <w:rFonts w:ascii="仿宋_GB2312" w:hAnsi="仿宋_GB2312" w:cs="仿宋_GB2312" w:eastAsia="仿宋_GB2312"/>
        </w:rPr>
        <w:t>7.5.2在谈判过程中，谈判小组可以根据谈判文件和谈判情况实质性变动采购需求中的技术、服务要求以及合同文本条款，但不得变动谈判文件中的其他内容。实质性变动的内容，须经采购人代表确认，谈判小组须以书面形式同时通知所有参加谈判的供应商。供应商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7.5.3谈判文件能够详细列明采购标的的技术、服务要求的，谈判结束后，谈判小组要求所有继续参加谈判的供应商在规定的时间内书面提出最后报价。</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谈判结束后，谈判小组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超出规定时间没有提交最后报价的供应商，视为放弃最后报价。</w:t>
      </w:r>
    </w:p>
    <w:p>
      <w:pPr>
        <w:pStyle w:val="null3"/>
        <w:ind w:firstLine="480"/>
        <w:jc w:val="both"/>
      </w:pPr>
      <w:r>
        <w:rPr>
          <w:rFonts w:ascii="仿宋_GB2312" w:hAnsi="仿宋_GB2312" w:cs="仿宋_GB2312" w:eastAsia="仿宋_GB2312"/>
        </w:rPr>
        <w:t>7.5.4对小型或微型企业的扶持（监狱企业、残疾人福利性单位视同小型、微型企业）：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7.5.5节能产品、环境标志产品的落实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7.5.6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谈判小组依据评审情况及谈判结果，按各供应商报价（小型或微型企业、节能或环保产品用扣除后的报价参与评审）由低到高的顺序向采购单位推荐三名以上成交候选供应商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7.7.2采购代理机构依据确认结果，在“第一章 政府采购谈判邀请函”中规定的信息发布媒体上发布成交公告。</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 xml:space="preserve">8.1.l 根据确定的成交结果， </w:t>
      </w:r>
      <w:r>
        <w:rPr>
          <w:rFonts w:ascii="仿宋_GB2312" w:hAnsi="仿宋_GB2312" w:cs="仿宋_GB2312" w:eastAsia="仿宋_GB2312"/>
        </w:rPr>
        <w:t>海南天行招投标有限公司</w:t>
      </w:r>
      <w:r>
        <w:rPr>
          <w:rFonts w:ascii="仿宋_GB2312" w:hAnsi="仿宋_GB2312" w:cs="仿宋_GB2312" w:eastAsia="仿宋_GB2312"/>
        </w:rPr>
        <w:t xml:space="preserve"> 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谈判保证金不予退还，给采购单位造成的损失超过谈判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w:t>
      </w:r>
    </w:p>
    <w:p>
      <w:pPr>
        <w:pStyle w:val="null3"/>
        <w:ind w:firstLine="480"/>
        <w:jc w:val="both"/>
      </w:pPr>
      <w:r>
        <w:rPr>
          <w:rFonts w:ascii="仿宋_GB2312" w:hAnsi="仿宋_GB2312" w:cs="仿宋_GB2312" w:eastAsia="仿宋_GB2312"/>
        </w:rPr>
        <w:t>8.3.2 采购单位应当自成交通知书发出后规定的时间内，按照谈判文件和成交供应商响应文件的约定，与成交供应商签订政府采购合同。所签政府采购合同不得对谈判文件和成交供应商的响应文件作实质性修改。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成交供应商应按成交通知书规定的时间、地点与采购单位签订成交合同,否则谈判保证金将不予退还，给采购人和采购代理机构造成损失的，供应商还应承担赔偿责任。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政府采购活动过程中需对外发布的信息均统一发布在指定的信息发布媒体上，供应商可从本谈判文件“第一章 政府采购谈判邀请函”中指定的信息发布媒体获取信息。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谈判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谈判小组成员不得收受他人的财物或者其他好处，不得向他人透漏对响应文件的评审和比较、成交候选人的推荐情况以及评审有关的其他情况；在评审活动中，谈判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9.4.1供应商认为谈判文件、谈判过程和成交结果使自己的权益受到损害的，可以在知道或者应知其权益受到损害之日起7个工作日内，以书面形式向采购代理机构提出质疑。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地址：海南省海口市龙华区海运路20号宝岛花园211号商铺</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(4)供应商不遵守谈判会场纪律,扰乱政府采购秩序的;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谈判控制价</w:t>
      </w:r>
    </w:p>
    <w:p>
      <w:pPr>
        <w:pStyle w:val="null3"/>
        <w:ind w:firstLine="480"/>
        <w:jc w:val="both"/>
      </w:pPr>
      <w:r>
        <w:rPr>
          <w:rFonts w:ascii="仿宋_GB2312" w:hAnsi="仿宋_GB2312" w:cs="仿宋_GB2312" w:eastAsia="仿宋_GB2312"/>
        </w:rPr>
        <w:t>谈判文件中规定的最高限价为谈判控制价；如未规定最高限价的，则项目预算金额为谈判控制价。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谈判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谈判文件的各个组成文件应互为解释，互为说明；如有不明确或不一致，构成合同文件组成内容的，以合同文件约定内容为准；除谈判文件中有特别规定外，仅适用于谈判阶段的规定，按竞争性谈判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2025年海南省适龄女生HPV疫苗采购项目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采购单位</w:t>
      </w:r>
      <w:r>
        <w:rPr>
          <w:rFonts w:ascii="仿宋_GB2312" w:hAnsi="仿宋_GB2312" w:cs="仿宋_GB2312" w:eastAsia="仿宋_GB2312"/>
          <w:sz w:val="24"/>
        </w:rPr>
        <w:t>：</w:t>
      </w:r>
      <w:r>
        <w:rPr>
          <w:rFonts w:ascii="仿宋_GB2312" w:hAnsi="仿宋_GB2312" w:cs="仿宋_GB2312" w:eastAsia="仿宋_GB2312"/>
          <w:sz w:val="24"/>
        </w:rPr>
        <w:t>海南省疾病预防控制中心</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交货地点</w:t>
      </w:r>
      <w:r>
        <w:rPr>
          <w:rFonts w:ascii="仿宋_GB2312" w:hAnsi="仿宋_GB2312" w:cs="仿宋_GB2312" w:eastAsia="仿宋_GB2312"/>
          <w:sz w:val="24"/>
        </w:rPr>
        <w:t>：</w:t>
      </w:r>
      <w:r>
        <w:rPr>
          <w:rFonts w:ascii="仿宋_GB2312" w:hAnsi="仿宋_GB2312" w:cs="仿宋_GB2312" w:eastAsia="仿宋_GB2312"/>
          <w:sz w:val="24"/>
        </w:rPr>
        <w:t>采购人指定地点</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3,112,000.00</w:t>
      </w:r>
    </w:p>
    <w:p>
      <w:pPr>
        <w:pStyle w:val="null3"/>
        <w:jc w:val="left"/>
      </w:pPr>
      <w:r>
        <w:rPr>
          <w:rFonts w:ascii="仿宋_GB2312" w:hAnsi="仿宋_GB2312" w:cs="仿宋_GB2312" w:eastAsia="仿宋_GB2312"/>
        </w:rPr>
        <w:t>采购包最高限价（元）: 3,112,000.00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A07025999-其他人用疫苗</w:t>
            </w:r>
          </w:p>
        </w:tc>
        <w:tc>
          <w:tcPr>
            <w:tcW w:type="dxa" w:w="831"/>
          </w:tcPr>
          <w:p>
            <w:pPr>
              <w:pStyle w:val="null3"/>
              <w:jc w:val="right"/>
            </w:pPr>
            <w:r>
              <w:rPr>
                <w:rFonts w:ascii="仿宋_GB2312" w:hAnsi="仿宋_GB2312" w:cs="仿宋_GB2312" w:eastAsia="仿宋_GB2312"/>
              </w:rPr>
              <w:t>77,800.00</w:t>
            </w:r>
          </w:p>
        </w:tc>
        <w:tc>
          <w:tcPr>
            <w:tcW w:type="dxa" w:w="831"/>
          </w:tcPr>
          <w:p>
            <w:pPr>
              <w:pStyle w:val="null3"/>
              <w:jc w:val="right"/>
            </w:pPr>
            <w:r>
              <w:rPr>
                <w:rFonts w:ascii="仿宋_GB2312" w:hAnsi="仿宋_GB2312" w:cs="仿宋_GB2312" w:eastAsia="仿宋_GB2312"/>
              </w:rPr>
              <w:t>3,112,000.00</w:t>
            </w:r>
          </w:p>
        </w:tc>
        <w:tc>
          <w:tcPr>
            <w:tcW w:type="dxa" w:w="831"/>
          </w:tcPr>
          <w:p>
            <w:pPr>
              <w:pStyle w:val="null3"/>
              <w:jc w:val="left"/>
            </w:pPr>
            <w:r>
              <w:rPr>
                <w:rFonts w:ascii="仿宋_GB2312" w:hAnsi="仿宋_GB2312" w:cs="仿宋_GB2312" w:eastAsia="仿宋_GB2312"/>
              </w:rPr>
              <w:t>剂</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A07025999-其他人用疫苗</w:t>
            </w:r>
          </w:p>
        </w:tc>
        <w:tc>
          <w:tcPr>
            <w:tcW w:type="dxa" w:w="554"/>
          </w:tcPr>
          <w:p>
            <w:pPr>
              <w:pStyle w:val="null3"/>
              <w:jc w:val="left"/>
            </w:pPr>
            <w:r>
              <w:rPr>
                <w:rFonts w:ascii="仿宋_GB2312" w:hAnsi="仿宋_GB2312" w:cs="仿宋_GB2312" w:eastAsia="仿宋_GB2312"/>
              </w:rPr>
              <w:t>剂</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标的名称：A07025999-其他人用疫苗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rPr>
              <w:t>一、质量要求及主要技术参数。</w:t>
            </w:r>
          </w:p>
          <w:p>
            <w:pPr>
              <w:pStyle w:val="null3"/>
              <w:ind w:firstLine="480"/>
              <w:jc w:val="both"/>
            </w:pPr>
            <w:r>
              <w:rPr>
                <w:rFonts w:ascii="仿宋_GB2312" w:hAnsi="仿宋_GB2312" w:cs="仿宋_GB2312" w:eastAsia="仿宋_GB2312"/>
              </w:rPr>
              <w:t>1.质量要求</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1）生产车间通过国家相关认证并获得必要证书。</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2）产地：中国。</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3）质量符合现行版《中华人民共和国药典》的标准。</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4）供应商所投的疫苗具有药品注册批件、产品批签发证明、批质量检验报告。</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5）投标人所投的疫苗具有国家药监局临床实验备案的医疗机构或者疾病预防控制机构出具的临床实验报告（合格），提供复印件并加盖投标人公章。</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6）投标人所投的疫苗没有质量方面的不良记录（指药品监督管理部门在日常监督检查过程中出具的任何与报价产品质量相关的处罚或通告），提供承诺函并加盖投标人公章。</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7）投标人所投的疫苗应定期监测疑似预防接种异常反应并提供技术报告。</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8）疫苗全程电子追溯情况：1支（或1瓶）一追溯码，即小包装唯一追溯码。</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9）严格执行《疫苗管理法》、《药品经营质量管理规范》有关要求，并采取有效措施保证储运过程中的药品质量与安全，全程具有温度监测记录。</w:t>
            </w:r>
          </w:p>
          <w:p>
            <w:pPr>
              <w:pStyle w:val="null3"/>
              <w:ind w:firstLine="480"/>
              <w:jc w:val="both"/>
            </w:pPr>
            <w:r>
              <w:rPr>
                <w:rFonts w:ascii="仿宋_GB2312" w:hAnsi="仿宋_GB2312" w:cs="仿宋_GB2312" w:eastAsia="仿宋_GB2312"/>
              </w:rPr>
              <w:t>2.采购清单及预算</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581"/>
              <w:gridCol w:w="267"/>
              <w:gridCol w:w="359"/>
              <w:gridCol w:w="615"/>
              <w:gridCol w:w="472"/>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物品名称</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预算金额（万）</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2价HPV疫苗</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剂</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77800</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9"/>
                    </w:rPr>
                    <w:t>311.2</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both"/>
            </w:pPr>
            <w:r>
              <w:rPr>
                <w:rFonts w:ascii="仿宋_GB2312" w:hAnsi="仿宋_GB2312" w:cs="仿宋_GB2312" w:eastAsia="仿宋_GB2312"/>
              </w:rPr>
              <w:t>3.主要技术参数</w:t>
            </w:r>
          </w:p>
          <w:p>
            <w:pPr>
              <w:pStyle w:val="null3"/>
              <w:ind w:firstLine="480"/>
              <w:jc w:val="both"/>
            </w:pPr>
            <w:r>
              <w:rPr>
                <w:rFonts w:ascii="仿宋_GB2312" w:hAnsi="仿宋_GB2312" w:cs="仿宋_GB2312" w:eastAsia="仿宋_GB2312"/>
              </w:rPr>
              <w:t>3.1免疫程序：产品能用于实施方案规定的女性群体接种，提供经药监部门批准的疫苗说明书原件。</w:t>
            </w:r>
          </w:p>
          <w:p>
            <w:pPr>
              <w:pStyle w:val="null3"/>
              <w:ind w:firstLine="480"/>
              <w:jc w:val="both"/>
            </w:pPr>
            <w:r>
              <w:rPr>
                <w:rFonts w:ascii="仿宋_GB2312" w:hAnsi="仿宋_GB2312" w:cs="仿宋_GB2312" w:eastAsia="仿宋_GB2312"/>
              </w:rPr>
              <w:t>3.2剂型：液体注射剂。</w:t>
            </w:r>
          </w:p>
          <w:p>
            <w:pPr>
              <w:pStyle w:val="null3"/>
              <w:ind w:firstLine="480"/>
              <w:jc w:val="both"/>
            </w:pPr>
            <w:r>
              <w:rPr>
                <w:rFonts w:ascii="仿宋_GB2312" w:hAnsi="仿宋_GB2312" w:cs="仿宋_GB2312" w:eastAsia="仿宋_GB2312"/>
              </w:rPr>
              <w:t>3.3包装：预灌封注射器。</w:t>
            </w:r>
          </w:p>
          <w:p>
            <w:pPr>
              <w:pStyle w:val="null3"/>
              <w:ind w:firstLine="480"/>
              <w:jc w:val="both"/>
            </w:pPr>
            <w:r>
              <w:rPr>
                <w:rFonts w:ascii="仿宋_GB2312" w:hAnsi="仿宋_GB2312" w:cs="仿宋_GB2312" w:eastAsia="仿宋_GB2312"/>
              </w:rPr>
              <w:t>3.4主要成分：人乳头瘤病毒(HPV)l6型L1蛋白40μg，人乳头瘤病毒(HPV)18型L1蛋白20μg。</w:t>
            </w:r>
          </w:p>
          <w:p>
            <w:pPr>
              <w:pStyle w:val="null3"/>
              <w:ind w:firstLine="480"/>
              <w:jc w:val="both"/>
            </w:pPr>
            <w:r>
              <w:rPr>
                <w:rFonts w:ascii="仿宋_GB2312" w:hAnsi="仿宋_GB2312" w:cs="仿宋_GB2312" w:eastAsia="仿宋_GB2312"/>
              </w:rPr>
              <w:t>3.5规格：每瓶或支0.5ml，每1次人用剂量0.5ml。</w:t>
            </w:r>
          </w:p>
          <w:p>
            <w:pPr>
              <w:pStyle w:val="null3"/>
              <w:ind w:firstLine="480"/>
              <w:jc w:val="both"/>
            </w:pPr>
            <w:r>
              <w:rPr>
                <w:rFonts w:ascii="仿宋_GB2312" w:hAnsi="仿宋_GB2312" w:cs="仿宋_GB2312" w:eastAsia="仿宋_GB2312"/>
              </w:rPr>
              <w:t>3.6贮藏：于2-8℃避光保存和运输。严禁冻结。全程冷链运输。</w:t>
            </w:r>
          </w:p>
          <w:p>
            <w:pPr>
              <w:pStyle w:val="null3"/>
              <w:ind w:firstLine="480"/>
              <w:jc w:val="both"/>
            </w:pPr>
            <w:r>
              <w:rPr>
                <w:rFonts w:ascii="仿宋_GB2312" w:hAnsi="仿宋_GB2312" w:cs="仿宋_GB2312" w:eastAsia="仿宋_GB2312"/>
              </w:rPr>
              <w:t>3.7有效期：送达采购人指定地点并完成验收之日起剩余有效期不少于12个月。</w:t>
            </w:r>
          </w:p>
          <w:p>
            <w:pPr>
              <w:pStyle w:val="null3"/>
              <w:ind w:firstLine="480"/>
              <w:jc w:val="both"/>
            </w:pPr>
            <w:r>
              <w:rPr>
                <w:rFonts w:ascii="仿宋_GB2312" w:hAnsi="仿宋_GB2312" w:cs="仿宋_GB2312" w:eastAsia="仿宋_GB2312"/>
                <w:sz w:val="21"/>
                <w:b/>
              </w:rPr>
              <w:t>说明：以上内容全部为实质性指标，有一项不满足按照废标处理。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rPr>
              <w:t>二、包装要求。</w:t>
            </w:r>
          </w:p>
          <w:p>
            <w:pPr>
              <w:pStyle w:val="null3"/>
              <w:ind w:firstLine="480"/>
              <w:jc w:val="both"/>
            </w:pPr>
            <w:r>
              <w:rPr>
                <w:rFonts w:ascii="仿宋_GB2312" w:hAnsi="仿宋_GB2312" w:cs="仿宋_GB2312" w:eastAsia="仿宋_GB2312"/>
              </w:rPr>
              <w:t>符合《生物制品包装规程》的标准，具有良好的密封性和防潮性，破损率低于国家规定标准。大包装指整箱，中包装指大包装里面的中盒，小包装指中包装里面每剂次（支或瓶）的包装盒。大、中、小包装均应印有批号（生产日期）、失效期等包装标识，小包装应附中文使用说明书一份。</w:t>
            </w:r>
          </w:p>
          <w:p>
            <w:pPr>
              <w:pStyle w:val="null3"/>
              <w:ind w:firstLine="480"/>
              <w:jc w:val="both"/>
            </w:pPr>
            <w:r>
              <w:rPr>
                <w:rFonts w:ascii="仿宋_GB2312" w:hAnsi="仿宋_GB2312" w:cs="仿宋_GB2312" w:eastAsia="仿宋_GB2312"/>
              </w:rPr>
              <w:t>中标人提供精确到疫苗最小包装的追溯码和对应的产品相关信息，并在货物到达采购人指定交货地点前完成在</w:t>
            </w:r>
            <w:r>
              <w:rPr>
                <w:rFonts w:ascii="仿宋_GB2312" w:hAnsi="仿宋_GB2312" w:cs="仿宋_GB2312" w:eastAsia="仿宋_GB2312"/>
              </w:rPr>
              <w:t>“海南省疫苗流通信息系统”对应追溯码数据库的上传工作。</w:t>
            </w:r>
          </w:p>
          <w:p>
            <w:pPr>
              <w:pStyle w:val="null3"/>
              <w:ind w:firstLine="480"/>
              <w:jc w:val="both"/>
            </w:pPr>
            <w:r>
              <w:rPr>
                <w:rFonts w:ascii="仿宋_GB2312" w:hAnsi="仿宋_GB2312" w:cs="仿宋_GB2312" w:eastAsia="仿宋_GB2312"/>
              </w:rPr>
              <w:t>三、付款方式</w:t>
            </w:r>
          </w:p>
          <w:p>
            <w:pPr>
              <w:pStyle w:val="null3"/>
              <w:ind w:firstLine="480"/>
              <w:jc w:val="both"/>
            </w:pPr>
            <w:r>
              <w:rPr>
                <w:rFonts w:ascii="仿宋_GB2312" w:hAnsi="仿宋_GB2312" w:cs="仿宋_GB2312" w:eastAsia="仿宋_GB2312"/>
              </w:rPr>
              <w:t>1、按各市财政部门的规定国库直接支付。</w:t>
            </w:r>
          </w:p>
          <w:p>
            <w:pPr>
              <w:pStyle w:val="null3"/>
              <w:ind w:firstLine="480"/>
              <w:jc w:val="both"/>
            </w:pPr>
            <w:r>
              <w:rPr>
                <w:rFonts w:ascii="仿宋_GB2312" w:hAnsi="仿宋_GB2312" w:cs="仿宋_GB2312" w:eastAsia="仿宋_GB2312"/>
              </w:rPr>
              <w:t>2、付款时间为用户向政府采购支付部门提出支付申请的时间（不含政府财政支付部门审查的时间），最终支付时间以国库支付中心为准。</w:t>
            </w:r>
          </w:p>
          <w:p>
            <w:pPr>
              <w:pStyle w:val="null3"/>
              <w:ind w:firstLine="480"/>
              <w:jc w:val="both"/>
            </w:pPr>
            <w:r>
              <w:rPr>
                <w:rFonts w:ascii="仿宋_GB2312" w:hAnsi="仿宋_GB2312" w:cs="仿宋_GB2312" w:eastAsia="仿宋_GB2312"/>
              </w:rPr>
              <w:t>3、在合同执行过程中，如各市县疾病预防控制机构实际所需接种疫苗数量减少，按实际供货数量进行结算。</w:t>
            </w:r>
          </w:p>
          <w:p>
            <w:pPr>
              <w:pStyle w:val="null3"/>
              <w:ind w:firstLine="480"/>
              <w:jc w:val="both"/>
            </w:pPr>
            <w:r>
              <w:rPr>
                <w:rFonts w:ascii="仿宋_GB2312" w:hAnsi="仿宋_GB2312" w:cs="仿宋_GB2312" w:eastAsia="仿宋_GB2312"/>
              </w:rPr>
              <w:t>4、在省财政该项专项资金到账的情况下：</w:t>
            </w:r>
          </w:p>
          <w:p>
            <w:pPr>
              <w:pStyle w:val="null3"/>
              <w:ind w:firstLine="480"/>
              <w:jc w:val="both"/>
            </w:pPr>
            <w:r>
              <w:rPr>
                <w:rFonts w:ascii="仿宋_GB2312" w:hAnsi="仿宋_GB2312" w:cs="仿宋_GB2312" w:eastAsia="仿宋_GB2312"/>
              </w:rPr>
              <w:t>付款方式：货到付款</w:t>
            </w:r>
          </w:p>
          <w:p>
            <w:pPr>
              <w:pStyle w:val="null3"/>
              <w:ind w:firstLine="480"/>
              <w:jc w:val="both"/>
            </w:pPr>
            <w:r>
              <w:rPr>
                <w:rFonts w:ascii="仿宋_GB2312" w:hAnsi="仿宋_GB2312" w:cs="仿宋_GB2312" w:eastAsia="仿宋_GB2312"/>
              </w:rPr>
              <w:t>由各市、县疾病预防控制机构与乙方签订合同，在货物完成送货并验收合格后，凭乙方开具的正式发票由各市、县疾病预防控制机构与乙方结算费用。乙方知悉并同意，因此原因造成的付款期限延误不属于违约之情形，各市县疾病预防控制机构无须因此承担任何违约责任。</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、质保及售后服务</w:t>
            </w:r>
          </w:p>
          <w:p>
            <w:pPr>
              <w:pStyle w:val="null3"/>
              <w:ind w:firstLine="480"/>
              <w:jc w:val="both"/>
            </w:pPr>
            <w:r>
              <w:rPr>
                <w:rFonts w:ascii="仿宋_GB2312" w:hAnsi="仿宋_GB2312" w:cs="仿宋_GB2312" w:eastAsia="仿宋_GB2312"/>
              </w:rPr>
              <w:t>1、售后服务响应时间：如疫苗出现质量问题，中标人必须在 2小时内响应，24小时内到达现场，3 日内提供合格产品保证接种顺利进行。</w:t>
            </w:r>
          </w:p>
          <w:p>
            <w:pPr>
              <w:pStyle w:val="null3"/>
              <w:ind w:firstLine="480"/>
              <w:jc w:val="both"/>
            </w:pPr>
            <w:r>
              <w:rPr>
                <w:rFonts w:ascii="仿宋_GB2312" w:hAnsi="仿宋_GB2312" w:cs="仿宋_GB2312" w:eastAsia="仿宋_GB2312"/>
              </w:rPr>
              <w:t>2、</w:t>
            </w:r>
            <w:r>
              <w:rPr>
                <w:rFonts w:ascii="仿宋_GB2312" w:hAnsi="仿宋_GB2312" w:cs="仿宋_GB2312" w:eastAsia="仿宋_GB2312"/>
              </w:rPr>
              <w:t>发生严重的接种异常反应后，中标人应根据采购人的要求，立即派专家前往事发地协助调查处理</w:t>
            </w:r>
            <w:r>
              <w:rPr>
                <w:rFonts w:ascii="仿宋_GB2312" w:hAnsi="仿宋_GB2312" w:cs="仿宋_GB2312" w:eastAsia="仿宋_GB2312"/>
              </w:rPr>
              <w:t>。因疫苗质量引起的严重接种异常反应，中标人承担所有责任。</w:t>
            </w:r>
          </w:p>
          <w:p>
            <w:pPr>
              <w:pStyle w:val="null3"/>
              <w:ind w:firstLine="480"/>
              <w:jc w:val="both"/>
            </w:pPr>
            <w:r>
              <w:rPr>
                <w:rFonts w:ascii="仿宋_GB2312" w:hAnsi="仿宋_GB2312" w:cs="仿宋_GB2312" w:eastAsia="仿宋_GB2312"/>
              </w:rPr>
              <w:t>3、</w:t>
            </w:r>
            <w:r>
              <w:rPr>
                <w:rFonts w:ascii="仿宋_GB2312" w:hAnsi="仿宋_GB2312" w:cs="仿宋_GB2312" w:eastAsia="仿宋_GB2312"/>
              </w:rPr>
              <w:t>特殊情况下，采购人需增减每批次订货数量，中标人应予以支持。</w:t>
            </w:r>
          </w:p>
          <w:p>
            <w:pPr>
              <w:pStyle w:val="null3"/>
              <w:ind w:firstLine="480"/>
              <w:jc w:val="both"/>
            </w:pPr>
            <w:r>
              <w:rPr>
                <w:rFonts w:ascii="仿宋_GB2312" w:hAnsi="仿宋_GB2312" w:cs="仿宋_GB2312" w:eastAsia="仿宋_GB2312"/>
              </w:rPr>
              <w:t>4</w:t>
            </w:r>
            <w:r>
              <w:rPr>
                <w:rFonts w:ascii="仿宋_GB2312" w:hAnsi="仿宋_GB2312" w:cs="仿宋_GB2312" w:eastAsia="仿宋_GB2312"/>
              </w:rPr>
              <w:t>、供货期：本项目实行分批供货，合同签订后，自接采购人通知之日起</w:t>
            </w:r>
            <w:r>
              <w:rPr>
                <w:rFonts w:ascii="仿宋_GB2312" w:hAnsi="仿宋_GB2312" w:cs="仿宋_GB2312" w:eastAsia="仿宋_GB2312"/>
              </w:rPr>
              <w:t xml:space="preserve"> 10 日内供货完毕。</w:t>
            </w:r>
          </w:p>
          <w:p>
            <w:pPr>
              <w:pStyle w:val="null3"/>
              <w:jc w:val="both"/>
            </w:pPr>
            <w:r>
              <w:rPr>
                <w:rFonts w:ascii="仿宋_GB2312" w:hAnsi="仿宋_GB2312" w:cs="仿宋_GB2312" w:eastAsia="仿宋_GB2312"/>
                <w:sz w:val="21"/>
              </w:rPr>
              <w:t xml:space="preserve">          5</w:t>
            </w:r>
            <w:r>
              <w:rPr>
                <w:rFonts w:ascii="仿宋_GB2312" w:hAnsi="仿宋_GB2312" w:cs="仿宋_GB2312" w:eastAsia="仿宋_GB2312"/>
                <w:sz w:val="21"/>
              </w:rPr>
              <w:t>、供货地点：采购人指定地点。</w:t>
            </w:r>
          </w:p>
          <w:p>
            <w:pPr>
              <w:pStyle w:val="null3"/>
              <w:jc w:val="both"/>
            </w:pPr>
            <w:r>
              <w:rPr>
                <w:rFonts w:ascii="仿宋_GB2312" w:hAnsi="仿宋_GB2312" w:cs="仿宋_GB2312" w:eastAsia="仿宋_GB2312"/>
              </w:rPr>
              <w:t>说明：以上内容全部为实质性指标，有一项不满足按照废标处理。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1、除谈判文件另有规定外，若出现有关法律、法规和规章有强制性规定但谈判文件未列明的情形，则供应商应按照有关法律、法规和规章强制性规定执行。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投标人若为经销商的，须提供有效的《药品经营许可证》及制造商（生产厂家）的《药品生产许可证》，所投产品按原国家食品药品监督管理总局颁发的《药品注册管理办法》办理药品注册证并提供《药品注册证》（提供相关证明材料加盖投标人公章）。 2、投标人若为制造商（生产厂家）的，须提供有效的《药品生产许可证》，所投产品按原国家食品药品监督管理总局颁发的《药品注册管理办法》办理药品注册证并提供《药品注册证》（提供相关证明材料加盖投标人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须符合谈判文件的式样、签署和盖章要求且内容完整无缺漏。</w:t>
            </w:r>
          </w:p>
        </w:tc>
        <w:tc>
          <w:tcPr>
            <w:tcW w:type="dxa" w:w="1661"/>
          </w:tcPr>
          <w:p>
            <w:pPr>
              <w:pStyle w:val="null3"/>
              <w:jc w:val="left"/>
            </w:pPr>
            <w:r>
              <w:rPr>
                <w:rFonts w:ascii="仿宋_GB2312" w:hAnsi="仿宋_GB2312" w:cs="仿宋_GB2312" w:eastAsia="仿宋_GB2312"/>
              </w:rPr>
              <w:t>供应商承诺函 无不良信用记录承诺书 商务应答表 自觉抵制政府采购领域商业贿赂行为承诺书 封面 商业信誉、财务会计制度、缴纳税收和社保的承诺函 法定代表人资格证明书或法定代表人授权委托书 其他证明材料 具有独立承担民事责任的能力证明文件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交付（服务）时间、交付（服务）地点须满足谈判文件要求。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谈判有效期（从递交响应文件的截止之日起算）</w:t>
            </w:r>
          </w:p>
        </w:tc>
        <w:tc>
          <w:tcPr>
            <w:tcW w:type="dxa" w:w="3322"/>
          </w:tcPr>
          <w:p>
            <w:pPr>
              <w:pStyle w:val="null3"/>
              <w:jc w:val="left"/>
            </w:pPr>
            <w:r>
              <w:rPr>
                <w:rFonts w:ascii="仿宋_GB2312" w:hAnsi="仿宋_GB2312" w:cs="仿宋_GB2312" w:eastAsia="仿宋_GB2312"/>
              </w:rPr>
              <w:t>谈判有效期须满足供应商须知4.5.1要求。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2025年海南省适龄女生HPV疫苗采购项目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A07025999-其他人用疫苗</w:t>
            </w:r>
          </w:p>
        </w:tc>
        <w:tc>
          <w:tcPr>
            <w:tcW w:type="dxa" w:w="755"/>
          </w:tcPr>
          <w:p>
            <w:pPr>
              <w:pStyle w:val="null3"/>
              <w:jc w:val="left"/>
            </w:pPr>
            <w:r>
              <w:rPr>
                <w:rFonts w:ascii="仿宋_GB2312" w:hAnsi="仿宋_GB2312" w:cs="仿宋_GB2312" w:eastAsia="仿宋_GB2312"/>
              </w:rPr>
              <w:t xml:space="preserve"> 77800.00</w:t>
            </w:r>
          </w:p>
        </w:tc>
        <w:tc>
          <w:tcPr>
            <w:tcW w:type="dxa" w:w="755"/>
          </w:tcPr>
          <w:p>
            <w:pPr>
              <w:pStyle w:val="null3"/>
              <w:jc w:val="left"/>
            </w:pPr>
            <w:r>
              <w:rPr>
                <w:rFonts w:ascii="仿宋_GB2312" w:hAnsi="仿宋_GB2312" w:cs="仿宋_GB2312" w:eastAsia="仿宋_GB2312"/>
              </w:rPr>
              <w:t xml:space="preserve"> 剂</w:t>
            </w:r>
          </w:p>
        </w:tc>
        <w:tc>
          <w:tcPr>
            <w:tcW w:type="dxa" w:w="755"/>
          </w:tcPr>
          <w:p>
            <w:pPr>
              <w:pStyle w:val="null3"/>
              <w:jc w:val="left"/>
            </w:pPr>
            <w:r>
              <w:rPr>
                <w:rFonts w:ascii="仿宋_GB2312" w:hAnsi="仿宋_GB2312" w:cs="仿宋_GB2312" w:eastAsia="仿宋_GB2312"/>
              </w:rPr>
              <w:t xml:space="preserve"> 3112000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详见附件：无不良信用记录承诺书</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详见附件：无重大违法记录声明函</w:t>
      </w:r>
    </w:p>
    <w:p>
      <w:pPr>
        <w:pStyle w:val="null3"/>
        <w:jc w:val="left"/>
        <w:outlineLvl w:val="3"/>
      </w:pPr>
      <w:r>
        <w:rPr>
          <w:rFonts w:ascii="仿宋_GB2312" w:hAnsi="仿宋_GB2312" w:cs="仿宋_GB2312" w:eastAsia="仿宋_GB2312"/>
          <w:sz w:val="24"/>
          <w:b/>
        </w:rPr>
        <w:t>响应格式文件补充说明</w:t>
      </w:r>
    </w:p>
    <w:p>
      <w:pPr>
        <w:pStyle w:val="null3"/>
        <w:ind w:firstLine="480"/>
        <w:jc w:val="both"/>
      </w:pPr>
      <w:r>
        <w:rPr>
          <w:rFonts w:ascii="仿宋_GB2312" w:hAnsi="仿宋_GB2312" w:cs="仿宋_GB2312" w:eastAsia="仿宋_GB2312"/>
        </w:rPr>
        <w:t>重要提示：</w:t>
      </w:r>
    </w:p>
    <w:p>
      <w:pPr>
        <w:pStyle w:val="null3"/>
        <w:ind w:firstLine="480"/>
        <w:jc w:val="both"/>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