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7C659B">
      <w:pPr>
        <w:rPr>
          <w:rFonts w:hint="eastAsia" w:ascii="宋体" w:hAnsi="宋体" w:cs="宋体"/>
          <w:color w:val="auto"/>
          <w:sz w:val="32"/>
          <w:szCs w:val="32"/>
          <w:highlight w:val="none"/>
        </w:rPr>
      </w:pPr>
    </w:p>
    <w:p w14:paraId="3D771BA4">
      <w:pPr>
        <w:spacing w:line="360" w:lineRule="auto"/>
        <w:jc w:val="center"/>
        <w:rPr>
          <w:rFonts w:hint="eastAsia" w:ascii="宋体" w:hAnsi="宋体"/>
          <w:b/>
          <w:color w:val="auto"/>
          <w:sz w:val="30"/>
          <w:szCs w:val="30"/>
          <w:highlight w:val="none"/>
        </w:rPr>
      </w:pPr>
      <w:r>
        <w:rPr>
          <w:rFonts w:hint="eastAsia" w:hAnsi="宋体"/>
          <w:color w:val="auto"/>
          <w:sz w:val="22"/>
          <w:szCs w:val="22"/>
          <w:highlight w:val="none"/>
          <w:lang w:bidi="ar"/>
        </w:rPr>
        <w:t>（具体内容以双方签订的合同为准）</w:t>
      </w:r>
    </w:p>
    <w:p w14:paraId="6E2D107D">
      <w:pPr>
        <w:spacing w:line="360" w:lineRule="auto"/>
        <w:ind w:right="40" w:firstLine="4350" w:firstLineChars="1450"/>
        <w:jc w:val="left"/>
        <w:rPr>
          <w:rFonts w:hint="eastAsia" w:ascii="宋体" w:hAnsi="宋体" w:cs="宋体"/>
          <w:color w:val="auto"/>
          <w:sz w:val="30"/>
          <w:szCs w:val="30"/>
          <w:highlight w:val="none"/>
        </w:rPr>
      </w:pPr>
    </w:p>
    <w:p w14:paraId="04BD12B7">
      <w:pPr>
        <w:spacing w:line="360" w:lineRule="auto"/>
        <w:ind w:right="40" w:firstLine="4350" w:firstLineChars="1450"/>
        <w:jc w:val="left"/>
        <w:rPr>
          <w:rFonts w:hint="eastAsia" w:ascii="宋体" w:hAnsi="宋体" w:cs="宋体"/>
          <w:color w:val="auto"/>
          <w:sz w:val="30"/>
          <w:szCs w:val="30"/>
          <w:highlight w:val="none"/>
        </w:rPr>
      </w:pPr>
    </w:p>
    <w:p w14:paraId="6FE4060A">
      <w:pPr>
        <w:spacing w:line="360" w:lineRule="auto"/>
        <w:jc w:val="center"/>
        <w:rPr>
          <w:rFonts w:hint="eastAsia" w:ascii="宋体" w:hAnsi="宋体"/>
          <w:b/>
          <w:color w:val="auto"/>
          <w:sz w:val="28"/>
          <w:szCs w:val="28"/>
          <w:highlight w:val="none"/>
        </w:rPr>
      </w:pPr>
      <w:bookmarkStart w:id="25" w:name="_GoBack"/>
      <w:r>
        <w:rPr>
          <w:rFonts w:hint="eastAsia" w:ascii="宋体" w:hAnsi="宋体"/>
          <w:b/>
          <w:color w:val="auto"/>
          <w:sz w:val="28"/>
          <w:szCs w:val="28"/>
          <w:highlight w:val="none"/>
        </w:rPr>
        <w:t>采购项目</w:t>
      </w:r>
      <w:bookmarkStart w:id="0" w:name="OLE_LINK18"/>
      <w:r>
        <w:rPr>
          <w:rFonts w:hint="eastAsia" w:ascii="宋体" w:hAnsi="宋体"/>
          <w:b/>
          <w:color w:val="auto"/>
          <w:sz w:val="28"/>
          <w:szCs w:val="28"/>
          <w:highlight w:val="none"/>
        </w:rPr>
        <w:t>合同书</w:t>
      </w:r>
      <w:bookmarkEnd w:id="25"/>
    </w:p>
    <w:bookmarkEnd w:id="0"/>
    <w:p w14:paraId="1A95F73E">
      <w:pPr>
        <w:spacing w:line="360" w:lineRule="auto"/>
        <w:jc w:val="center"/>
        <w:rPr>
          <w:rFonts w:hint="eastAsia" w:ascii="宋体" w:hAnsi="宋体"/>
          <w:b/>
          <w:color w:val="auto"/>
          <w:sz w:val="32"/>
          <w:szCs w:val="32"/>
          <w:highlight w:val="none"/>
        </w:rPr>
      </w:pPr>
    </w:p>
    <w:p w14:paraId="69732F06">
      <w:pPr>
        <w:spacing w:line="360" w:lineRule="auto"/>
        <w:rPr>
          <w:rFonts w:hint="eastAsia" w:ascii="宋体" w:hAnsi="宋体"/>
          <w:b/>
          <w:color w:val="auto"/>
          <w:sz w:val="32"/>
          <w:szCs w:val="32"/>
          <w:highlight w:val="none"/>
        </w:rPr>
      </w:pPr>
    </w:p>
    <w:p w14:paraId="40705C0F">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highlight w:val="none"/>
        </w:rPr>
      </w:pPr>
    </w:p>
    <w:p w14:paraId="55A9C98D">
      <w:pPr>
        <w:tabs>
          <w:tab w:val="left" w:pos="1260"/>
          <w:tab w:val="left" w:pos="1620"/>
          <w:tab w:val="left" w:pos="6840"/>
          <w:tab w:val="left" w:pos="7020"/>
          <w:tab w:val="left" w:pos="7200"/>
        </w:tabs>
        <w:adjustRightInd w:val="0"/>
        <w:spacing w:line="360" w:lineRule="auto"/>
        <w:ind w:right="-338" w:rightChars="-161" w:firstLine="1205" w:firstLineChars="500"/>
        <w:rPr>
          <w:rFonts w:hint="eastAsia" w:ascii="宋体" w:hAnsi="宋体"/>
          <w:b/>
          <w:color w:val="auto"/>
          <w:sz w:val="24"/>
          <w:highlight w:val="none"/>
        </w:rPr>
      </w:pPr>
      <w:r>
        <w:rPr>
          <w:rFonts w:hint="eastAsia" w:ascii="宋体" w:hAnsi="宋体"/>
          <w:b/>
          <w:color w:val="auto"/>
          <w:sz w:val="24"/>
          <w:highlight w:val="none"/>
        </w:rPr>
        <w:t>项目名称：雷火灸购置项目</w:t>
      </w:r>
    </w:p>
    <w:p w14:paraId="2B9B0D3B">
      <w:pPr>
        <w:tabs>
          <w:tab w:val="left" w:pos="1260"/>
          <w:tab w:val="left" w:pos="1620"/>
          <w:tab w:val="left" w:pos="6840"/>
          <w:tab w:val="left" w:pos="7020"/>
          <w:tab w:val="left" w:pos="7200"/>
        </w:tabs>
        <w:adjustRightInd w:val="0"/>
        <w:spacing w:line="360" w:lineRule="auto"/>
        <w:ind w:right="-338" w:rightChars="-161" w:firstLine="1205" w:firstLineChars="500"/>
        <w:rPr>
          <w:rFonts w:hint="eastAsia" w:ascii="宋体" w:hAnsi="宋体"/>
          <w:b/>
          <w:color w:val="auto"/>
          <w:sz w:val="24"/>
          <w:highlight w:val="none"/>
        </w:rPr>
      </w:pPr>
      <w:r>
        <w:rPr>
          <w:rFonts w:hint="eastAsia" w:ascii="宋体" w:hAnsi="宋体"/>
          <w:b/>
          <w:color w:val="auto"/>
          <w:sz w:val="24"/>
          <w:highlight w:val="none"/>
        </w:rPr>
        <w:t>项目编号：GXCZ-C-251460098</w:t>
      </w:r>
    </w:p>
    <w:p w14:paraId="748F71F6">
      <w:pPr>
        <w:tabs>
          <w:tab w:val="left" w:pos="1260"/>
          <w:tab w:val="left" w:pos="1620"/>
          <w:tab w:val="left" w:pos="6840"/>
          <w:tab w:val="left" w:pos="7020"/>
          <w:tab w:val="left" w:pos="7200"/>
        </w:tabs>
        <w:adjustRightInd w:val="0"/>
        <w:spacing w:line="360" w:lineRule="auto"/>
        <w:ind w:right="-338" w:rightChars="-161" w:firstLine="1205" w:firstLineChars="500"/>
        <w:rPr>
          <w:rFonts w:hint="eastAsia" w:ascii="宋体" w:hAnsi="宋体"/>
          <w:b/>
          <w:color w:val="auto"/>
          <w:sz w:val="24"/>
          <w:highlight w:val="none"/>
        </w:rPr>
      </w:pPr>
      <w:r>
        <w:rPr>
          <w:rFonts w:hint="eastAsia" w:ascii="宋体" w:hAnsi="宋体"/>
          <w:b/>
          <w:color w:val="auto"/>
          <w:sz w:val="24"/>
          <w:highlight w:val="none"/>
        </w:rPr>
        <w:t>甲    方：</w:t>
      </w:r>
    </w:p>
    <w:p w14:paraId="6E94450B">
      <w:pPr>
        <w:tabs>
          <w:tab w:val="left" w:pos="1260"/>
          <w:tab w:val="left" w:pos="1620"/>
          <w:tab w:val="left" w:pos="6840"/>
          <w:tab w:val="left" w:pos="7020"/>
          <w:tab w:val="left" w:pos="7200"/>
        </w:tabs>
        <w:adjustRightInd w:val="0"/>
        <w:spacing w:line="360" w:lineRule="auto"/>
        <w:ind w:right="-338" w:rightChars="-161" w:firstLine="1205" w:firstLineChars="500"/>
        <w:rPr>
          <w:rFonts w:hint="eastAsia" w:ascii="宋体" w:hAnsi="宋体"/>
          <w:b/>
          <w:color w:val="auto"/>
          <w:sz w:val="24"/>
          <w:highlight w:val="none"/>
        </w:rPr>
      </w:pPr>
      <w:r>
        <w:rPr>
          <w:rFonts w:hint="eastAsia" w:ascii="宋体" w:hAnsi="宋体"/>
          <w:b/>
          <w:color w:val="auto"/>
          <w:sz w:val="24"/>
          <w:highlight w:val="none"/>
        </w:rPr>
        <w:t>乙    方：</w:t>
      </w:r>
    </w:p>
    <w:p w14:paraId="7BD13D0E">
      <w:pPr>
        <w:tabs>
          <w:tab w:val="left" w:pos="1260"/>
          <w:tab w:val="left" w:pos="1620"/>
          <w:tab w:val="left" w:pos="6840"/>
          <w:tab w:val="left" w:pos="7020"/>
          <w:tab w:val="left" w:pos="7200"/>
        </w:tabs>
        <w:adjustRightInd w:val="0"/>
        <w:spacing w:line="360" w:lineRule="auto"/>
        <w:ind w:right="-338" w:rightChars="-161" w:firstLine="1205" w:firstLineChars="500"/>
        <w:rPr>
          <w:rFonts w:hint="eastAsia" w:ascii="宋体" w:hAnsi="宋体"/>
          <w:b/>
          <w:color w:val="auto"/>
          <w:sz w:val="24"/>
          <w:highlight w:val="none"/>
        </w:rPr>
      </w:pPr>
      <w:r>
        <w:rPr>
          <w:rFonts w:hint="eastAsia" w:ascii="宋体" w:hAnsi="宋体"/>
          <w:b/>
          <w:color w:val="auto"/>
          <w:sz w:val="24"/>
          <w:highlight w:val="none"/>
        </w:rPr>
        <w:t>签订日期：</w:t>
      </w:r>
      <w:r>
        <w:rPr>
          <w:rFonts w:hint="eastAsia" w:ascii="宋体" w:hAnsi="宋体"/>
          <w:b/>
          <w:color w:val="auto"/>
          <w:sz w:val="24"/>
          <w:highlight w:val="none"/>
          <w:u w:val="single"/>
        </w:rPr>
        <w:t xml:space="preserve">      </w:t>
      </w:r>
      <w:r>
        <w:rPr>
          <w:rFonts w:hint="eastAsia" w:ascii="宋体" w:hAnsi="宋体"/>
          <w:b/>
          <w:color w:val="auto"/>
          <w:sz w:val="24"/>
          <w:highlight w:val="none"/>
        </w:rPr>
        <w:t>年</w:t>
      </w:r>
      <w:r>
        <w:rPr>
          <w:rFonts w:hint="eastAsia" w:ascii="宋体" w:hAnsi="宋体"/>
          <w:b/>
          <w:color w:val="auto"/>
          <w:sz w:val="24"/>
          <w:highlight w:val="none"/>
          <w:u w:val="single"/>
        </w:rPr>
        <w:t xml:space="preserve">   </w:t>
      </w:r>
      <w:r>
        <w:rPr>
          <w:rFonts w:hint="eastAsia" w:ascii="宋体" w:hAnsi="宋体"/>
          <w:b/>
          <w:color w:val="auto"/>
          <w:sz w:val="24"/>
          <w:highlight w:val="none"/>
        </w:rPr>
        <w:t xml:space="preserve"> 月</w:t>
      </w:r>
      <w:r>
        <w:rPr>
          <w:rFonts w:hint="eastAsia" w:ascii="宋体" w:hAnsi="宋体"/>
          <w:b/>
          <w:color w:val="auto"/>
          <w:sz w:val="24"/>
          <w:highlight w:val="none"/>
          <w:u w:val="single"/>
        </w:rPr>
        <w:t xml:space="preserve">    </w:t>
      </w:r>
      <w:r>
        <w:rPr>
          <w:rFonts w:hint="eastAsia" w:ascii="宋体" w:hAnsi="宋体"/>
          <w:b/>
          <w:color w:val="auto"/>
          <w:sz w:val="24"/>
          <w:highlight w:val="none"/>
        </w:rPr>
        <w:t>日</w:t>
      </w:r>
    </w:p>
    <w:p w14:paraId="64842389">
      <w:pPr>
        <w:spacing w:line="360" w:lineRule="auto"/>
        <w:ind w:firstLine="1285" w:firstLineChars="400"/>
        <w:rPr>
          <w:rFonts w:hint="eastAsia" w:ascii="宋体" w:hAnsi="宋体"/>
          <w:b/>
          <w:color w:val="auto"/>
          <w:sz w:val="32"/>
          <w:szCs w:val="32"/>
          <w:highlight w:val="none"/>
        </w:rPr>
      </w:pPr>
    </w:p>
    <w:p w14:paraId="442C2B9C">
      <w:pPr>
        <w:spacing w:line="360" w:lineRule="auto"/>
        <w:jc w:val="center"/>
        <w:rPr>
          <w:rFonts w:hint="eastAsia" w:ascii="宋体" w:hAnsi="宋体"/>
          <w:b/>
          <w:color w:val="auto"/>
          <w:sz w:val="32"/>
          <w:szCs w:val="32"/>
          <w:highlight w:val="none"/>
        </w:rPr>
      </w:pPr>
      <w:r>
        <w:rPr>
          <w:rFonts w:ascii="宋体" w:hAnsi="宋体"/>
          <w:b/>
          <w:color w:val="auto"/>
          <w:sz w:val="32"/>
          <w:szCs w:val="32"/>
          <w:highlight w:val="none"/>
        </w:rPr>
        <w:br w:type="page"/>
      </w:r>
      <w:r>
        <w:rPr>
          <w:rFonts w:hint="eastAsia" w:ascii="宋体" w:hAnsi="宋体"/>
          <w:b/>
          <w:color w:val="auto"/>
          <w:sz w:val="32"/>
          <w:szCs w:val="32"/>
          <w:highlight w:val="none"/>
        </w:rPr>
        <w:t>合同专用条款</w:t>
      </w:r>
    </w:p>
    <w:p w14:paraId="227C7F02">
      <w:pPr>
        <w:spacing w:line="360" w:lineRule="auto"/>
        <w:jc w:val="center"/>
        <w:rPr>
          <w:rFonts w:hint="eastAsia" w:ascii="宋体" w:hAnsi="宋体"/>
          <w:b/>
          <w:color w:val="auto"/>
          <w:sz w:val="32"/>
          <w:szCs w:val="32"/>
          <w:highlight w:val="none"/>
        </w:rPr>
      </w:pPr>
    </w:p>
    <w:p w14:paraId="42DE8C2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u w:val="single"/>
        </w:rPr>
        <w:t>广东省中医院海南医院</w:t>
      </w:r>
      <w:r>
        <w:rPr>
          <w:rFonts w:hint="eastAsia" w:ascii="宋体" w:hAnsi="宋体" w:cs="宋体"/>
          <w:color w:val="auto"/>
          <w:sz w:val="24"/>
          <w:highlight w:val="none"/>
        </w:rPr>
        <w:t>以</w:t>
      </w:r>
      <w:r>
        <w:rPr>
          <w:rFonts w:hint="eastAsia" w:ascii="宋体" w:hAnsi="宋体" w:cs="宋体"/>
          <w:color w:val="auto"/>
          <w:sz w:val="24"/>
          <w:highlight w:val="none"/>
          <w:u w:val="single"/>
          <w:lang w:val="en-US" w:eastAsia="zh-CN"/>
        </w:rPr>
        <w:t>询价</w:t>
      </w:r>
      <w:r>
        <w:rPr>
          <w:rFonts w:hint="eastAsia" w:ascii="宋体" w:hAnsi="宋体" w:cs="宋体"/>
          <w:color w:val="auto"/>
          <w:sz w:val="24"/>
          <w:highlight w:val="none"/>
        </w:rPr>
        <w:t>对</w:t>
      </w:r>
      <w:r>
        <w:rPr>
          <w:rFonts w:hint="eastAsia" w:ascii="宋体" w:hAnsi="宋体" w:cs="宋体"/>
          <w:color w:val="auto"/>
          <w:sz w:val="24"/>
          <w:highlight w:val="none"/>
          <w:u w:val="single"/>
        </w:rPr>
        <w:t>雷火灸购置</w:t>
      </w:r>
      <w:r>
        <w:rPr>
          <w:rFonts w:hint="eastAsia" w:ascii="宋体" w:hAnsi="宋体" w:cs="宋体"/>
          <w:color w:val="auto"/>
          <w:sz w:val="24"/>
          <w:highlight w:val="none"/>
        </w:rPr>
        <w:t>项目（项目编号：GXCZ-C-251460098）进行了采购，</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为该项目</w:t>
      </w:r>
      <w:r>
        <w:rPr>
          <w:rFonts w:hint="eastAsia" w:ascii="宋体" w:hAnsi="宋体" w:cs="宋体"/>
          <w:color w:val="auto"/>
          <w:sz w:val="24"/>
          <w:highlight w:val="none"/>
          <w:lang w:val="en-US" w:eastAsia="zh-CN"/>
        </w:rPr>
        <w:t>成交</w:t>
      </w:r>
      <w:r>
        <w:rPr>
          <w:rFonts w:hint="eastAsia" w:ascii="宋体" w:hAnsi="宋体" w:cs="宋体"/>
          <w:color w:val="auto"/>
          <w:sz w:val="24"/>
          <w:highlight w:val="none"/>
        </w:rPr>
        <w:t>供应商。</w:t>
      </w:r>
    </w:p>
    <w:p w14:paraId="173C372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u w:val="single"/>
        </w:rPr>
        <w:t>广东省中医院海南医院</w:t>
      </w:r>
      <w:r>
        <w:rPr>
          <w:rFonts w:hint="eastAsia" w:ascii="宋体" w:hAnsi="宋体" w:cs="宋体"/>
          <w:color w:val="auto"/>
          <w:sz w:val="24"/>
          <w:highlight w:val="none"/>
          <w:lang w:val="zh-CN"/>
        </w:rPr>
        <w:t>(以下简称：甲方)</w:t>
      </w:r>
      <w:r>
        <w:rPr>
          <w:rFonts w:hint="eastAsia" w:ascii="宋体" w:hAnsi="宋体" w:cs="宋体"/>
          <w:color w:val="auto"/>
          <w:sz w:val="24"/>
          <w:highlight w:val="none"/>
        </w:rPr>
        <w:t xml:space="preserve">和 </w:t>
      </w:r>
      <w:r>
        <w:rPr>
          <w:rFonts w:hint="eastAsia" w:ascii="宋体" w:hAnsi="宋体" w:cs="宋体"/>
          <w:color w:val="auto"/>
          <w:sz w:val="24"/>
          <w:highlight w:val="none"/>
          <w:u w:val="single"/>
        </w:rPr>
        <w:t xml:space="preserve"> （ ）   </w:t>
      </w:r>
      <w:r>
        <w:rPr>
          <w:rFonts w:hint="eastAsia" w:ascii="宋体" w:hAnsi="宋体" w:cs="宋体"/>
          <w:color w:val="auto"/>
          <w:sz w:val="24"/>
          <w:highlight w:val="none"/>
          <w:lang w:val="zh-CN"/>
        </w:rPr>
        <w:t>(以下简称：乙方)</w:t>
      </w:r>
      <w:r>
        <w:rPr>
          <w:rFonts w:hint="eastAsia" w:ascii="宋体" w:hAnsi="宋体" w:cs="宋体"/>
          <w:color w:val="auto"/>
          <w:sz w:val="24"/>
          <w:highlight w:val="none"/>
        </w:rPr>
        <w:t>根据《中华人民共和国民法典》、</w:t>
      </w:r>
      <w:r>
        <w:rPr>
          <w:rFonts w:hint="eastAsia" w:ascii="宋体" w:hAnsi="宋体" w:cs="宋体"/>
          <w:color w:val="auto"/>
          <w:sz w:val="24"/>
          <w:highlight w:val="none"/>
          <w:lang w:val="zh-CN"/>
        </w:rPr>
        <w:t>《中华人民共和国政府采购法》等相</w:t>
      </w:r>
      <w:r>
        <w:rPr>
          <w:rFonts w:hint="eastAsia" w:ascii="宋体" w:hAnsi="宋体" w:cs="宋体"/>
          <w:color w:val="auto"/>
          <w:sz w:val="24"/>
          <w:highlight w:val="none"/>
        </w:rPr>
        <w:t>关法律法规，遵循平等、自愿、公平和诚实信用原则，同意按照下面的条款和条件订立本政府采购合同，共同信守。</w:t>
      </w:r>
    </w:p>
    <w:p w14:paraId="4B094222">
      <w:pPr>
        <w:spacing w:before="156" w:beforeLines="50" w:line="360" w:lineRule="auto"/>
        <w:ind w:firstLine="482" w:firstLineChars="200"/>
        <w:jc w:val="left"/>
        <w:outlineLvl w:val="1"/>
        <w:rPr>
          <w:rFonts w:hint="eastAsia" w:ascii="宋体" w:hAnsi="宋体" w:cs="宋体"/>
          <w:b/>
          <w:color w:val="auto"/>
          <w:sz w:val="24"/>
          <w:highlight w:val="none"/>
        </w:rPr>
      </w:pPr>
      <w:bookmarkStart w:id="1" w:name="_Toc27419"/>
      <w:bookmarkStart w:id="2" w:name="_Toc21711"/>
      <w:r>
        <w:rPr>
          <w:rFonts w:hint="eastAsia" w:ascii="宋体" w:hAnsi="宋体" w:cs="宋体"/>
          <w:b/>
          <w:color w:val="auto"/>
          <w:sz w:val="24"/>
          <w:highlight w:val="none"/>
        </w:rPr>
        <w:t>一、政府采购合同文件</w:t>
      </w:r>
      <w:bookmarkEnd w:id="1"/>
      <w:bookmarkEnd w:id="2"/>
    </w:p>
    <w:p w14:paraId="52EEF706">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本政府采购合同所附下列文件是构成本政府采购合同不可分割的部分：</w:t>
      </w:r>
    </w:p>
    <w:p w14:paraId="7EF6025F">
      <w:pPr>
        <w:spacing w:line="420" w:lineRule="exact"/>
        <w:ind w:firstLine="480" w:firstLineChars="200"/>
        <w:jc w:val="left"/>
        <w:rPr>
          <w:rFonts w:hint="eastAsia" w:ascii="宋体" w:hAnsi="宋体" w:cs="宋体"/>
          <w:color w:val="auto"/>
          <w:sz w:val="24"/>
          <w:highlight w:val="none"/>
        </w:rPr>
      </w:pPr>
      <w:bookmarkStart w:id="3" w:name="_Toc29405"/>
      <w:r>
        <w:rPr>
          <w:rFonts w:hint="eastAsia" w:ascii="宋体" w:hAnsi="宋体" w:cs="宋体"/>
          <w:color w:val="auto"/>
          <w:sz w:val="24"/>
          <w:highlight w:val="none"/>
        </w:rPr>
        <w:t>1.</w:t>
      </w:r>
      <w:bookmarkStart w:id="4" w:name="OLE_LINK13"/>
      <w:r>
        <w:rPr>
          <w:rFonts w:hint="eastAsia" w:ascii="宋体" w:hAnsi="宋体" w:cs="宋体"/>
          <w:color w:val="auto"/>
          <w:sz w:val="24"/>
          <w:highlight w:val="none"/>
          <w:lang w:val="en-US" w:eastAsia="zh-CN"/>
        </w:rPr>
        <w:t>询价</w:t>
      </w:r>
      <w:r>
        <w:rPr>
          <w:rFonts w:hint="eastAsia" w:ascii="宋体" w:hAnsi="宋体" w:cs="宋体"/>
          <w:color w:val="auto"/>
          <w:sz w:val="24"/>
          <w:highlight w:val="none"/>
        </w:rPr>
        <w:t>文件</w:t>
      </w:r>
      <w:bookmarkEnd w:id="4"/>
      <w:r>
        <w:rPr>
          <w:rFonts w:hint="eastAsia" w:ascii="宋体" w:hAnsi="宋体" w:cs="宋体"/>
          <w:color w:val="auto"/>
          <w:sz w:val="24"/>
          <w:highlight w:val="none"/>
        </w:rPr>
        <w:t>（含澄清或者修改文件）；</w:t>
      </w:r>
    </w:p>
    <w:p w14:paraId="5F0A83C0">
      <w:pPr>
        <w:spacing w:line="420" w:lineRule="exact"/>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val="en-US" w:eastAsia="zh-CN"/>
        </w:rPr>
        <w:t>询价</w:t>
      </w:r>
      <w:r>
        <w:rPr>
          <w:rFonts w:hint="eastAsia" w:ascii="宋体" w:hAnsi="宋体" w:cs="宋体"/>
          <w:color w:val="auto"/>
          <w:sz w:val="24"/>
          <w:highlight w:val="none"/>
        </w:rPr>
        <w:t>文件的更正公告、变更公告；</w:t>
      </w:r>
    </w:p>
    <w:p w14:paraId="256DEE97">
      <w:pPr>
        <w:spacing w:line="420" w:lineRule="exact"/>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3.乙方提交的响应文件（含澄清或者说明文件）；</w:t>
      </w:r>
    </w:p>
    <w:p w14:paraId="3BF232F6">
      <w:pPr>
        <w:spacing w:line="420" w:lineRule="exact"/>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4.政府采购合同条款；</w:t>
      </w:r>
    </w:p>
    <w:p w14:paraId="6CF9D09A">
      <w:pPr>
        <w:spacing w:line="420" w:lineRule="exact"/>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5.成交通知书；</w:t>
      </w:r>
    </w:p>
    <w:p w14:paraId="119CEA90">
      <w:pPr>
        <w:spacing w:line="420" w:lineRule="exact"/>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6.政府采购合同的其它附件。</w:t>
      </w:r>
    </w:p>
    <w:p w14:paraId="15C4D32E">
      <w:pPr>
        <w:spacing w:before="156" w:beforeLines="50" w:line="360" w:lineRule="auto"/>
        <w:ind w:firstLine="482" w:firstLineChars="200"/>
        <w:jc w:val="left"/>
        <w:outlineLvl w:val="1"/>
        <w:rPr>
          <w:rFonts w:hint="eastAsia" w:ascii="宋体" w:hAnsi="宋体" w:cs="宋体"/>
          <w:b/>
          <w:color w:val="auto"/>
          <w:sz w:val="24"/>
          <w:highlight w:val="none"/>
        </w:rPr>
      </w:pPr>
      <w:bookmarkStart w:id="5" w:name="_Toc6628"/>
      <w:r>
        <w:rPr>
          <w:rFonts w:hint="eastAsia" w:ascii="宋体" w:hAnsi="宋体" w:cs="宋体"/>
          <w:b/>
          <w:color w:val="auto"/>
          <w:sz w:val="24"/>
          <w:highlight w:val="none"/>
        </w:rPr>
        <w:t>二、政府采购合同范围和条件</w:t>
      </w:r>
      <w:bookmarkEnd w:id="3"/>
      <w:bookmarkEnd w:id="5"/>
    </w:p>
    <w:p w14:paraId="376EA298">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本政府采购合同的范围和条件与上述政府采购合同文件的规定相一致。</w:t>
      </w:r>
    </w:p>
    <w:p w14:paraId="7F9FB79B">
      <w:pPr>
        <w:spacing w:before="156" w:beforeLines="50" w:line="360" w:lineRule="auto"/>
        <w:ind w:firstLine="482" w:firstLineChars="200"/>
        <w:jc w:val="left"/>
        <w:outlineLvl w:val="1"/>
        <w:rPr>
          <w:rFonts w:hint="eastAsia" w:ascii="宋体" w:hAnsi="宋体" w:cs="宋体"/>
          <w:b/>
          <w:color w:val="auto"/>
          <w:sz w:val="24"/>
          <w:highlight w:val="none"/>
        </w:rPr>
      </w:pPr>
      <w:bookmarkStart w:id="6" w:name="_Toc27173"/>
      <w:bookmarkStart w:id="7" w:name="_Toc29653"/>
      <w:r>
        <w:rPr>
          <w:rFonts w:hint="eastAsia" w:ascii="宋体" w:hAnsi="宋体" w:cs="宋体"/>
          <w:b/>
          <w:color w:val="auto"/>
          <w:sz w:val="24"/>
          <w:highlight w:val="none"/>
        </w:rPr>
        <w:t>三、政府采购合同标的</w:t>
      </w:r>
      <w:bookmarkEnd w:id="6"/>
      <w:bookmarkEnd w:id="7"/>
    </w:p>
    <w:p w14:paraId="4408D114">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本政府采购合同的标的为政府采购合同货物清单(同投标文件中的开标一览表/分项报价明细表)中所列货物及相关服务。</w:t>
      </w:r>
    </w:p>
    <w:tbl>
      <w:tblPr>
        <w:tblStyle w:val="6"/>
        <w:tblW w:w="0" w:type="auto"/>
        <w:jc w:val="center"/>
        <w:tblLayout w:type="fixed"/>
        <w:tblCellMar>
          <w:top w:w="0" w:type="dxa"/>
          <w:left w:w="108" w:type="dxa"/>
          <w:bottom w:w="0" w:type="dxa"/>
          <w:right w:w="108" w:type="dxa"/>
        </w:tblCellMar>
      </w:tblPr>
      <w:tblGrid>
        <w:gridCol w:w="750"/>
        <w:gridCol w:w="1523"/>
        <w:gridCol w:w="2019"/>
        <w:gridCol w:w="935"/>
        <w:gridCol w:w="1194"/>
        <w:gridCol w:w="1667"/>
        <w:gridCol w:w="1265"/>
      </w:tblGrid>
      <w:tr w14:paraId="17C0AB73">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14:paraId="5F23D52C">
            <w:pPr>
              <w:spacing w:line="360" w:lineRule="auto"/>
              <w:jc w:val="center"/>
              <w:rPr>
                <w:rFonts w:hint="eastAsia" w:ascii="宋体" w:hAnsi="宋体" w:cs="宋体"/>
                <w:b/>
                <w:bCs/>
                <w:color w:val="auto"/>
                <w:sz w:val="24"/>
                <w:highlight w:val="none"/>
              </w:rPr>
            </w:pPr>
            <w:r>
              <w:rPr>
                <w:rFonts w:hint="eastAsia" w:ascii="宋体" w:hAnsi="宋体" w:cs="宋体"/>
                <w:b/>
                <w:bCs/>
                <w:color w:val="auto"/>
                <w:sz w:val="24"/>
                <w:highlight w:val="none"/>
              </w:rPr>
              <w:t>序号</w:t>
            </w:r>
          </w:p>
        </w:tc>
        <w:tc>
          <w:tcPr>
            <w:tcW w:w="1523" w:type="dxa"/>
            <w:tcBorders>
              <w:top w:val="single" w:color="auto" w:sz="4" w:space="0"/>
              <w:left w:val="single" w:color="auto" w:sz="4" w:space="0"/>
              <w:bottom w:val="single" w:color="auto" w:sz="4" w:space="0"/>
              <w:right w:val="single" w:color="auto" w:sz="4" w:space="0"/>
            </w:tcBorders>
            <w:vAlign w:val="center"/>
          </w:tcPr>
          <w:p w14:paraId="3E1F3781">
            <w:pPr>
              <w:spacing w:line="360" w:lineRule="auto"/>
              <w:jc w:val="center"/>
              <w:rPr>
                <w:rFonts w:hint="eastAsia" w:ascii="宋体" w:hAnsi="宋体" w:cs="宋体"/>
                <w:b/>
                <w:bCs/>
                <w:color w:val="auto"/>
                <w:sz w:val="24"/>
                <w:highlight w:val="none"/>
              </w:rPr>
            </w:pPr>
            <w:r>
              <w:rPr>
                <w:rFonts w:hint="eastAsia" w:ascii="宋体" w:hAnsi="宋体" w:cs="宋体"/>
                <w:b/>
                <w:bCs/>
                <w:color w:val="auto"/>
                <w:sz w:val="24"/>
                <w:highlight w:val="none"/>
              </w:rPr>
              <w:t>货物名称</w:t>
            </w:r>
          </w:p>
        </w:tc>
        <w:tc>
          <w:tcPr>
            <w:tcW w:w="2019" w:type="dxa"/>
            <w:tcBorders>
              <w:top w:val="single" w:color="auto" w:sz="4" w:space="0"/>
              <w:left w:val="single" w:color="auto" w:sz="4" w:space="0"/>
              <w:bottom w:val="single" w:color="auto" w:sz="4" w:space="0"/>
              <w:right w:val="single" w:color="auto" w:sz="4" w:space="0"/>
            </w:tcBorders>
            <w:vAlign w:val="center"/>
          </w:tcPr>
          <w:p w14:paraId="56AED472">
            <w:pPr>
              <w:spacing w:line="360" w:lineRule="auto"/>
              <w:jc w:val="center"/>
              <w:rPr>
                <w:rFonts w:hint="eastAsia" w:ascii="宋体" w:hAnsi="宋体" w:cs="宋体"/>
                <w:b/>
                <w:bCs/>
                <w:color w:val="auto"/>
                <w:sz w:val="24"/>
                <w:highlight w:val="none"/>
              </w:rPr>
            </w:pPr>
            <w:r>
              <w:rPr>
                <w:rFonts w:hint="eastAsia" w:ascii="宋体" w:hAnsi="宋体" w:cs="宋体"/>
                <w:b/>
                <w:bCs/>
                <w:color w:val="auto"/>
                <w:sz w:val="24"/>
                <w:highlight w:val="none"/>
              </w:rPr>
              <w:t>品牌、规格型号</w:t>
            </w:r>
          </w:p>
          <w:p w14:paraId="164BE663">
            <w:pPr>
              <w:spacing w:line="360" w:lineRule="auto"/>
              <w:jc w:val="center"/>
              <w:rPr>
                <w:rFonts w:hint="eastAsia" w:ascii="宋体" w:hAnsi="宋体" w:cs="宋体"/>
                <w:b/>
                <w:bCs/>
                <w:color w:val="auto"/>
                <w:sz w:val="24"/>
                <w:highlight w:val="none"/>
              </w:rPr>
            </w:pPr>
            <w:r>
              <w:rPr>
                <w:rFonts w:hint="eastAsia" w:ascii="宋体" w:hAnsi="宋体" w:cs="宋体"/>
                <w:b/>
                <w:bCs/>
                <w:color w:val="auto"/>
                <w:sz w:val="24"/>
                <w:highlight w:val="none"/>
              </w:rPr>
              <w:t>（或服务要求）</w:t>
            </w:r>
          </w:p>
        </w:tc>
        <w:tc>
          <w:tcPr>
            <w:tcW w:w="935" w:type="dxa"/>
            <w:tcBorders>
              <w:top w:val="single" w:color="auto" w:sz="4" w:space="0"/>
              <w:left w:val="single" w:color="auto" w:sz="4" w:space="0"/>
              <w:bottom w:val="single" w:color="auto" w:sz="4" w:space="0"/>
              <w:right w:val="single" w:color="auto" w:sz="4" w:space="0"/>
            </w:tcBorders>
            <w:vAlign w:val="center"/>
          </w:tcPr>
          <w:p w14:paraId="36768736">
            <w:pPr>
              <w:spacing w:line="360" w:lineRule="auto"/>
              <w:jc w:val="center"/>
              <w:rPr>
                <w:rFonts w:hint="eastAsia" w:ascii="宋体" w:hAnsi="宋体" w:cs="宋体"/>
                <w:b/>
                <w:bCs/>
                <w:color w:val="auto"/>
                <w:sz w:val="24"/>
                <w:highlight w:val="none"/>
              </w:rPr>
            </w:pPr>
            <w:r>
              <w:rPr>
                <w:rFonts w:hint="eastAsia" w:ascii="宋体" w:hAnsi="宋体" w:cs="宋体"/>
                <w:b/>
                <w:bCs/>
                <w:color w:val="auto"/>
                <w:sz w:val="24"/>
                <w:highlight w:val="none"/>
              </w:rPr>
              <w:t>数量/单位</w:t>
            </w:r>
          </w:p>
        </w:tc>
        <w:tc>
          <w:tcPr>
            <w:tcW w:w="1194" w:type="dxa"/>
            <w:tcBorders>
              <w:top w:val="single" w:color="auto" w:sz="4" w:space="0"/>
              <w:left w:val="single" w:color="auto" w:sz="4" w:space="0"/>
              <w:bottom w:val="single" w:color="auto" w:sz="4" w:space="0"/>
              <w:right w:val="single" w:color="auto" w:sz="4" w:space="0"/>
            </w:tcBorders>
            <w:vAlign w:val="center"/>
          </w:tcPr>
          <w:p w14:paraId="622E76C7">
            <w:pPr>
              <w:spacing w:line="360" w:lineRule="auto"/>
              <w:jc w:val="center"/>
              <w:rPr>
                <w:rFonts w:hint="eastAsia" w:ascii="宋体" w:hAnsi="宋体" w:cs="宋体"/>
                <w:b/>
                <w:bCs/>
                <w:color w:val="auto"/>
                <w:sz w:val="24"/>
                <w:highlight w:val="none"/>
              </w:rPr>
            </w:pPr>
            <w:r>
              <w:rPr>
                <w:rFonts w:hint="eastAsia" w:ascii="宋体" w:hAnsi="宋体" w:cs="宋体"/>
                <w:b/>
                <w:bCs/>
                <w:color w:val="auto"/>
                <w:sz w:val="24"/>
                <w:highlight w:val="none"/>
              </w:rPr>
              <w:t>单价</w:t>
            </w:r>
          </w:p>
          <w:p w14:paraId="3301B024">
            <w:pPr>
              <w:spacing w:line="360" w:lineRule="auto"/>
              <w:jc w:val="center"/>
              <w:rPr>
                <w:rFonts w:hint="eastAsia" w:ascii="宋体" w:hAnsi="宋体" w:cs="宋体"/>
                <w:b/>
                <w:bCs/>
                <w:color w:val="auto"/>
                <w:sz w:val="24"/>
                <w:highlight w:val="none"/>
              </w:rPr>
            </w:pPr>
            <w:r>
              <w:rPr>
                <w:rFonts w:hint="eastAsia" w:ascii="宋体" w:hAnsi="宋体" w:cs="宋体"/>
                <w:b/>
                <w:bCs/>
                <w:color w:val="auto"/>
                <w:sz w:val="24"/>
                <w:highlight w:val="none"/>
              </w:rPr>
              <w:t>（元）</w:t>
            </w:r>
          </w:p>
        </w:tc>
        <w:tc>
          <w:tcPr>
            <w:tcW w:w="1667" w:type="dxa"/>
            <w:tcBorders>
              <w:top w:val="single" w:color="auto" w:sz="4" w:space="0"/>
              <w:left w:val="single" w:color="auto" w:sz="4" w:space="0"/>
              <w:bottom w:val="single" w:color="auto" w:sz="4" w:space="0"/>
              <w:right w:val="single" w:color="auto" w:sz="4" w:space="0"/>
            </w:tcBorders>
            <w:vAlign w:val="center"/>
          </w:tcPr>
          <w:p w14:paraId="0BF71DED">
            <w:pPr>
              <w:spacing w:line="360" w:lineRule="auto"/>
              <w:jc w:val="center"/>
              <w:rPr>
                <w:rFonts w:hint="eastAsia" w:ascii="宋体" w:hAnsi="宋体" w:cs="宋体"/>
                <w:b/>
                <w:bCs/>
                <w:color w:val="auto"/>
                <w:sz w:val="24"/>
                <w:highlight w:val="none"/>
              </w:rPr>
            </w:pPr>
            <w:r>
              <w:rPr>
                <w:rFonts w:hint="eastAsia" w:ascii="宋体" w:hAnsi="宋体" w:cs="宋体"/>
                <w:b/>
                <w:bCs/>
                <w:color w:val="auto"/>
                <w:sz w:val="24"/>
                <w:highlight w:val="none"/>
              </w:rPr>
              <w:t>总价</w:t>
            </w:r>
          </w:p>
          <w:p w14:paraId="082DE37C">
            <w:pPr>
              <w:spacing w:line="360" w:lineRule="auto"/>
              <w:jc w:val="center"/>
              <w:rPr>
                <w:rFonts w:hint="eastAsia" w:ascii="宋体" w:hAnsi="宋体" w:cs="宋体"/>
                <w:b/>
                <w:bCs/>
                <w:color w:val="auto"/>
                <w:sz w:val="24"/>
                <w:highlight w:val="none"/>
              </w:rPr>
            </w:pPr>
            <w:r>
              <w:rPr>
                <w:rFonts w:hint="eastAsia" w:ascii="宋体" w:hAnsi="宋体" w:cs="宋体"/>
                <w:b/>
                <w:bCs/>
                <w:color w:val="auto"/>
                <w:sz w:val="24"/>
                <w:highlight w:val="none"/>
              </w:rPr>
              <w:t>(元)</w:t>
            </w:r>
          </w:p>
        </w:tc>
        <w:tc>
          <w:tcPr>
            <w:tcW w:w="1265" w:type="dxa"/>
            <w:tcBorders>
              <w:top w:val="single" w:color="auto" w:sz="4" w:space="0"/>
              <w:left w:val="single" w:color="auto" w:sz="4" w:space="0"/>
              <w:bottom w:val="single" w:color="auto" w:sz="4" w:space="0"/>
              <w:right w:val="single" w:color="auto" w:sz="4" w:space="0"/>
            </w:tcBorders>
            <w:vAlign w:val="center"/>
          </w:tcPr>
          <w:p w14:paraId="30043DB9">
            <w:pPr>
              <w:spacing w:line="360" w:lineRule="auto"/>
              <w:jc w:val="center"/>
              <w:rPr>
                <w:rFonts w:hint="eastAsia" w:ascii="宋体" w:hAnsi="宋体" w:cs="宋体"/>
                <w:b/>
                <w:bCs/>
                <w:color w:val="auto"/>
                <w:sz w:val="24"/>
                <w:highlight w:val="none"/>
              </w:rPr>
            </w:pPr>
            <w:r>
              <w:rPr>
                <w:rFonts w:hint="eastAsia" w:ascii="宋体" w:hAnsi="宋体" w:cs="宋体"/>
                <w:b/>
                <w:bCs/>
                <w:color w:val="auto"/>
                <w:sz w:val="24"/>
                <w:highlight w:val="none"/>
              </w:rPr>
              <w:t>备注</w:t>
            </w:r>
          </w:p>
        </w:tc>
      </w:tr>
      <w:tr w14:paraId="2E682A70">
        <w:tblPrEx>
          <w:tblCellMar>
            <w:top w:w="0" w:type="dxa"/>
            <w:left w:w="108" w:type="dxa"/>
            <w:bottom w:w="0" w:type="dxa"/>
            <w:right w:w="108" w:type="dxa"/>
          </w:tblCellMar>
        </w:tblPrEx>
        <w:trPr>
          <w:trHeight w:val="90"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174C8D1A">
            <w:pPr>
              <w:spacing w:line="340" w:lineRule="exact"/>
              <w:jc w:val="center"/>
              <w:rPr>
                <w:rFonts w:hint="eastAsia" w:ascii="宋体" w:hAnsi="宋体" w:cs="宋体"/>
                <w:color w:val="auto"/>
                <w:sz w:val="28"/>
                <w:szCs w:val="28"/>
                <w:highlight w:val="none"/>
              </w:rPr>
            </w:pPr>
            <w:r>
              <w:rPr>
                <w:rFonts w:hint="eastAsia" w:ascii="宋体" w:hAnsi="宋体" w:cs="宋体"/>
                <w:color w:val="auto"/>
                <w:szCs w:val="21"/>
                <w:highlight w:val="none"/>
              </w:rPr>
              <w:t>1</w:t>
            </w:r>
          </w:p>
        </w:tc>
        <w:tc>
          <w:tcPr>
            <w:tcW w:w="1523" w:type="dxa"/>
            <w:tcBorders>
              <w:top w:val="single" w:color="auto" w:sz="4" w:space="0"/>
              <w:left w:val="single" w:color="auto" w:sz="4" w:space="0"/>
              <w:bottom w:val="single" w:color="auto" w:sz="4" w:space="0"/>
              <w:right w:val="single" w:color="auto" w:sz="4" w:space="0"/>
            </w:tcBorders>
            <w:shd w:val="clear" w:color="auto" w:fill="FFFFFF"/>
            <w:vAlign w:val="center"/>
          </w:tcPr>
          <w:p w14:paraId="571E0A4A">
            <w:pPr>
              <w:spacing w:line="360" w:lineRule="auto"/>
              <w:jc w:val="center"/>
              <w:rPr>
                <w:rFonts w:hint="eastAsia" w:ascii="宋体" w:hAnsi="宋体" w:cs="宋体"/>
                <w:color w:val="auto"/>
                <w:sz w:val="28"/>
                <w:szCs w:val="28"/>
                <w:highlight w:val="none"/>
              </w:rPr>
            </w:pPr>
          </w:p>
        </w:tc>
        <w:tc>
          <w:tcPr>
            <w:tcW w:w="2019" w:type="dxa"/>
            <w:tcBorders>
              <w:top w:val="single" w:color="auto" w:sz="4" w:space="0"/>
              <w:left w:val="single" w:color="auto" w:sz="4" w:space="0"/>
              <w:bottom w:val="single" w:color="auto" w:sz="4" w:space="0"/>
              <w:right w:val="single" w:color="auto" w:sz="4" w:space="0"/>
            </w:tcBorders>
            <w:shd w:val="clear" w:color="auto" w:fill="FFFFFF"/>
            <w:vAlign w:val="center"/>
          </w:tcPr>
          <w:p w14:paraId="79EBCD50">
            <w:pPr>
              <w:spacing w:line="340" w:lineRule="exact"/>
              <w:jc w:val="center"/>
              <w:rPr>
                <w:rFonts w:hint="eastAsia" w:ascii="宋体" w:hAnsi="宋体" w:cs="宋体"/>
                <w:color w:val="auto"/>
                <w:sz w:val="28"/>
                <w:szCs w:val="28"/>
                <w:highlight w:val="none"/>
              </w:rPr>
            </w:pPr>
          </w:p>
        </w:tc>
        <w:tc>
          <w:tcPr>
            <w:tcW w:w="935" w:type="dxa"/>
            <w:tcBorders>
              <w:top w:val="single" w:color="auto" w:sz="4" w:space="0"/>
              <w:left w:val="single" w:color="auto" w:sz="4" w:space="0"/>
              <w:bottom w:val="single" w:color="auto" w:sz="4" w:space="0"/>
              <w:right w:val="single" w:color="auto" w:sz="4" w:space="0"/>
            </w:tcBorders>
            <w:shd w:val="clear" w:color="auto" w:fill="FFFFFF"/>
            <w:vAlign w:val="center"/>
          </w:tcPr>
          <w:p w14:paraId="14EB4F7D">
            <w:pPr>
              <w:spacing w:line="340" w:lineRule="exact"/>
              <w:jc w:val="center"/>
              <w:rPr>
                <w:rFonts w:hint="eastAsia" w:ascii="宋体" w:hAnsi="宋体" w:cs="宋体"/>
                <w:color w:val="auto"/>
                <w:sz w:val="28"/>
                <w:szCs w:val="28"/>
                <w:highlight w:val="none"/>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14:paraId="275447D6">
            <w:pPr>
              <w:spacing w:line="340" w:lineRule="exact"/>
              <w:jc w:val="center"/>
              <w:rPr>
                <w:rFonts w:hint="eastAsia" w:ascii="宋体" w:hAnsi="宋体" w:cs="宋体"/>
                <w:color w:val="auto"/>
                <w:sz w:val="28"/>
                <w:szCs w:val="28"/>
                <w:highlight w:val="none"/>
              </w:rPr>
            </w:pP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14:paraId="40D47AB2">
            <w:pPr>
              <w:spacing w:line="340" w:lineRule="exact"/>
              <w:jc w:val="center"/>
              <w:rPr>
                <w:rFonts w:hint="eastAsia" w:ascii="宋体" w:hAnsi="宋体" w:cs="宋体"/>
                <w:color w:val="auto"/>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14:paraId="4FDA2915">
            <w:pPr>
              <w:spacing w:line="340" w:lineRule="exact"/>
              <w:jc w:val="center"/>
              <w:rPr>
                <w:rFonts w:hint="eastAsia" w:ascii="宋体" w:hAnsi="宋体" w:cs="宋体"/>
                <w:color w:val="auto"/>
                <w:szCs w:val="21"/>
                <w:highlight w:val="none"/>
              </w:rPr>
            </w:pPr>
          </w:p>
        </w:tc>
      </w:tr>
      <w:tr w14:paraId="13FBBE33">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5061F3E4">
            <w:pPr>
              <w:spacing w:line="340" w:lineRule="exact"/>
              <w:jc w:val="center"/>
              <w:rPr>
                <w:rFonts w:hint="eastAsia" w:ascii="宋体" w:hAnsi="宋体" w:cs="宋体"/>
                <w:color w:val="auto"/>
                <w:sz w:val="28"/>
                <w:szCs w:val="28"/>
                <w:highlight w:val="none"/>
              </w:rPr>
            </w:pPr>
            <w:r>
              <w:rPr>
                <w:rFonts w:hint="eastAsia" w:ascii="宋体" w:hAnsi="宋体" w:cs="宋体"/>
                <w:color w:val="auto"/>
                <w:szCs w:val="21"/>
                <w:highlight w:val="none"/>
              </w:rPr>
              <w:t>2</w:t>
            </w:r>
          </w:p>
        </w:tc>
        <w:tc>
          <w:tcPr>
            <w:tcW w:w="1523" w:type="dxa"/>
            <w:tcBorders>
              <w:top w:val="single" w:color="auto" w:sz="4" w:space="0"/>
              <w:left w:val="single" w:color="auto" w:sz="4" w:space="0"/>
              <w:bottom w:val="single" w:color="auto" w:sz="4" w:space="0"/>
              <w:right w:val="single" w:color="auto" w:sz="4" w:space="0"/>
            </w:tcBorders>
            <w:shd w:val="clear" w:color="auto" w:fill="FFFFFF"/>
            <w:vAlign w:val="center"/>
          </w:tcPr>
          <w:p w14:paraId="455307D1">
            <w:pPr>
              <w:spacing w:line="360" w:lineRule="auto"/>
              <w:jc w:val="center"/>
              <w:rPr>
                <w:rFonts w:hint="eastAsia" w:ascii="宋体" w:hAnsi="宋体" w:cs="宋体"/>
                <w:color w:val="auto"/>
                <w:sz w:val="28"/>
                <w:szCs w:val="28"/>
                <w:highlight w:val="none"/>
              </w:rPr>
            </w:pPr>
          </w:p>
        </w:tc>
        <w:tc>
          <w:tcPr>
            <w:tcW w:w="2019" w:type="dxa"/>
            <w:tcBorders>
              <w:top w:val="single" w:color="auto" w:sz="4" w:space="0"/>
              <w:left w:val="single" w:color="auto" w:sz="4" w:space="0"/>
              <w:bottom w:val="single" w:color="auto" w:sz="4" w:space="0"/>
              <w:right w:val="single" w:color="auto" w:sz="4" w:space="0"/>
            </w:tcBorders>
            <w:shd w:val="clear" w:color="auto" w:fill="FFFFFF"/>
            <w:vAlign w:val="center"/>
          </w:tcPr>
          <w:p w14:paraId="16DE5167">
            <w:pPr>
              <w:spacing w:line="340" w:lineRule="exact"/>
              <w:jc w:val="center"/>
              <w:rPr>
                <w:rFonts w:hint="eastAsia" w:ascii="宋体" w:hAnsi="宋体" w:cs="宋体"/>
                <w:color w:val="auto"/>
                <w:sz w:val="28"/>
                <w:szCs w:val="28"/>
                <w:highlight w:val="none"/>
              </w:rPr>
            </w:pPr>
          </w:p>
        </w:tc>
        <w:tc>
          <w:tcPr>
            <w:tcW w:w="935" w:type="dxa"/>
            <w:tcBorders>
              <w:top w:val="single" w:color="auto" w:sz="4" w:space="0"/>
              <w:left w:val="single" w:color="auto" w:sz="4" w:space="0"/>
              <w:bottom w:val="single" w:color="auto" w:sz="4" w:space="0"/>
              <w:right w:val="single" w:color="auto" w:sz="4" w:space="0"/>
            </w:tcBorders>
            <w:shd w:val="clear" w:color="auto" w:fill="FFFFFF"/>
            <w:vAlign w:val="center"/>
          </w:tcPr>
          <w:p w14:paraId="2F72CB70">
            <w:pPr>
              <w:spacing w:line="340" w:lineRule="exact"/>
              <w:jc w:val="center"/>
              <w:rPr>
                <w:rFonts w:hint="eastAsia" w:ascii="宋体" w:hAnsi="宋体" w:cs="宋体"/>
                <w:color w:val="auto"/>
                <w:sz w:val="28"/>
                <w:szCs w:val="28"/>
                <w:highlight w:val="none"/>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14:paraId="1DC23838">
            <w:pPr>
              <w:spacing w:line="340" w:lineRule="exact"/>
              <w:jc w:val="center"/>
              <w:rPr>
                <w:rFonts w:hint="eastAsia" w:ascii="宋体" w:hAnsi="宋体" w:cs="宋体"/>
                <w:color w:val="auto"/>
                <w:sz w:val="28"/>
                <w:szCs w:val="28"/>
                <w:highlight w:val="none"/>
              </w:rPr>
            </w:pP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14:paraId="62D838A4">
            <w:pPr>
              <w:spacing w:line="340" w:lineRule="exact"/>
              <w:jc w:val="center"/>
              <w:rPr>
                <w:rFonts w:hint="eastAsia" w:ascii="宋体" w:hAnsi="宋体" w:cs="宋体"/>
                <w:color w:val="auto"/>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14:paraId="0328CD07">
            <w:pPr>
              <w:spacing w:line="340" w:lineRule="exact"/>
              <w:jc w:val="center"/>
              <w:rPr>
                <w:rFonts w:hint="eastAsia" w:ascii="宋体" w:hAnsi="宋体" w:cs="宋体"/>
                <w:color w:val="auto"/>
                <w:szCs w:val="21"/>
                <w:highlight w:val="none"/>
              </w:rPr>
            </w:pPr>
          </w:p>
        </w:tc>
      </w:tr>
      <w:tr w14:paraId="25006688">
        <w:tblPrEx>
          <w:tblCellMar>
            <w:top w:w="0" w:type="dxa"/>
            <w:left w:w="108" w:type="dxa"/>
            <w:bottom w:w="0" w:type="dxa"/>
            <w:right w:w="108" w:type="dxa"/>
          </w:tblCellMar>
        </w:tblPrEx>
        <w:trPr>
          <w:trHeight w:val="287"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51BEDB6D">
            <w:pPr>
              <w:spacing w:line="340" w:lineRule="exact"/>
              <w:jc w:val="center"/>
              <w:rPr>
                <w:rFonts w:hint="eastAsia" w:ascii="宋体" w:hAnsi="宋体" w:cs="宋体"/>
                <w:color w:val="auto"/>
                <w:sz w:val="28"/>
                <w:szCs w:val="28"/>
                <w:highlight w:val="none"/>
              </w:rPr>
            </w:pPr>
          </w:p>
        </w:tc>
        <w:tc>
          <w:tcPr>
            <w:tcW w:w="1523" w:type="dxa"/>
            <w:tcBorders>
              <w:top w:val="single" w:color="auto" w:sz="4" w:space="0"/>
              <w:left w:val="single" w:color="auto" w:sz="4" w:space="0"/>
              <w:bottom w:val="single" w:color="auto" w:sz="4" w:space="0"/>
              <w:right w:val="single" w:color="auto" w:sz="4" w:space="0"/>
            </w:tcBorders>
            <w:shd w:val="clear" w:color="auto" w:fill="FFFFFF"/>
            <w:vAlign w:val="center"/>
          </w:tcPr>
          <w:p w14:paraId="109615A8">
            <w:pPr>
              <w:spacing w:line="360" w:lineRule="auto"/>
              <w:jc w:val="center"/>
              <w:rPr>
                <w:rFonts w:hint="eastAsia" w:ascii="宋体" w:hAnsi="宋体" w:cs="宋体"/>
                <w:color w:val="auto"/>
                <w:sz w:val="28"/>
                <w:szCs w:val="28"/>
                <w:highlight w:val="none"/>
              </w:rPr>
            </w:pPr>
          </w:p>
        </w:tc>
        <w:tc>
          <w:tcPr>
            <w:tcW w:w="2019" w:type="dxa"/>
            <w:tcBorders>
              <w:top w:val="single" w:color="auto" w:sz="4" w:space="0"/>
              <w:left w:val="single" w:color="auto" w:sz="4" w:space="0"/>
              <w:bottom w:val="single" w:color="auto" w:sz="4" w:space="0"/>
              <w:right w:val="single" w:color="auto" w:sz="4" w:space="0"/>
            </w:tcBorders>
            <w:shd w:val="clear" w:color="auto" w:fill="FFFFFF"/>
            <w:vAlign w:val="center"/>
          </w:tcPr>
          <w:p w14:paraId="6F960E4F">
            <w:pPr>
              <w:spacing w:line="340" w:lineRule="exact"/>
              <w:jc w:val="center"/>
              <w:rPr>
                <w:rFonts w:hint="eastAsia" w:ascii="宋体" w:hAnsi="宋体" w:cs="宋体"/>
                <w:color w:val="auto"/>
                <w:sz w:val="28"/>
                <w:szCs w:val="28"/>
                <w:highlight w:val="none"/>
              </w:rPr>
            </w:pPr>
          </w:p>
        </w:tc>
        <w:tc>
          <w:tcPr>
            <w:tcW w:w="935" w:type="dxa"/>
            <w:tcBorders>
              <w:top w:val="single" w:color="auto" w:sz="4" w:space="0"/>
              <w:left w:val="single" w:color="auto" w:sz="4" w:space="0"/>
              <w:bottom w:val="single" w:color="auto" w:sz="4" w:space="0"/>
              <w:right w:val="single" w:color="auto" w:sz="4" w:space="0"/>
            </w:tcBorders>
            <w:shd w:val="clear" w:color="auto" w:fill="FFFFFF"/>
            <w:vAlign w:val="center"/>
          </w:tcPr>
          <w:p w14:paraId="5D5A523E">
            <w:pPr>
              <w:spacing w:line="340" w:lineRule="exact"/>
              <w:jc w:val="center"/>
              <w:rPr>
                <w:rFonts w:hint="eastAsia" w:ascii="宋体" w:hAnsi="宋体" w:cs="宋体"/>
                <w:color w:val="auto"/>
                <w:sz w:val="28"/>
                <w:szCs w:val="28"/>
                <w:highlight w:val="none"/>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14:paraId="5DAD0B21">
            <w:pPr>
              <w:spacing w:line="340" w:lineRule="exact"/>
              <w:jc w:val="center"/>
              <w:rPr>
                <w:rFonts w:hint="eastAsia" w:ascii="宋体" w:hAnsi="宋体" w:cs="宋体"/>
                <w:color w:val="auto"/>
                <w:sz w:val="28"/>
                <w:szCs w:val="28"/>
                <w:highlight w:val="none"/>
              </w:rPr>
            </w:pP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14:paraId="7A48CAA3">
            <w:pPr>
              <w:spacing w:line="340" w:lineRule="exact"/>
              <w:jc w:val="center"/>
              <w:rPr>
                <w:rFonts w:hint="eastAsia" w:ascii="宋体" w:hAnsi="宋体" w:cs="宋体"/>
                <w:color w:val="auto"/>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14:paraId="74285CD0">
            <w:pPr>
              <w:spacing w:line="340" w:lineRule="exact"/>
              <w:jc w:val="center"/>
              <w:rPr>
                <w:rFonts w:hint="eastAsia" w:ascii="宋体" w:hAnsi="宋体" w:cs="宋体"/>
                <w:color w:val="auto"/>
                <w:szCs w:val="21"/>
                <w:highlight w:val="none"/>
              </w:rPr>
            </w:pPr>
          </w:p>
        </w:tc>
      </w:tr>
      <w:tr w14:paraId="3B7E6BC8">
        <w:tblPrEx>
          <w:tblCellMar>
            <w:top w:w="0" w:type="dxa"/>
            <w:left w:w="108" w:type="dxa"/>
            <w:bottom w:w="0" w:type="dxa"/>
            <w:right w:w="108" w:type="dxa"/>
          </w:tblCellMar>
        </w:tblPrEx>
        <w:trPr>
          <w:trHeight w:val="521" w:hRule="atLeast"/>
          <w:jc w:val="center"/>
        </w:trPr>
        <w:tc>
          <w:tcPr>
            <w:tcW w:w="642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F134D38">
            <w:pPr>
              <w:spacing w:line="360" w:lineRule="auto"/>
              <w:jc w:val="center"/>
              <w:rPr>
                <w:rFonts w:hint="eastAsia" w:ascii="宋体" w:hAnsi="宋体" w:cs="宋体"/>
                <w:color w:val="auto"/>
                <w:sz w:val="28"/>
                <w:szCs w:val="28"/>
                <w:highlight w:val="none"/>
              </w:rPr>
            </w:pPr>
            <w:r>
              <w:rPr>
                <w:rFonts w:hint="eastAsia" w:ascii="宋体" w:hAnsi="宋体" w:cs="宋体"/>
                <w:color w:val="auto"/>
                <w:sz w:val="28"/>
                <w:szCs w:val="28"/>
                <w:highlight w:val="none"/>
              </w:rPr>
              <w:t>总       价</w:t>
            </w: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14:paraId="4EB80571">
            <w:pPr>
              <w:spacing w:line="360" w:lineRule="auto"/>
              <w:jc w:val="left"/>
              <w:rPr>
                <w:rFonts w:hint="eastAsia" w:ascii="宋体" w:hAnsi="宋体" w:cs="宋体"/>
                <w:color w:val="auto"/>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14:paraId="044CA4AA">
            <w:pPr>
              <w:spacing w:line="340" w:lineRule="exact"/>
              <w:jc w:val="center"/>
              <w:rPr>
                <w:rFonts w:hint="eastAsia" w:ascii="宋体" w:hAnsi="宋体" w:cs="宋体"/>
                <w:color w:val="auto"/>
                <w:sz w:val="28"/>
                <w:szCs w:val="28"/>
                <w:highlight w:val="none"/>
              </w:rPr>
            </w:pPr>
            <w:r>
              <w:rPr>
                <w:rFonts w:hint="eastAsia" w:ascii="宋体" w:hAnsi="宋体" w:cs="宋体"/>
                <w:color w:val="auto"/>
                <w:szCs w:val="21"/>
                <w:highlight w:val="none"/>
              </w:rPr>
              <w:t>/</w:t>
            </w:r>
          </w:p>
        </w:tc>
      </w:tr>
    </w:tbl>
    <w:p w14:paraId="4903D14F">
      <w:pPr>
        <w:spacing w:before="156" w:beforeLines="50" w:line="360" w:lineRule="auto"/>
        <w:ind w:firstLine="482" w:firstLineChars="200"/>
        <w:jc w:val="left"/>
        <w:outlineLvl w:val="1"/>
        <w:rPr>
          <w:rFonts w:hint="eastAsia" w:ascii="宋体" w:hAnsi="宋体" w:cs="宋体"/>
          <w:b/>
          <w:color w:val="auto"/>
          <w:sz w:val="24"/>
          <w:highlight w:val="none"/>
        </w:rPr>
      </w:pPr>
      <w:bookmarkStart w:id="8" w:name="_Toc10915"/>
      <w:bookmarkStart w:id="9" w:name="_Toc32278"/>
      <w:r>
        <w:rPr>
          <w:rFonts w:hint="eastAsia" w:ascii="宋体" w:hAnsi="宋体" w:cs="宋体"/>
          <w:b/>
          <w:color w:val="auto"/>
          <w:sz w:val="24"/>
          <w:highlight w:val="none"/>
        </w:rPr>
        <w:t>四、政府采购合同金额</w:t>
      </w:r>
      <w:bookmarkEnd w:id="8"/>
      <w:bookmarkEnd w:id="9"/>
    </w:p>
    <w:p w14:paraId="33835C58">
      <w:pPr>
        <w:spacing w:line="360" w:lineRule="auto"/>
        <w:jc w:val="left"/>
        <w:rPr>
          <w:rFonts w:hint="eastAsia" w:ascii="宋体" w:hAnsi="宋体" w:cs="宋体"/>
          <w:b/>
          <w:color w:val="auto"/>
          <w:sz w:val="24"/>
          <w:highlight w:val="none"/>
        </w:rPr>
      </w:pPr>
      <w:r>
        <w:rPr>
          <w:rFonts w:hint="eastAsia" w:ascii="宋体" w:hAnsi="宋体" w:cs="宋体"/>
          <w:color w:val="auto"/>
          <w:sz w:val="24"/>
          <w:highlight w:val="none"/>
        </w:rPr>
        <w:t xml:space="preserve">    根据上述政府采购合同文件要求，政府采购合同的总金额为人民币</w:t>
      </w:r>
      <w:r>
        <w:rPr>
          <w:rFonts w:hint="eastAsia" w:ascii="宋体" w:hAnsi="宋体" w:cs="宋体"/>
          <w:color w:val="auto"/>
          <w:sz w:val="24"/>
          <w:highlight w:val="none"/>
          <w:u w:val="single"/>
        </w:rPr>
        <w:t>(</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rPr>
        <w:t>)</w:t>
      </w:r>
      <w:r>
        <w:rPr>
          <w:rFonts w:hint="eastAsia" w:ascii="宋体" w:hAnsi="宋体" w:cs="宋体"/>
          <w:color w:val="auto"/>
          <w:sz w:val="24"/>
          <w:highlight w:val="none"/>
        </w:rPr>
        <w:t>，小写：¥元。 （此合同价指验收合格并将货物送到交货地点的全部货款）</w:t>
      </w:r>
    </w:p>
    <w:p w14:paraId="0FA45860">
      <w:pPr>
        <w:spacing w:before="156" w:beforeLines="50" w:line="360" w:lineRule="auto"/>
        <w:ind w:firstLine="482" w:firstLineChars="200"/>
        <w:jc w:val="left"/>
        <w:outlineLvl w:val="1"/>
        <w:rPr>
          <w:rFonts w:hint="eastAsia" w:ascii="宋体" w:hAnsi="宋体" w:cs="宋体"/>
          <w:b/>
          <w:color w:val="auto"/>
          <w:sz w:val="24"/>
          <w:highlight w:val="none"/>
        </w:rPr>
      </w:pPr>
      <w:bookmarkStart w:id="10" w:name="_Toc19097"/>
      <w:bookmarkStart w:id="11" w:name="_Toc4551"/>
      <w:r>
        <w:rPr>
          <w:rFonts w:hint="eastAsia" w:ascii="宋体" w:hAnsi="宋体" w:cs="宋体"/>
          <w:b/>
          <w:color w:val="auto"/>
          <w:sz w:val="24"/>
          <w:highlight w:val="none"/>
        </w:rPr>
        <w:t>五、付款方式</w:t>
      </w:r>
      <w:bookmarkEnd w:id="10"/>
      <w:bookmarkEnd w:id="11"/>
    </w:p>
    <w:p w14:paraId="7AADE38C">
      <w:pPr>
        <w:spacing w:before="156" w:beforeLines="50" w:line="360" w:lineRule="auto"/>
        <w:ind w:firstLine="480" w:firstLineChars="200"/>
        <w:jc w:val="left"/>
        <w:outlineLvl w:val="1"/>
        <w:rPr>
          <w:rFonts w:hint="eastAsia" w:ascii="宋体" w:hAnsi="宋体" w:cs="宋体"/>
          <w:color w:val="auto"/>
          <w:sz w:val="24"/>
          <w:highlight w:val="none"/>
          <w:lang w:val="en-US" w:eastAsia="zh-CN"/>
        </w:rPr>
      </w:pPr>
      <w:bookmarkStart w:id="12" w:name="_Toc20389"/>
      <w:bookmarkStart w:id="13" w:name="_Toc18618"/>
      <w:r>
        <w:rPr>
          <w:rFonts w:hint="eastAsia" w:ascii="宋体" w:hAnsi="宋体" w:cs="宋体"/>
          <w:color w:val="auto"/>
          <w:sz w:val="24"/>
          <w:highlight w:val="none"/>
          <w:lang w:val="en-US" w:eastAsia="zh-CN"/>
        </w:rPr>
        <w:t xml:space="preserve"> </w:t>
      </w:r>
      <w:r>
        <w:rPr>
          <w:rFonts w:hint="eastAsia" w:ascii="宋体" w:hAnsi="宋体" w:eastAsia="宋体" w:cs="宋体"/>
          <w:bCs/>
          <w:color w:val="000000" w:themeColor="text1"/>
          <w:kern w:val="2"/>
          <w:sz w:val="24"/>
          <w:szCs w:val="24"/>
          <w:highlight w:val="none"/>
          <w:lang w:val="en-US" w:eastAsia="zh-CN"/>
          <w14:textFill>
            <w14:solidFill>
              <w14:schemeClr w14:val="tx1"/>
            </w14:solidFill>
          </w14:textFill>
        </w:rPr>
        <w:t>合同签订后，成交方将货物按要求配送给采购方，并由采购方验收合格入库后，新进供货公司6个月后支付货款，原有供货公司3个月后支付货款。</w:t>
      </w:r>
    </w:p>
    <w:p w14:paraId="2DEE94F9">
      <w:pPr>
        <w:spacing w:before="156" w:beforeLines="50" w:line="360" w:lineRule="auto"/>
        <w:ind w:firstLine="482" w:firstLineChars="200"/>
        <w:jc w:val="left"/>
        <w:outlineLvl w:val="1"/>
        <w:rPr>
          <w:rFonts w:hint="eastAsia" w:ascii="宋体" w:hAnsi="宋体" w:cs="宋体"/>
          <w:b/>
          <w:color w:val="auto"/>
          <w:sz w:val="24"/>
          <w:highlight w:val="none"/>
        </w:rPr>
      </w:pPr>
      <w:r>
        <w:rPr>
          <w:rFonts w:hint="eastAsia" w:ascii="宋体" w:hAnsi="宋体" w:cs="宋体"/>
          <w:b/>
          <w:color w:val="auto"/>
          <w:sz w:val="24"/>
          <w:highlight w:val="none"/>
        </w:rPr>
        <w:t>六、交付时间、交付地点和方式</w:t>
      </w:r>
      <w:bookmarkEnd w:id="12"/>
      <w:bookmarkEnd w:id="13"/>
    </w:p>
    <w:p w14:paraId="69B916D9">
      <w:pPr>
        <w:spacing w:before="156" w:beforeLines="50"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lang w:val="en-US" w:eastAsia="zh-CN"/>
        </w:rPr>
        <w:t>1.</w:t>
      </w:r>
      <w:r>
        <w:rPr>
          <w:rFonts w:hint="eastAsia" w:ascii="宋体" w:hAnsi="宋体" w:cs="宋体"/>
          <w:color w:val="auto"/>
          <w:sz w:val="24"/>
          <w:highlight w:val="none"/>
        </w:rPr>
        <w:t>供货时效：上述耗材每次供货数量、时间及规格型号以采购人通知或下发的采购清单为准，结算按实际双方认可的数量进行结算。接到供货通知后,须72小时内送货；加急物资需随叫随送；</w:t>
      </w:r>
    </w:p>
    <w:p w14:paraId="1088A027">
      <w:pPr>
        <w:spacing w:before="156" w:beforeLines="50"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lang w:val="en-US" w:eastAsia="zh-CN"/>
        </w:rPr>
        <w:t>2.</w:t>
      </w:r>
      <w:r>
        <w:rPr>
          <w:rFonts w:hint="eastAsia" w:ascii="宋体" w:hAnsi="宋体" w:cs="宋体"/>
          <w:color w:val="auto"/>
          <w:sz w:val="24"/>
          <w:highlight w:val="none"/>
        </w:rPr>
        <w:t>供货地点：采购人指定地点。</w:t>
      </w:r>
    </w:p>
    <w:p w14:paraId="7F00655D">
      <w:pPr>
        <w:spacing w:before="156" w:beforeLines="50"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lang w:val="en-US" w:eastAsia="zh-CN"/>
        </w:rPr>
        <w:t>3.</w:t>
      </w:r>
      <w:r>
        <w:rPr>
          <w:rFonts w:hint="eastAsia" w:ascii="宋体" w:hAnsi="宋体" w:cs="宋体"/>
          <w:color w:val="auto"/>
          <w:sz w:val="24"/>
          <w:highlight w:val="none"/>
        </w:rPr>
        <w:t>供货方式：由中标供应商送货至指定地点。</w:t>
      </w:r>
    </w:p>
    <w:p w14:paraId="6D40B919">
      <w:pPr>
        <w:spacing w:before="156" w:beforeLines="50"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lang w:val="en-US" w:eastAsia="zh-CN"/>
        </w:rPr>
        <w:t>4.</w:t>
      </w:r>
      <w:r>
        <w:rPr>
          <w:rFonts w:hint="eastAsia" w:ascii="宋体" w:hAnsi="宋体" w:cs="宋体"/>
          <w:color w:val="auto"/>
          <w:sz w:val="24"/>
          <w:highlight w:val="none"/>
        </w:rPr>
        <w:t>供货要求：产品送货当日距产品失效期不小于三分之二有效期，质保期自产品验收之日起计算，产品必须无污染，无侵权行为、表面无划损、无任何缺陷隐患，在中国境内可依常规安全合法使用。</w:t>
      </w:r>
    </w:p>
    <w:p w14:paraId="3733DAC8">
      <w:pPr>
        <w:spacing w:before="156" w:beforeLines="50" w:line="360" w:lineRule="auto"/>
        <w:ind w:firstLine="482" w:firstLineChars="200"/>
        <w:jc w:val="left"/>
        <w:outlineLvl w:val="1"/>
        <w:rPr>
          <w:rFonts w:hint="eastAsia" w:ascii="宋体" w:hAnsi="宋体" w:cs="宋体"/>
          <w:b/>
          <w:color w:val="auto"/>
          <w:sz w:val="24"/>
          <w:highlight w:val="none"/>
        </w:rPr>
      </w:pPr>
      <w:bookmarkStart w:id="14" w:name="_Toc27979"/>
      <w:bookmarkStart w:id="15" w:name="_Toc21166"/>
      <w:r>
        <w:rPr>
          <w:rFonts w:hint="eastAsia" w:ascii="宋体" w:hAnsi="宋体" w:cs="宋体"/>
          <w:b/>
          <w:color w:val="auto"/>
          <w:sz w:val="24"/>
          <w:highlight w:val="none"/>
        </w:rPr>
        <w:t>七、质量保证</w:t>
      </w:r>
      <w:bookmarkEnd w:id="14"/>
      <w:bookmarkEnd w:id="15"/>
    </w:p>
    <w:p w14:paraId="377137EE">
      <w:pPr>
        <w:spacing w:before="156" w:beforeLines="50" w:line="360" w:lineRule="auto"/>
        <w:ind w:firstLine="480" w:firstLineChars="200"/>
        <w:jc w:val="left"/>
        <w:rPr>
          <w:rFonts w:hint="eastAsia" w:ascii="宋体" w:hAnsi="宋体" w:cs="宋体"/>
          <w:b/>
          <w:color w:val="auto"/>
          <w:sz w:val="24"/>
          <w:highlight w:val="none"/>
        </w:rPr>
      </w:pPr>
      <w:r>
        <w:rPr>
          <w:rFonts w:hint="eastAsia" w:ascii="宋体" w:hAnsi="宋体" w:cs="宋体"/>
          <w:color w:val="auto"/>
          <w:sz w:val="24"/>
          <w:highlight w:val="none"/>
        </w:rPr>
        <w:t>乙方保证提供的耗材必须为正规渠道销售的耗材，为全新未使用过的，并完全符合国家、行业标准以及投标文件所响应的质量、规格和性能要求。乙方应保证所提供的货物经正确安装、正常运转和保养在其使用寿命期内具有满意的性能。在货物质量保证期内，乙方应对由于设计、工艺或材料的缺陷而造成的任何不足或故障负责。</w:t>
      </w:r>
    </w:p>
    <w:p w14:paraId="502972A1">
      <w:pPr>
        <w:spacing w:before="156" w:beforeLines="50" w:line="360" w:lineRule="auto"/>
        <w:ind w:firstLine="482" w:firstLineChars="200"/>
        <w:jc w:val="left"/>
        <w:outlineLvl w:val="1"/>
        <w:rPr>
          <w:rFonts w:hint="eastAsia" w:ascii="宋体" w:hAnsi="宋体" w:cs="宋体"/>
          <w:b/>
          <w:color w:val="auto"/>
          <w:sz w:val="24"/>
          <w:highlight w:val="none"/>
        </w:rPr>
      </w:pPr>
      <w:bookmarkStart w:id="16" w:name="_Toc1264"/>
      <w:bookmarkStart w:id="17" w:name="_Toc28673"/>
      <w:r>
        <w:rPr>
          <w:rFonts w:hint="eastAsia" w:ascii="宋体" w:hAnsi="宋体" w:cs="宋体"/>
          <w:b/>
          <w:color w:val="auto"/>
          <w:sz w:val="24"/>
          <w:highlight w:val="none"/>
        </w:rPr>
        <w:t>八、验收要求</w:t>
      </w:r>
      <w:bookmarkEnd w:id="16"/>
      <w:bookmarkEnd w:id="17"/>
    </w:p>
    <w:p w14:paraId="5213D67C">
      <w:pPr>
        <w:widowControl w:val="0"/>
        <w:spacing w:before="62" w:beforeLines="20" w:after="62" w:afterLines="20" w:line="360" w:lineRule="auto"/>
        <w:ind w:firstLine="458" w:firstLineChars="191"/>
        <w:jc w:val="both"/>
        <w:textAlignment w:val="baseline"/>
        <w:rPr>
          <w:rFonts w:hint="eastAsia" w:ascii="宋体" w:hAnsi="宋体" w:eastAsia="宋体" w:cs="宋体"/>
          <w:bCs/>
          <w:color w:val="000000" w:themeColor="text1"/>
          <w:kern w:val="2"/>
          <w:sz w:val="24"/>
          <w:szCs w:val="24"/>
          <w:highlight w:val="none"/>
          <w14:textFill>
            <w14:solidFill>
              <w14:schemeClr w14:val="tx1"/>
            </w14:solidFill>
          </w14:textFill>
        </w:rPr>
      </w:pPr>
      <w:bookmarkStart w:id="18" w:name="_Toc22178"/>
      <w:bookmarkStart w:id="19" w:name="_Toc22384"/>
      <w:r>
        <w:rPr>
          <w:rFonts w:hint="eastAsia" w:ascii="宋体" w:hAnsi="宋体" w:eastAsia="宋体" w:cs="宋体"/>
          <w:bCs/>
          <w:color w:val="000000" w:themeColor="text1"/>
          <w:kern w:val="2"/>
          <w:sz w:val="24"/>
          <w:szCs w:val="24"/>
          <w:highlight w:val="none"/>
          <w14:textFill>
            <w14:solidFill>
              <w14:schemeClr w14:val="tx1"/>
            </w14:solidFill>
          </w14:textFill>
        </w:rPr>
        <w:t>1</w:t>
      </w:r>
      <w:r>
        <w:rPr>
          <w:rFonts w:hint="eastAsia" w:ascii="宋体" w:hAnsi="宋体" w:eastAsia="宋体" w:cs="宋体"/>
          <w:bCs/>
          <w:color w:val="000000" w:themeColor="text1"/>
          <w:kern w:val="2"/>
          <w:sz w:val="24"/>
          <w:szCs w:val="24"/>
          <w:highlight w:val="none"/>
          <w:lang w:eastAsia="zh-CN"/>
          <w14:textFill>
            <w14:solidFill>
              <w14:schemeClr w14:val="tx1"/>
            </w14:solidFill>
          </w14:textFill>
        </w:rPr>
        <w:t>.</w:t>
      </w:r>
      <w:r>
        <w:rPr>
          <w:rFonts w:hint="eastAsia" w:ascii="宋体" w:hAnsi="宋体" w:eastAsia="宋体" w:cs="宋体"/>
          <w:bCs/>
          <w:color w:val="000000" w:themeColor="text1"/>
          <w:kern w:val="2"/>
          <w:sz w:val="24"/>
          <w:szCs w:val="24"/>
          <w:highlight w:val="none"/>
          <w14:textFill>
            <w14:solidFill>
              <w14:schemeClr w14:val="tx1"/>
            </w14:solidFill>
          </w14:textFill>
        </w:rPr>
        <w:t>货物到达现场后，投标人应经采购人或其指定验收单位清点品名、规格、数量；检查外观，作出书面验收记录，双方签字确认。</w:t>
      </w:r>
    </w:p>
    <w:p w14:paraId="5789BB6E">
      <w:pPr>
        <w:widowControl w:val="0"/>
        <w:spacing w:before="62" w:beforeLines="20" w:after="62" w:afterLines="20" w:line="360" w:lineRule="auto"/>
        <w:ind w:firstLine="458" w:firstLineChars="191"/>
        <w:jc w:val="both"/>
        <w:textAlignment w:val="baseline"/>
        <w:rPr>
          <w:rFonts w:hint="eastAsia" w:ascii="宋体" w:hAnsi="宋体" w:eastAsia="宋体" w:cs="宋体"/>
          <w:bCs/>
          <w:color w:val="000000" w:themeColor="text1"/>
          <w:kern w:val="2"/>
          <w:sz w:val="24"/>
          <w:szCs w:val="24"/>
          <w:highlight w:val="none"/>
          <w14:textFill>
            <w14:solidFill>
              <w14:schemeClr w14:val="tx1"/>
            </w14:solidFill>
          </w14:textFill>
        </w:rPr>
      </w:pPr>
      <w:r>
        <w:rPr>
          <w:rFonts w:hint="eastAsia" w:ascii="宋体" w:hAnsi="宋体" w:eastAsia="宋体" w:cs="宋体"/>
          <w:bCs/>
          <w:color w:val="000000" w:themeColor="text1"/>
          <w:kern w:val="2"/>
          <w:sz w:val="24"/>
          <w:szCs w:val="24"/>
          <w:highlight w:val="none"/>
          <w14:textFill>
            <w14:solidFill>
              <w14:schemeClr w14:val="tx1"/>
            </w14:solidFill>
          </w14:textFill>
        </w:rPr>
        <w:t>2</w:t>
      </w:r>
      <w:r>
        <w:rPr>
          <w:rFonts w:hint="eastAsia" w:ascii="宋体" w:hAnsi="宋体" w:eastAsia="宋体" w:cs="宋体"/>
          <w:bCs/>
          <w:color w:val="000000" w:themeColor="text1"/>
          <w:kern w:val="2"/>
          <w:sz w:val="24"/>
          <w:szCs w:val="24"/>
          <w:highlight w:val="none"/>
          <w:lang w:eastAsia="zh-CN"/>
          <w14:textFill>
            <w14:solidFill>
              <w14:schemeClr w14:val="tx1"/>
            </w14:solidFill>
          </w14:textFill>
        </w:rPr>
        <w:t>.</w:t>
      </w:r>
      <w:r>
        <w:rPr>
          <w:rFonts w:hint="eastAsia" w:ascii="宋体" w:hAnsi="宋体" w:eastAsia="宋体" w:cs="宋体"/>
          <w:bCs/>
          <w:color w:val="000000" w:themeColor="text1"/>
          <w:kern w:val="2"/>
          <w:sz w:val="24"/>
          <w:szCs w:val="24"/>
          <w:highlight w:val="none"/>
          <w14:textFill>
            <w14:solidFill>
              <w14:schemeClr w14:val="tx1"/>
            </w14:solidFill>
          </w14:textFill>
        </w:rPr>
        <w:t>投标人应保证货物到达用户所在地完好无损，如有缺漏、损坏，由投标人负责调换、补齐。</w:t>
      </w:r>
    </w:p>
    <w:p w14:paraId="60F6FC66">
      <w:pPr>
        <w:widowControl w:val="0"/>
        <w:spacing w:before="62" w:beforeLines="20" w:after="62" w:afterLines="20" w:line="360" w:lineRule="auto"/>
        <w:ind w:firstLine="458" w:firstLineChars="191"/>
        <w:jc w:val="both"/>
        <w:textAlignment w:val="baseline"/>
        <w:rPr>
          <w:color w:val="000000" w:themeColor="text1"/>
          <w:highlight w:val="none"/>
          <w14:textFill>
            <w14:solidFill>
              <w14:schemeClr w14:val="tx1"/>
            </w14:solidFill>
          </w14:textFill>
        </w:rPr>
      </w:pPr>
      <w:r>
        <w:rPr>
          <w:rFonts w:hint="eastAsia" w:ascii="宋体" w:hAnsi="宋体" w:eastAsia="宋体" w:cs="宋体"/>
          <w:bCs/>
          <w:color w:val="000000" w:themeColor="text1"/>
          <w:kern w:val="2"/>
          <w:sz w:val="24"/>
          <w:szCs w:val="24"/>
          <w:highlight w:val="none"/>
          <w:lang w:val="en-US" w:eastAsia="zh-CN"/>
          <w14:textFill>
            <w14:solidFill>
              <w14:schemeClr w14:val="tx1"/>
            </w14:solidFill>
          </w14:textFill>
        </w:rPr>
        <w:t>3.</w:t>
      </w:r>
      <w:r>
        <w:rPr>
          <w:rFonts w:hint="eastAsia" w:ascii="宋体" w:hAnsi="宋体" w:eastAsia="宋体" w:cs="宋体"/>
          <w:bCs/>
          <w:color w:val="000000" w:themeColor="text1"/>
          <w:kern w:val="2"/>
          <w:sz w:val="24"/>
          <w:szCs w:val="24"/>
          <w:highlight w:val="none"/>
          <w14:textFill>
            <w14:solidFill>
              <w14:schemeClr w14:val="tx1"/>
            </w14:solidFill>
          </w14:textFill>
        </w:rPr>
        <w:t>按国家、行业、招标文件要求中标人的投标文件内容进行验收</w:t>
      </w:r>
      <w:r>
        <w:rPr>
          <w:rFonts w:hint="eastAsia" w:ascii="宋体" w:hAnsi="宋体" w:eastAsia="宋体" w:cs="宋体"/>
          <w:bCs/>
          <w:color w:val="000000" w:themeColor="text1"/>
          <w:kern w:val="2"/>
          <w:sz w:val="24"/>
          <w:szCs w:val="24"/>
          <w:highlight w:val="none"/>
          <w:lang w:eastAsia="zh-CN"/>
          <w14:textFill>
            <w14:solidFill>
              <w14:schemeClr w14:val="tx1"/>
            </w14:solidFill>
          </w14:textFill>
        </w:rPr>
        <w:t>。</w:t>
      </w:r>
    </w:p>
    <w:p w14:paraId="24ED8F42">
      <w:pPr>
        <w:pStyle w:val="2"/>
        <w:spacing w:line="360" w:lineRule="auto"/>
        <w:ind w:firstLine="480" w:firstLineChars="200"/>
        <w:rPr>
          <w:rFonts w:hint="eastAsia" w:ascii="宋体" w:hAnsi="宋体" w:eastAsia="宋体" w:cs="宋体"/>
          <w:b/>
          <w:color w:val="000000"/>
          <w:kern w:val="2"/>
          <w:sz w:val="24"/>
          <w:highlight w:val="none"/>
        </w:rPr>
      </w:pPr>
      <w:r>
        <w:rPr>
          <w:rFonts w:hint="eastAsia" w:ascii="宋体" w:hAnsi="宋体" w:cs="宋体"/>
          <w:b w:val="0"/>
          <w:color w:val="000000" w:themeColor="text1"/>
          <w:kern w:val="2"/>
          <w:sz w:val="24"/>
          <w:szCs w:val="24"/>
          <w:highlight w:val="none"/>
          <w:lang w:val="en-US" w:eastAsia="zh-CN"/>
          <w14:textFill>
            <w14:solidFill>
              <w14:schemeClr w14:val="tx1"/>
            </w14:solidFill>
          </w14:textFill>
        </w:rPr>
        <w:t>4.如所供产品在有效期结束前3个月内采购人未能使用，采购人可以要求投标人无条件按同等数量更换相同产品。</w:t>
      </w:r>
    </w:p>
    <w:p w14:paraId="25A55DC8">
      <w:pPr>
        <w:spacing w:before="156" w:beforeLines="50" w:line="360" w:lineRule="auto"/>
        <w:ind w:firstLine="482" w:firstLineChars="200"/>
        <w:jc w:val="left"/>
        <w:outlineLvl w:val="1"/>
        <w:rPr>
          <w:rFonts w:hint="eastAsia" w:ascii="宋体" w:hAnsi="宋体" w:cs="宋体"/>
          <w:b/>
          <w:color w:val="auto"/>
          <w:sz w:val="24"/>
          <w:highlight w:val="none"/>
        </w:rPr>
      </w:pPr>
      <w:r>
        <w:rPr>
          <w:rFonts w:hint="eastAsia" w:ascii="宋体" w:hAnsi="宋体" w:cs="宋体"/>
          <w:b/>
          <w:color w:val="auto"/>
          <w:sz w:val="24"/>
          <w:highlight w:val="none"/>
          <w:lang w:eastAsia="zh-CN"/>
        </w:rPr>
        <w:t>九</w:t>
      </w:r>
      <w:r>
        <w:rPr>
          <w:rFonts w:hint="eastAsia" w:ascii="宋体" w:hAnsi="宋体" w:cs="宋体"/>
          <w:b/>
          <w:color w:val="auto"/>
          <w:sz w:val="24"/>
          <w:highlight w:val="none"/>
        </w:rPr>
        <w:t>、违约责任</w:t>
      </w:r>
      <w:bookmarkEnd w:id="18"/>
      <w:bookmarkEnd w:id="19"/>
    </w:p>
    <w:p w14:paraId="23A8FF03">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1.如甲方验收不符合产品目录或达不到国家标准，经更换后仍不达标的，乙方无条件退货并偿付货款</w:t>
      </w:r>
      <w:r>
        <w:rPr>
          <w:rFonts w:hint="eastAsia" w:ascii="宋体" w:hAnsi="宋体" w:cs="宋体"/>
          <w:color w:val="auto"/>
          <w:sz w:val="24"/>
          <w:highlight w:val="none"/>
          <w:u w:val="single"/>
        </w:rPr>
        <w:t xml:space="preserve">  1</w:t>
      </w:r>
      <w:r>
        <w:rPr>
          <w:rFonts w:ascii="宋体" w:hAnsi="宋体" w:cs="宋体"/>
          <w:color w:val="auto"/>
          <w:sz w:val="24"/>
          <w:highlight w:val="none"/>
          <w:u w:val="single"/>
        </w:rPr>
        <w:t>0</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%的违约金。</w:t>
      </w:r>
    </w:p>
    <w:p w14:paraId="785FFB89">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2.如乙方不能按期交货，每日向甲方偿付不能交货的货款</w:t>
      </w:r>
      <w:r>
        <w:rPr>
          <w:rFonts w:hint="eastAsia" w:ascii="宋体" w:hAnsi="宋体" w:cs="宋体"/>
          <w:color w:val="auto"/>
          <w:sz w:val="24"/>
          <w:highlight w:val="none"/>
          <w:u w:val="single"/>
        </w:rPr>
        <w:t>1</w:t>
      </w:r>
      <w:r>
        <w:rPr>
          <w:rFonts w:hint="eastAsia" w:ascii="仿宋" w:hAnsi="仿宋" w:eastAsia="仿宋" w:cs="宋体"/>
          <w:color w:val="auto"/>
          <w:sz w:val="24"/>
          <w:highlight w:val="none"/>
          <w:u w:val="single"/>
        </w:rPr>
        <w:t>‰</w:t>
      </w:r>
      <w:r>
        <w:rPr>
          <w:rFonts w:hint="eastAsia" w:ascii="宋体" w:hAnsi="宋体" w:cs="宋体"/>
          <w:color w:val="auto"/>
          <w:sz w:val="24"/>
          <w:highlight w:val="none"/>
        </w:rPr>
        <w:t>的违约金。</w:t>
      </w:r>
    </w:p>
    <w:p w14:paraId="7997EF75">
      <w:pPr>
        <w:spacing w:before="156" w:beforeLines="50" w:line="360" w:lineRule="auto"/>
        <w:ind w:firstLine="482" w:firstLineChars="200"/>
        <w:jc w:val="left"/>
        <w:outlineLvl w:val="1"/>
        <w:rPr>
          <w:rFonts w:hint="eastAsia" w:ascii="宋体" w:hAnsi="宋体" w:cs="宋体"/>
          <w:b/>
          <w:color w:val="auto"/>
          <w:sz w:val="24"/>
          <w:highlight w:val="none"/>
        </w:rPr>
      </w:pPr>
      <w:bookmarkStart w:id="20" w:name="_Toc1519"/>
      <w:r>
        <w:rPr>
          <w:rFonts w:hint="eastAsia" w:ascii="宋体" w:hAnsi="宋体" w:cs="宋体"/>
          <w:b/>
          <w:color w:val="auto"/>
          <w:sz w:val="24"/>
          <w:highlight w:val="none"/>
        </w:rPr>
        <w:t>十、合同纠纷处理</w:t>
      </w:r>
      <w:bookmarkEnd w:id="20"/>
    </w:p>
    <w:p w14:paraId="7AFDCE8A">
      <w:pPr>
        <w:tabs>
          <w:tab w:val="left" w:pos="1980"/>
        </w:tabs>
        <w:snapToGrid w:val="0"/>
        <w:spacing w:before="19" w:line="500" w:lineRule="exact"/>
        <w:ind w:firstLine="470" w:firstLineChars="196"/>
        <w:rPr>
          <w:rFonts w:hint="eastAsia" w:ascii="宋体" w:hAnsi="宋体" w:cs="宋体"/>
          <w:color w:val="auto"/>
          <w:sz w:val="24"/>
          <w:highlight w:val="none"/>
        </w:rPr>
      </w:pPr>
      <w:r>
        <w:rPr>
          <w:rFonts w:hint="eastAsia" w:ascii="宋体" w:hAnsi="宋体" w:cs="宋体"/>
          <w:color w:val="auto"/>
          <w:sz w:val="24"/>
          <w:highlight w:val="none"/>
        </w:rPr>
        <w:t>本合同履行过程中发生的任何争议，甲乙双方当事人均可通过和解或者调解解决；不愿和解、调解或者和解、调解不成的，可以选择下列第</w:t>
      </w:r>
      <w:r>
        <w:rPr>
          <w:rFonts w:hint="eastAsia" w:ascii="宋体" w:hAnsi="宋体" w:cs="宋体"/>
          <w:color w:val="auto"/>
          <w:sz w:val="24"/>
          <w:highlight w:val="none"/>
          <w:u w:val="single"/>
        </w:rPr>
        <w:t xml:space="preserve">  （1）  </w:t>
      </w:r>
      <w:r>
        <w:rPr>
          <w:rFonts w:hint="eastAsia" w:ascii="宋体" w:hAnsi="宋体" w:cs="宋体"/>
          <w:color w:val="auto"/>
          <w:sz w:val="24"/>
          <w:highlight w:val="none"/>
        </w:rPr>
        <w:t>种方式解决：</w:t>
      </w:r>
    </w:p>
    <w:p w14:paraId="2CDFEF63">
      <w:pPr>
        <w:numPr>
          <w:ilvl w:val="0"/>
          <w:numId w:val="1"/>
        </w:num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向甲方所在地人民法院提起诉讼 ；</w:t>
      </w:r>
    </w:p>
    <w:p w14:paraId="2B0F8258">
      <w:pPr>
        <w:tabs>
          <w:tab w:val="left" w:pos="1980"/>
        </w:tabs>
        <w:snapToGrid w:val="0"/>
        <w:spacing w:before="19" w:line="500" w:lineRule="exact"/>
        <w:ind w:firstLine="470" w:firstLineChars="196"/>
        <w:rPr>
          <w:rFonts w:hint="eastAsia" w:ascii="宋体" w:hAnsi="宋体" w:cs="宋体"/>
          <w:color w:val="auto"/>
          <w:sz w:val="24"/>
          <w:highlight w:val="none"/>
          <w:shd w:val="clear" w:color="auto" w:fill="FFFFFF"/>
        </w:rPr>
      </w:pPr>
      <w:r>
        <w:rPr>
          <w:rFonts w:hint="eastAsia" w:ascii="宋体" w:hAnsi="宋体" w:cs="宋体"/>
          <w:color w:val="auto"/>
          <w:sz w:val="24"/>
          <w:highlight w:val="none"/>
        </w:rPr>
        <w:t>（2） 向</w:t>
      </w:r>
      <w:r>
        <w:rPr>
          <w:rFonts w:hint="eastAsia" w:ascii="宋体" w:hAnsi="宋体" w:cs="宋体"/>
          <w:color w:val="auto"/>
          <w:sz w:val="24"/>
          <w:highlight w:val="none"/>
          <w:u w:val="single"/>
        </w:rPr>
        <w:t xml:space="preserve">   （被告住所地、合同履行地、合同签订地、原告住所地、标的物所在地等与争议有实际联系的地点中选出的人民法院名称）    </w:t>
      </w:r>
      <w:r>
        <w:rPr>
          <w:rFonts w:hint="eastAsia" w:ascii="宋体" w:hAnsi="宋体" w:cs="宋体"/>
          <w:color w:val="auto"/>
          <w:sz w:val="24"/>
          <w:highlight w:val="none"/>
        </w:rPr>
        <w:t>人民法院起诉</w:t>
      </w:r>
      <w:r>
        <w:rPr>
          <w:rFonts w:hint="eastAsia" w:ascii="宋体" w:hAnsi="宋体" w:cs="宋体"/>
          <w:color w:val="auto"/>
          <w:sz w:val="24"/>
          <w:highlight w:val="none"/>
          <w:shd w:val="clear" w:color="auto" w:fill="FFFFFF"/>
        </w:rPr>
        <w:t>。</w:t>
      </w:r>
    </w:p>
    <w:p w14:paraId="02F6360D">
      <w:pPr>
        <w:spacing w:before="156" w:beforeLines="50" w:line="360" w:lineRule="auto"/>
        <w:ind w:firstLine="482" w:firstLineChars="200"/>
        <w:jc w:val="left"/>
        <w:outlineLvl w:val="1"/>
        <w:rPr>
          <w:rFonts w:hint="eastAsia" w:ascii="宋体" w:hAnsi="宋体" w:cs="宋体"/>
          <w:b/>
          <w:color w:val="auto"/>
          <w:sz w:val="24"/>
          <w:highlight w:val="none"/>
        </w:rPr>
      </w:pPr>
      <w:bookmarkStart w:id="21" w:name="_Toc13545"/>
      <w:bookmarkStart w:id="22" w:name="_Toc28651"/>
      <w:r>
        <w:rPr>
          <w:rFonts w:hint="eastAsia" w:ascii="宋体" w:hAnsi="宋体" w:cs="宋体"/>
          <w:b/>
          <w:color w:val="auto"/>
          <w:sz w:val="24"/>
          <w:highlight w:val="none"/>
        </w:rPr>
        <w:t>十</w:t>
      </w:r>
      <w:r>
        <w:rPr>
          <w:rFonts w:hint="eastAsia" w:ascii="宋体" w:hAnsi="宋体" w:cs="宋体"/>
          <w:b/>
          <w:color w:val="auto"/>
          <w:sz w:val="24"/>
          <w:highlight w:val="none"/>
          <w:lang w:eastAsia="zh-CN"/>
        </w:rPr>
        <w:t>一</w:t>
      </w:r>
      <w:r>
        <w:rPr>
          <w:rFonts w:hint="eastAsia" w:ascii="宋体" w:hAnsi="宋体" w:cs="宋体"/>
          <w:b/>
          <w:color w:val="auto"/>
          <w:sz w:val="24"/>
          <w:highlight w:val="none"/>
        </w:rPr>
        <w:t>、政府采购合同生效</w:t>
      </w:r>
      <w:bookmarkEnd w:id="21"/>
      <w:bookmarkEnd w:id="22"/>
    </w:p>
    <w:p w14:paraId="3168A027">
      <w:pPr>
        <w:spacing w:before="156" w:beforeLines="50"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本政府采购合同经甲乙双方授权代表签字盖章后生效。</w:t>
      </w:r>
    </w:p>
    <w:p w14:paraId="3E3B9CF3">
      <w:pPr>
        <w:spacing w:before="156" w:beforeLines="50"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本合同共柒份：甲方执肆份、乙方执贰份、代理机构执壹份。</w:t>
      </w:r>
    </w:p>
    <w:p w14:paraId="7664F77B">
      <w:pPr>
        <w:spacing w:before="156" w:beforeLines="50" w:line="360" w:lineRule="auto"/>
        <w:ind w:firstLine="482" w:firstLineChars="200"/>
        <w:jc w:val="left"/>
        <w:outlineLvl w:val="1"/>
        <w:rPr>
          <w:rFonts w:hint="eastAsia" w:ascii="宋体" w:hAnsi="宋体" w:cs="宋体"/>
          <w:b/>
          <w:color w:val="auto"/>
          <w:sz w:val="24"/>
          <w:highlight w:val="none"/>
        </w:rPr>
      </w:pPr>
      <w:bookmarkStart w:id="23" w:name="_Toc24063"/>
      <w:bookmarkStart w:id="24" w:name="_Toc20849"/>
      <w:r>
        <w:rPr>
          <w:rFonts w:hint="eastAsia" w:ascii="宋体" w:hAnsi="宋体" w:cs="宋体"/>
          <w:b/>
          <w:color w:val="auto"/>
          <w:sz w:val="24"/>
          <w:highlight w:val="none"/>
        </w:rPr>
        <w:t>十</w:t>
      </w:r>
      <w:r>
        <w:rPr>
          <w:rFonts w:hint="eastAsia" w:ascii="宋体" w:hAnsi="宋体" w:cs="宋体"/>
          <w:b/>
          <w:color w:val="auto"/>
          <w:sz w:val="24"/>
          <w:highlight w:val="none"/>
          <w:lang w:eastAsia="zh-CN"/>
        </w:rPr>
        <w:t>二</w:t>
      </w:r>
      <w:r>
        <w:rPr>
          <w:rFonts w:hint="eastAsia" w:ascii="宋体" w:hAnsi="宋体" w:cs="宋体"/>
          <w:b/>
          <w:color w:val="auto"/>
          <w:sz w:val="24"/>
          <w:highlight w:val="none"/>
        </w:rPr>
        <w:t>、其他</w:t>
      </w:r>
      <w:bookmarkEnd w:id="23"/>
      <w:bookmarkEnd w:id="24"/>
    </w:p>
    <w:p w14:paraId="5F32B15A">
      <w:pPr>
        <w:spacing w:before="156" w:beforeLines="50"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本合同未尽事宜，双方可以增加条款或补充协议的形式加以补充，但增加或补充协议的条款不得对招标文件和投标文件约定的内容作实质性修改。补充协议与本合同具有相同的法律效力。</w:t>
      </w:r>
    </w:p>
    <w:p w14:paraId="0056F093">
      <w:pPr>
        <w:autoSpaceDE w:val="0"/>
        <w:autoSpaceDN w:val="0"/>
        <w:adjustRightInd w:val="0"/>
        <w:spacing w:line="360" w:lineRule="auto"/>
        <w:ind w:firstLine="480" w:firstLineChars="200"/>
        <w:jc w:val="left"/>
        <w:rPr>
          <w:rFonts w:hint="eastAsia" w:hAnsi="宋体" w:cs="宋体"/>
          <w:color w:val="auto"/>
          <w:sz w:val="24"/>
          <w:highlight w:val="none"/>
        </w:rPr>
      </w:pPr>
      <w:r>
        <w:rPr>
          <w:rFonts w:hint="eastAsia" w:ascii="宋体" w:hAnsi="宋体" w:cs="宋体"/>
          <w:color w:val="auto"/>
          <w:sz w:val="24"/>
          <w:highlight w:val="none"/>
        </w:rPr>
        <w:t>附件：</w:t>
      </w:r>
      <w:r>
        <w:rPr>
          <w:rFonts w:ascii="宋体" w:hAnsi="宋体" w:cs="宋体"/>
          <w:color w:val="auto"/>
          <w:sz w:val="24"/>
          <w:highlight w:val="none"/>
        </w:rPr>
        <w:t>1.</w:t>
      </w:r>
      <w:r>
        <w:rPr>
          <w:rFonts w:hint="eastAsia" w:hAnsi="宋体" w:cs="宋体"/>
          <w:color w:val="auto"/>
          <w:sz w:val="24"/>
          <w:highlight w:val="none"/>
          <w:lang w:val="en-US" w:eastAsia="zh-CN"/>
        </w:rPr>
        <w:t>成交</w:t>
      </w:r>
      <w:r>
        <w:rPr>
          <w:rFonts w:hint="eastAsia" w:hAnsi="宋体" w:cs="宋体"/>
          <w:color w:val="auto"/>
          <w:sz w:val="24"/>
          <w:highlight w:val="none"/>
        </w:rPr>
        <w:t>通知书</w:t>
      </w:r>
    </w:p>
    <w:p w14:paraId="20AFDAF7">
      <w:pPr>
        <w:pStyle w:val="3"/>
        <w:numPr>
          <w:ilvl w:val="0"/>
          <w:numId w:val="2"/>
        </w:numPr>
        <w:ind w:left="1260" w:leftChars="0" w:firstLine="0" w:firstLineChars="0"/>
        <w:rPr>
          <w:rFonts w:hint="eastAsia" w:hAnsi="宋体" w:cs="宋体"/>
          <w:color w:val="auto"/>
          <w:highlight w:val="none"/>
        </w:rPr>
      </w:pPr>
      <w:r>
        <w:rPr>
          <w:rFonts w:hint="eastAsia" w:hAnsi="宋体" w:cs="宋体"/>
          <w:color w:val="auto"/>
          <w:highlight w:val="none"/>
        </w:rPr>
        <w:t>营业执照</w:t>
      </w:r>
    </w:p>
    <w:p w14:paraId="31EF9BDE">
      <w:pPr>
        <w:pStyle w:val="3"/>
        <w:numPr>
          <w:ilvl w:val="0"/>
          <w:numId w:val="2"/>
        </w:numPr>
        <w:ind w:left="1260" w:leftChars="0" w:firstLine="0" w:firstLineChars="0"/>
        <w:rPr>
          <w:rFonts w:hint="eastAsia" w:hAnsi="宋体" w:cs="宋体"/>
          <w:color w:val="auto"/>
          <w:highlight w:val="none"/>
        </w:rPr>
      </w:pPr>
      <w:r>
        <w:rPr>
          <w:rFonts w:hint="eastAsia" w:hAnsi="宋体" w:cs="宋体"/>
          <w:color w:val="auto"/>
          <w:highlight w:val="none"/>
          <w:lang w:val="en-US" w:eastAsia="zh-CN"/>
        </w:rPr>
        <w:t>采购需求</w:t>
      </w:r>
    </w:p>
    <w:p w14:paraId="7DBC9BC5">
      <w:pPr>
        <w:pStyle w:val="3"/>
        <w:numPr>
          <w:numId w:val="0"/>
        </w:numPr>
        <w:ind w:left="1260" w:leftChars="0"/>
        <w:rPr>
          <w:rFonts w:hint="eastAsia" w:hAnsi="宋体" w:cs="宋体"/>
          <w:color w:val="auto"/>
          <w:highlight w:val="none"/>
        </w:rPr>
      </w:pPr>
    </w:p>
    <w:p w14:paraId="0A56FC69">
      <w:pPr>
        <w:rPr>
          <w:rFonts w:hint="eastAsia" w:ascii="宋体" w:hAnsi="宋体" w:cs="宋体"/>
          <w:color w:val="auto"/>
          <w:sz w:val="24"/>
          <w:highlight w:val="none"/>
        </w:rPr>
      </w:pPr>
      <w:r>
        <w:rPr>
          <w:rFonts w:hint="eastAsia" w:ascii="宋体" w:hAnsi="宋体" w:cs="宋体"/>
          <w:color w:val="auto"/>
          <w:sz w:val="24"/>
          <w:highlight w:val="none"/>
        </w:rPr>
        <w:br w:type="page"/>
      </w:r>
    </w:p>
    <w:p w14:paraId="49FDC340">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甲方（公章）: 广东省中医院海南医院  </w:t>
      </w:r>
    </w:p>
    <w:p w14:paraId="1AEA1739">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办公地址：  </w:t>
      </w:r>
    </w:p>
    <w:p w14:paraId="2ADCF7E7">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法定代表人 ：                   </w:t>
      </w:r>
    </w:p>
    <w:p w14:paraId="3EE50F98">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或授权代表(签字):                </w:t>
      </w:r>
    </w:p>
    <w:p w14:paraId="4B374D00">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联系人：                </w:t>
      </w:r>
    </w:p>
    <w:p w14:paraId="4CEEA1EA">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电话：                        </w:t>
      </w:r>
    </w:p>
    <w:p w14:paraId="27C76A05">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lang w:val="zh-CN"/>
        </w:rPr>
        <w:t xml:space="preserve">传真:                          </w:t>
      </w:r>
    </w:p>
    <w:p w14:paraId="0983C5C5">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lang w:val="zh-CN"/>
        </w:rPr>
        <w:t xml:space="preserve">电子邮箱：                  </w:t>
      </w:r>
    </w:p>
    <w:p w14:paraId="4476E6B6">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开户银行：                   </w:t>
      </w:r>
    </w:p>
    <w:p w14:paraId="3A8FC870">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开户名称：                 </w:t>
      </w:r>
    </w:p>
    <w:p w14:paraId="796292A9">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开户账号：</w:t>
      </w:r>
      <w:r>
        <w:rPr>
          <w:rFonts w:hint="eastAsia" w:ascii="宋体" w:hAnsi="宋体" w:cs="宋体"/>
          <w:color w:val="auto"/>
          <w:sz w:val="24"/>
          <w:highlight w:val="none"/>
          <w:lang w:val="zh-CN"/>
        </w:rPr>
        <w:t xml:space="preserve">                   </w:t>
      </w:r>
    </w:p>
    <w:p w14:paraId="46B36564">
      <w:pPr>
        <w:snapToGrid w:val="0"/>
        <w:spacing w:before="19" w:line="360" w:lineRule="auto"/>
        <w:ind w:firstLine="960" w:firstLineChars="400"/>
        <w:rPr>
          <w:rFonts w:hint="eastAsia" w:ascii="宋体" w:hAnsi="宋体" w:cs="宋体"/>
          <w:color w:val="auto"/>
          <w:sz w:val="24"/>
          <w:highlight w:val="none"/>
        </w:rPr>
      </w:pPr>
    </w:p>
    <w:p w14:paraId="2AC57AF4">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乙方(公章):</w:t>
      </w:r>
    </w:p>
    <w:p w14:paraId="150F0649">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办公地址：</w:t>
      </w:r>
    </w:p>
    <w:p w14:paraId="6A034701">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法定代表人或授权代表(签字):                  </w:t>
      </w:r>
    </w:p>
    <w:p w14:paraId="1E6E5241">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联系人：</w:t>
      </w:r>
    </w:p>
    <w:p w14:paraId="440C19DD">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电 话：</w:t>
      </w:r>
    </w:p>
    <w:p w14:paraId="4533090E">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lang w:val="zh-CN"/>
        </w:rPr>
        <w:t xml:space="preserve">传真:  /                           </w:t>
      </w:r>
    </w:p>
    <w:p w14:paraId="43AC46C5">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lang w:val="zh-CN"/>
        </w:rPr>
        <w:t>电子邮箱</w:t>
      </w:r>
      <w:r>
        <w:rPr>
          <w:rFonts w:hint="eastAsia" w:ascii="宋体" w:hAnsi="宋体" w:cs="宋体"/>
          <w:color w:val="auto"/>
          <w:sz w:val="24"/>
          <w:highlight w:val="none"/>
        </w:rPr>
        <w:t>：</w:t>
      </w:r>
    </w:p>
    <w:p w14:paraId="7069C09E">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开户银行：</w:t>
      </w:r>
    </w:p>
    <w:p w14:paraId="6CD87F49">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开户名称：</w:t>
      </w:r>
    </w:p>
    <w:p w14:paraId="07502B9A">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开户账号：</w:t>
      </w:r>
    </w:p>
    <w:p w14:paraId="290CCAFF">
      <w:pPr>
        <w:spacing w:line="360" w:lineRule="exact"/>
        <w:rPr>
          <w:color w:val="auto"/>
          <w:highlight w:val="none"/>
        </w:rPr>
      </w:pPr>
    </w:p>
    <w:p w14:paraId="093548C4">
      <w:pPr>
        <w:snapToGrid w:val="0"/>
        <w:spacing w:before="19" w:line="360" w:lineRule="auto"/>
        <w:rPr>
          <w:rFonts w:hint="eastAsia" w:ascii="宋体" w:hAnsi="宋体" w:cs="宋体"/>
          <w:color w:val="auto"/>
          <w:sz w:val="24"/>
          <w:highlight w:val="none"/>
        </w:rPr>
      </w:pPr>
      <w:r>
        <w:rPr>
          <w:rFonts w:hint="eastAsia" w:ascii="宋体" w:hAnsi="宋体" w:cs="宋体"/>
          <w:color w:val="auto"/>
          <w:sz w:val="24"/>
          <w:highlight w:val="none"/>
        </w:rPr>
        <w:t>招标代理机构：</w:t>
      </w:r>
    </w:p>
    <w:p w14:paraId="0EEE1607">
      <w:pPr>
        <w:snapToGrid w:val="0"/>
        <w:spacing w:before="19" w:line="360" w:lineRule="auto"/>
        <w:rPr>
          <w:rFonts w:hint="eastAsia" w:ascii="宋体" w:hAnsi="宋体" w:cs="宋体"/>
          <w:color w:val="auto"/>
          <w:sz w:val="24"/>
          <w:highlight w:val="none"/>
        </w:rPr>
      </w:pPr>
      <w:r>
        <w:rPr>
          <w:rFonts w:hint="eastAsia" w:ascii="宋体" w:hAnsi="宋体" w:cs="宋体"/>
          <w:color w:val="auto"/>
          <w:sz w:val="24"/>
          <w:highlight w:val="none"/>
        </w:rPr>
        <w:t>地  址：</w:t>
      </w:r>
    </w:p>
    <w:p w14:paraId="45F47158">
      <w:pPr>
        <w:snapToGrid w:val="0"/>
        <w:spacing w:before="19" w:line="360" w:lineRule="auto"/>
        <w:rPr>
          <w:rFonts w:hint="eastAsia" w:ascii="宋体" w:hAnsi="宋体" w:cs="宋体"/>
          <w:color w:val="auto"/>
          <w:sz w:val="24"/>
          <w:highlight w:val="none"/>
        </w:rPr>
      </w:pPr>
      <w:r>
        <w:rPr>
          <w:rFonts w:hint="eastAsia" w:ascii="宋体" w:hAnsi="宋体" w:cs="宋体"/>
          <w:color w:val="auto"/>
          <w:sz w:val="24"/>
          <w:highlight w:val="none"/>
        </w:rPr>
        <w:t>经办人：</w:t>
      </w:r>
    </w:p>
    <w:p w14:paraId="6274A54A">
      <w:pPr>
        <w:snapToGrid w:val="0"/>
        <w:spacing w:before="19" w:line="500" w:lineRule="exact"/>
        <w:ind w:firstLine="1200" w:firstLineChars="500"/>
        <w:rPr>
          <w:color w:val="auto"/>
          <w:highlight w:val="none"/>
        </w:rPr>
      </w:pPr>
      <w:r>
        <w:rPr>
          <w:rFonts w:hint="eastAsia" w:ascii="宋体" w:hAnsi="宋体" w:cs="宋体"/>
          <w:color w:val="auto"/>
          <w:sz w:val="24"/>
          <w:highlight w:val="none"/>
        </w:rPr>
        <w:t>年   月    日</w:t>
      </w:r>
    </w:p>
    <w:p w14:paraId="2CDBB99E">
      <w:pPr>
        <w:snapToGrid w:val="0"/>
        <w:spacing w:before="19" w:line="500" w:lineRule="exact"/>
        <w:rPr>
          <w:color w:val="auto"/>
          <w:highlight w:val="none"/>
        </w:rPr>
      </w:pPr>
    </w:p>
    <w:p w14:paraId="322C554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E85374"/>
    <w:multiLevelType w:val="singleLevel"/>
    <w:tmpl w:val="93E85374"/>
    <w:lvl w:ilvl="0" w:tentative="0">
      <w:start w:val="1"/>
      <w:numFmt w:val="decimal"/>
      <w:suff w:val="nothing"/>
      <w:lvlText w:val="（%1）"/>
      <w:lvlJc w:val="left"/>
    </w:lvl>
  </w:abstractNum>
  <w:abstractNum w:abstractNumId="1">
    <w:nsid w:val="116AA29D"/>
    <w:multiLevelType w:val="singleLevel"/>
    <w:tmpl w:val="116AA29D"/>
    <w:lvl w:ilvl="0" w:tentative="0">
      <w:start w:val="2"/>
      <w:numFmt w:val="decimal"/>
      <w:lvlText w:val="%1."/>
      <w:lvlJc w:val="left"/>
      <w:pPr>
        <w:tabs>
          <w:tab w:val="left" w:pos="312"/>
        </w:tabs>
        <w:ind w:left="1260" w:leftChars="0" w:firstLine="0" w:firstLineChars="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862C6B"/>
    <w:rsid w:val="14862C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outlineLvl w:val="1"/>
    </w:pPr>
    <w:rPr>
      <w:rFonts w:ascii="Cambria" w:hAnsi="Cambria" w:eastAsia="宋体" w:cs="Times New Roman"/>
      <w:b/>
      <w:bCs/>
      <w:sz w:val="32"/>
      <w:szCs w:val="32"/>
      <w:lang w:eastAsia="en-US"/>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360" w:lineRule="atLeast"/>
      <w:ind w:firstLine="420"/>
      <w:textAlignment w:val="baseline"/>
    </w:pPr>
    <w:rPr>
      <w:rFonts w:ascii="宋体"/>
      <w:kern w:val="0"/>
      <w:sz w:val="24"/>
      <w:szCs w:val="20"/>
    </w:rPr>
  </w:style>
  <w:style w:type="paragraph" w:styleId="4">
    <w:name w:val="Body Text"/>
    <w:basedOn w:val="1"/>
    <w:next w:val="1"/>
    <w:qFormat/>
    <w:uiPriority w:val="0"/>
    <w:pPr>
      <w:spacing w:line="360" w:lineRule="auto"/>
    </w:pPr>
    <w:rPr>
      <w:sz w:val="24"/>
      <w:szCs w:val="20"/>
    </w:rPr>
  </w:style>
  <w:style w:type="paragraph" w:styleId="5">
    <w:name w:val="Body Text First Indent"/>
    <w:basedOn w:val="4"/>
    <w:qFormat/>
    <w:uiPriority w:val="0"/>
    <w:pPr>
      <w:tabs>
        <w:tab w:val="left" w:pos="360"/>
      </w:tabs>
      <w:spacing w:line="220" w:lineRule="exact"/>
      <w:ind w:left="360" w:hanging="360" w:firstLineChars="200"/>
      <w:jc w:val="left"/>
    </w:pPr>
    <w:rPr>
      <w:color w:val="7030A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2025-05-09T07:54:00Z</dcterms:created>
  <dc:creator>鱼儿</dc:creator>
  <cp:lastModifiedBy>鱼儿</cp:lastModifiedBy>
  <dcterms:modified xsi:type="dcterms:W3CDTF">2025-05-09T08:31:09Z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7894F597FDE64C2BA9B9F7C138A91F29_11</vt:lpwstr>
  </property>
  <property fmtid="{D5CDD505-2E9C-101B-9397-08002B2CF9AE}" pid="4" name="KSOTemplateDocerSaveRecord">
    <vt:lpwstr>eyJoZGlkIjoiZDAyOWU1YTE1OGNlNDc1NDBkMzM4ZWU2ODgyY2ZkODIiLCJ1c2VySWQiOiIzMTAxNzI5NTYifQ==</vt:lpwstr>
  </property>
</Properties>
</file>