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询价通知书</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海南省退役军人事务厅2025年专项物品采购</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HXY2025-048-1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海南省退役军人事务厅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海南和信源招标代理有限公司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both"/>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both"/>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both"/>
      </w:pPr>
      <w:r>
        <w:rPr>
          <w:rFonts w:ascii="仿宋_GB2312" w:hAnsi="仿宋_GB2312" w:cs="仿宋_GB2312" w:eastAsia="仿宋_GB2312"/>
        </w:rPr>
        <w:t>2 响应文件制作、密封</w:t>
      </w:r>
    </w:p>
    <w:p>
      <w:pPr>
        <w:pStyle w:val="null3"/>
        <w:ind w:firstLine="480"/>
        <w:jc w:val="both"/>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both"/>
      </w:pPr>
      <w:r>
        <w:rPr>
          <w:rFonts w:ascii="仿宋_GB2312" w:hAnsi="仿宋_GB2312" w:cs="仿宋_GB2312" w:eastAsia="仿宋_GB2312"/>
        </w:rPr>
        <w:t>2.3供应商完成响应文件编制后，应按照询价通知书第六章明确的签章要求，使用互认的证书及签章对响应文件进行电子签章和加密。</w:t>
      </w:r>
    </w:p>
    <w:p>
      <w:pPr>
        <w:pStyle w:val="null3"/>
        <w:ind w:firstLine="480"/>
        <w:jc w:val="both"/>
      </w:pPr>
      <w:r>
        <w:rPr>
          <w:rFonts w:ascii="仿宋_GB2312" w:hAnsi="仿宋_GB2312" w:cs="仿宋_GB2312" w:eastAsia="仿宋_GB2312"/>
        </w:rPr>
        <w:t>2.4 询价通知书澄清或者修改的内容可能影响响应文件编制的，代理机构将重新发布澄清或者修改后的询价通知书，供应商应重新获取澄清或者修改后的询价通知书，按照澄清或者修改后的询价通知书进行响应文件编制、标记、签章和加密。</w:t>
      </w:r>
    </w:p>
    <w:p>
      <w:pPr>
        <w:pStyle w:val="null3"/>
        <w:ind w:firstLine="480"/>
        <w:jc w:val="both"/>
      </w:pPr>
      <w:r>
        <w:rPr>
          <w:rFonts w:ascii="仿宋_GB2312" w:hAnsi="仿宋_GB2312" w:cs="仿宋_GB2312" w:eastAsia="仿宋_GB2312"/>
        </w:rPr>
        <w:t>3、响应文件递交</w:t>
      </w:r>
    </w:p>
    <w:p>
      <w:pPr>
        <w:pStyle w:val="null3"/>
        <w:ind w:firstLine="480"/>
        <w:jc w:val="both"/>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both"/>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both"/>
      </w:pPr>
      <w:r>
        <w:rPr>
          <w:rFonts w:ascii="仿宋_GB2312" w:hAnsi="仿宋_GB2312" w:cs="仿宋_GB2312" w:eastAsia="仿宋_GB2312"/>
        </w:rPr>
        <w:t>4、响应文件的补充、修改、撤回</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供应商递交的响应文件撤回后，视为未成功递交响应文件。</w:t>
      </w:r>
    </w:p>
    <w:p>
      <w:pPr>
        <w:pStyle w:val="null3"/>
        <w:ind w:firstLine="480"/>
        <w:jc w:val="both"/>
      </w:pPr>
      <w:r>
        <w:rPr>
          <w:rFonts w:ascii="仿宋_GB2312" w:hAnsi="仿宋_GB2312" w:cs="仿宋_GB2312" w:eastAsia="仿宋_GB2312"/>
        </w:rPr>
        <w:t>5、关于“全称”、“供应商代表签字”及“加盖单位公章”：</w:t>
      </w:r>
    </w:p>
    <w:p>
      <w:pPr>
        <w:pStyle w:val="null3"/>
        <w:ind w:firstLine="480"/>
        <w:jc w:val="both"/>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both"/>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both"/>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both"/>
      </w:pPr>
      <w:r>
        <w:rPr>
          <w:rFonts w:ascii="仿宋_GB2312" w:hAnsi="仿宋_GB2312" w:cs="仿宋_GB2312" w:eastAsia="仿宋_GB2312"/>
        </w:rPr>
        <w:t>1、开启</w:t>
      </w:r>
    </w:p>
    <w:p>
      <w:pPr>
        <w:pStyle w:val="null3"/>
        <w:ind w:firstLine="480"/>
        <w:jc w:val="both"/>
      </w:pPr>
      <w:r>
        <w:rPr>
          <w:rFonts w:ascii="仿宋_GB2312" w:hAnsi="仿宋_GB2312" w:cs="仿宋_GB2312" w:eastAsia="仿宋_GB2312"/>
        </w:rPr>
        <w:t>1.1远程不见面方式（供应商无需到现场）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both"/>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标书”，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供应商未按询价通知书要求提供备用响应文件的。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ind w:firstLine="480"/>
        <w:jc w:val="left"/>
      </w:pPr>
      <w:r>
        <w:rPr>
          <w:rFonts w:ascii="仿宋_GB2312" w:hAnsi="仿宋_GB2312" w:cs="仿宋_GB2312" w:eastAsia="仿宋_GB2312"/>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政府采购询价邀请函</w:t>
      </w:r>
    </w:p>
    <w:p>
      <w:pPr>
        <w:pStyle w:val="null3"/>
        <w:jc w:val="both"/>
      </w:pPr>
      <w:r>
        <w:rPr>
          <w:rFonts w:ascii="仿宋_GB2312" w:hAnsi="仿宋_GB2312" w:cs="仿宋_GB2312" w:eastAsia="仿宋_GB2312"/>
        </w:rPr>
        <w:t xml:space="preserve">受 </w:t>
      </w:r>
      <w:r>
        <w:rPr>
          <w:rFonts w:ascii="仿宋_GB2312" w:hAnsi="仿宋_GB2312" w:cs="仿宋_GB2312" w:eastAsia="仿宋_GB2312"/>
        </w:rPr>
        <w:t>海南省退役军人事务厅</w:t>
      </w:r>
      <w:r>
        <w:rPr>
          <w:rFonts w:ascii="仿宋_GB2312" w:hAnsi="仿宋_GB2312" w:cs="仿宋_GB2312" w:eastAsia="仿宋_GB2312"/>
        </w:rPr>
        <w:t xml:space="preserve"> 委托， </w:t>
      </w:r>
      <w:r>
        <w:rPr>
          <w:rFonts w:ascii="仿宋_GB2312" w:hAnsi="仿宋_GB2312" w:cs="仿宋_GB2312" w:eastAsia="仿宋_GB2312"/>
        </w:rPr>
        <w:t>海南和信源招标代理有限公司</w:t>
      </w:r>
      <w:r>
        <w:rPr>
          <w:rFonts w:ascii="仿宋_GB2312" w:hAnsi="仿宋_GB2312" w:cs="仿宋_GB2312" w:eastAsia="仿宋_GB2312"/>
        </w:rPr>
        <w:t xml:space="preserve"> 对 </w:t>
      </w:r>
      <w:r>
        <w:rPr>
          <w:rFonts w:ascii="仿宋_GB2312" w:hAnsi="仿宋_GB2312" w:cs="仿宋_GB2312" w:eastAsia="仿宋_GB2312"/>
        </w:rPr>
        <w:t>海南省退役军人事务厅2025年专项物品采购</w:t>
      </w:r>
      <w:r>
        <w:rPr>
          <w:rFonts w:ascii="仿宋_GB2312" w:hAnsi="仿宋_GB2312" w:cs="仿宋_GB2312" w:eastAsia="仿宋_GB2312"/>
        </w:rPr>
        <w:t xml:space="preserve"> 项目进行询价采购。欢迎合格供应商前来参加本次采购活动。</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 xml:space="preserve">1.项目编号： </w:t>
      </w:r>
      <w:r>
        <w:rPr>
          <w:rFonts w:ascii="仿宋_GB2312" w:hAnsi="仿宋_GB2312" w:cs="仿宋_GB2312" w:eastAsia="仿宋_GB2312"/>
        </w:rPr>
        <w:t>HXY2025-048-1</w:t>
      </w:r>
    </w:p>
    <w:p>
      <w:pPr>
        <w:pStyle w:val="null3"/>
        <w:ind w:firstLine="480"/>
        <w:jc w:val="both"/>
      </w:pPr>
      <w:r>
        <w:rPr>
          <w:rFonts w:ascii="仿宋_GB2312" w:hAnsi="仿宋_GB2312" w:cs="仿宋_GB2312" w:eastAsia="仿宋_GB2312"/>
        </w:rPr>
        <w:t xml:space="preserve">2.项目名称： </w:t>
      </w:r>
      <w:r>
        <w:rPr>
          <w:rFonts w:ascii="仿宋_GB2312" w:hAnsi="仿宋_GB2312" w:cs="仿宋_GB2312" w:eastAsia="仿宋_GB2312"/>
        </w:rPr>
        <w:t>海南省退役军人事务厅2025年专项物品采购</w:t>
      </w:r>
    </w:p>
    <w:p>
      <w:pPr>
        <w:pStyle w:val="null3"/>
        <w:ind w:firstLine="480"/>
        <w:jc w:val="both"/>
      </w:pPr>
      <w:r>
        <w:rPr>
          <w:rFonts w:ascii="仿宋_GB2312" w:hAnsi="仿宋_GB2312" w:cs="仿宋_GB2312" w:eastAsia="仿宋_GB2312"/>
        </w:rPr>
        <w:t>3.采购方式：询价</w:t>
      </w:r>
    </w:p>
    <w:p>
      <w:pPr>
        <w:pStyle w:val="null3"/>
        <w:ind w:firstLine="480"/>
        <w:jc w:val="both"/>
      </w:pPr>
      <w:r>
        <w:rPr>
          <w:rFonts w:ascii="仿宋_GB2312" w:hAnsi="仿宋_GB2312" w:cs="仿宋_GB2312" w:eastAsia="仿宋_GB2312"/>
        </w:rPr>
        <w:t xml:space="preserve">4.预算金额： </w:t>
      </w:r>
      <w:r>
        <w:rPr>
          <w:rFonts w:ascii="仿宋_GB2312" w:hAnsi="仿宋_GB2312" w:cs="仿宋_GB2312" w:eastAsia="仿宋_GB2312"/>
        </w:rPr>
        <w:t>3,900,000.00元</w:t>
      </w:r>
      <w:r>
        <w:rPr>
          <w:rFonts w:ascii="仿宋_GB2312" w:hAnsi="仿宋_GB2312" w:cs="仿宋_GB2312" w:eastAsia="仿宋_GB2312"/>
        </w:rPr>
        <w:t>叁佰玖拾万元整</w:t>
      </w:r>
    </w:p>
    <w:p>
      <w:pPr>
        <w:pStyle w:val="null3"/>
        <w:ind w:firstLine="480"/>
        <w:jc w:val="both"/>
      </w:pPr>
      <w:r>
        <w:rPr>
          <w:rFonts w:ascii="仿宋_GB2312" w:hAnsi="仿宋_GB2312" w:cs="仿宋_GB2312" w:eastAsia="仿宋_GB2312"/>
        </w:rPr>
        <w:t>5.采购需求：详见“第三章 采购需求 ”</w:t>
      </w:r>
    </w:p>
    <w:p>
      <w:pPr>
        <w:pStyle w:val="null3"/>
        <w:ind w:firstLine="480"/>
        <w:jc w:val="both"/>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供应商须在合同签订后45个日历天（包含法定节假日）内完成生产供货并接受采购人抽检验收。</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1、本采购包属于专门面向小微企业采购。：本采购包为专门面向小微企业采购，供应商须提供中小企业声明函。监狱企业、残疾人福利性单位视同小型、微型企业。</w:t>
      </w:r>
    </w:p>
    <w:p>
      <w:pPr>
        <w:pStyle w:val="null3"/>
        <w:jc w:val="left"/>
        <w:outlineLvl w:val="2"/>
      </w:pPr>
      <w:r>
        <w:rPr>
          <w:rFonts w:ascii="仿宋_GB2312" w:hAnsi="仿宋_GB2312" w:cs="仿宋_GB2312" w:eastAsia="仿宋_GB2312"/>
          <w:sz w:val="28"/>
          <w:b/>
        </w:rPr>
        <w:t>三、获取询价通知书</w:t>
      </w:r>
    </w:p>
    <w:p>
      <w:pPr>
        <w:pStyle w:val="null3"/>
        <w:ind w:firstLine="480"/>
        <w:jc w:val="both"/>
      </w:pPr>
      <w:r>
        <w:rPr>
          <w:rFonts w:ascii="仿宋_GB2312" w:hAnsi="仿宋_GB2312" w:cs="仿宋_GB2312" w:eastAsia="仿宋_GB2312"/>
        </w:rPr>
        <w:t>1.时间：遵照询价公告或更正公告的相关约定（北京时间）。</w:t>
      </w:r>
    </w:p>
    <w:p>
      <w:pPr>
        <w:pStyle w:val="null3"/>
        <w:ind w:firstLine="480"/>
        <w:jc w:val="both"/>
      </w:pPr>
      <w:r>
        <w:rPr>
          <w:rFonts w:ascii="仿宋_GB2312" w:hAnsi="仿宋_GB2312" w:cs="仿宋_GB2312" w:eastAsia="仿宋_GB2312"/>
        </w:rPr>
        <w:t>2.在询价通知书获取期限内，供应商应通过海南省政府采购智慧云平台注册账号（免费注册）并获取询价通知书(登录海南省政府采购智慧云平台进行文件获取)，否则报价响应将被拒绝。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both"/>
      </w:pPr>
      <w:r>
        <w:rPr>
          <w:rFonts w:ascii="仿宋_GB2312" w:hAnsi="仿宋_GB2312" w:cs="仿宋_GB2312" w:eastAsia="仿宋_GB2312"/>
        </w:rPr>
        <w:t>1.截止时间：遵照询价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both"/>
      </w:pPr>
      <w:r>
        <w:rPr>
          <w:rFonts w:ascii="仿宋_GB2312" w:hAnsi="仿宋_GB2312" w:cs="仿宋_GB2312" w:eastAsia="仿宋_GB2312"/>
        </w:rPr>
        <w:t>2.地点：遵照询价公告或更正公告的相关约定。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both"/>
      </w:pPr>
      <w:r>
        <w:rPr>
          <w:rFonts w:ascii="仿宋_GB2312" w:hAnsi="仿宋_GB2312" w:cs="仿宋_GB2312" w:eastAsia="仿宋_GB2312"/>
        </w:rPr>
        <w:t>1.时间：遵照询价公告或更正公告的相关约定。</w:t>
      </w:r>
    </w:p>
    <w:p>
      <w:pPr>
        <w:pStyle w:val="null3"/>
        <w:ind w:firstLine="480"/>
        <w:jc w:val="both"/>
      </w:pPr>
      <w:r>
        <w:rPr>
          <w:rFonts w:ascii="仿宋_GB2312" w:hAnsi="仿宋_GB2312" w:cs="仿宋_GB2312" w:eastAsia="仿宋_GB2312"/>
        </w:rPr>
        <w:t>2.地点：遵照询价公告或更正公告的相关约定。</w:t>
      </w:r>
    </w:p>
    <w:p>
      <w:pPr>
        <w:pStyle w:val="null3"/>
        <w:ind w:firstLine="480"/>
        <w:jc w:val="both"/>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六、公告期限</w:t>
      </w:r>
    </w:p>
    <w:p>
      <w:pPr>
        <w:pStyle w:val="null3"/>
        <w:ind w:firstLine="480"/>
        <w:jc w:val="both"/>
      </w:pPr>
      <w:r>
        <w:rPr>
          <w:rFonts w:ascii="仿宋_GB2312" w:hAnsi="仿宋_GB2312" w:cs="仿宋_GB2312" w:eastAsia="仿宋_GB2312"/>
        </w:rPr>
        <w:t>自财政部和海南省财政厅指定的政府采购信息发布媒体最先发布公告之日起3个工作日。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正文（div）</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海南省退役军人事务厅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海南省海口市美兰区海府路59号省政府办公楼7楼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唐先生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0898-65250229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海南和信源招标代理有限公司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海南省海口市美兰区蓝天路12-1号国机中洋公馆2号楼2-1101房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0898-65328224</w:t>
      </w:r>
    </w:p>
    <w:p>
      <w:pPr>
        <w:pStyle w:val="null3"/>
        <w:jc w:val="left"/>
        <w:outlineLvl w:val="2"/>
      </w:pPr>
      <w:r>
        <w:rPr>
          <w:rFonts w:ascii="仿宋_GB2312" w:hAnsi="仿宋_GB2312" w:cs="仿宋_GB2312" w:eastAsia="仿宋_GB2312"/>
          <w:sz w:val="28"/>
          <w:b/>
        </w:rPr>
        <w:t>十、采购信息发布媒体：</w:t>
      </w:r>
    </w:p>
    <w:p>
      <w:pPr>
        <w:pStyle w:val="null3"/>
        <w:ind w:firstLine="480"/>
        <w:jc w:val="both"/>
      </w:pPr>
      <w:r>
        <w:rPr>
          <w:rFonts w:ascii="仿宋_GB2312" w:hAnsi="仿宋_GB2312" w:cs="仿宋_GB2312" w:eastAsia="仿宋_GB2312"/>
        </w:rPr>
        <w:t>（1）中国政府采购网，网址www.ccgp.gov.cn。</w:t>
      </w:r>
    </w:p>
    <w:p>
      <w:pPr>
        <w:pStyle w:val="null3"/>
        <w:ind w:firstLine="480"/>
        <w:jc w:val="both"/>
      </w:pPr>
      <w:r>
        <w:rPr>
          <w:rFonts w:ascii="仿宋_GB2312" w:hAnsi="仿宋_GB2312" w:cs="仿宋_GB2312" w:eastAsia="仿宋_GB2312"/>
        </w:rPr>
        <w:t>（2）中国政府采购网海南分网（海南省政府采购网），网址https://ccgp-hainan.gov.cn/。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（2）有关本项目询价通知书的补遗、澄清及变更信息以上述网站公告与下载为准，采购代理机构不再另行通知，询价通知书与更正公告的内容相互矛盾时，以最后发出的更正公告内容为准。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（特别提示：本表与询价通知书对应章节的内容若不一致，以本表为准。）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采购包1：3,900,000.00元</w:t>
            </w:r>
          </w:p>
          <w:p>
            <w:pPr>
              <w:pStyle w:val="null3"/>
              <w:jc w:val="left"/>
            </w:pPr>
            <w:r>
              <w:rPr>
                <w:rFonts w:ascii="仿宋_GB2312" w:hAnsi="仿宋_GB2312" w:cs="仿宋_GB2312" w:eastAsia="仿宋_GB2312"/>
              </w:rPr>
              <w:t xml:space="preserve"> 供应商报价不得超过询价通知书中规定的预算金额，采购人可以在采购预算内合理设定最高限价，供应商报价不得超过最高限价。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询价保证金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响应文件应自开标之日起60个日历日内保持有效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根据《国家发展改革委关于进一步放开建设项目专业服务价格的通知》发改价格〔2015〕299号文件规定，招标代理服务费参照《海南省物价局关于降低部分招标代理服务收费标准》（琼价费管〔2011〕225号文）收费标准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“采购单位”指询价通知书中所述所有货物及相关服务的需方。</w:t>
      </w:r>
    </w:p>
    <w:p>
      <w:pPr>
        <w:pStyle w:val="null3"/>
        <w:ind w:firstLine="480"/>
        <w:jc w:val="both"/>
      </w:pPr>
      <w:r>
        <w:rPr>
          <w:rFonts w:ascii="仿宋_GB2312" w:hAnsi="仿宋_GB2312" w:cs="仿宋_GB2312" w:eastAsia="仿宋_GB2312"/>
        </w:rPr>
        <w:t>2.1.3 “货物”是指供应商制造或组织符合询价通知书要求的货物等。询价通知书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询价通知书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“供应商”指按询价通知书规定取得询价通知书并参加交易活动询价的供应商。</w:t>
      </w:r>
    </w:p>
    <w:p>
      <w:pPr>
        <w:pStyle w:val="null3"/>
        <w:ind w:firstLine="480"/>
        <w:jc w:val="both"/>
      </w:pPr>
      <w:r>
        <w:rPr>
          <w:rFonts w:ascii="仿宋_GB2312" w:hAnsi="仿宋_GB2312" w:cs="仿宋_GB2312" w:eastAsia="仿宋_GB2312"/>
        </w:rPr>
        <w:t>2.1.6 “成交人”是指经询价小组评审，授予合同的供应商。</w:t>
      </w:r>
    </w:p>
    <w:p>
      <w:pPr>
        <w:pStyle w:val="null3"/>
        <w:ind w:firstLine="480"/>
        <w:jc w:val="both"/>
      </w:pPr>
      <w:r>
        <w:rPr>
          <w:rFonts w:ascii="仿宋_GB2312" w:hAnsi="仿宋_GB2312" w:cs="仿宋_GB2312" w:eastAsia="仿宋_GB2312"/>
        </w:rPr>
        <w:t>2.1.7 询价通知书中涉及的时间均为北京时间。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适用于询价通知书载明项目的政府采购活动（以下简称：“本次采购活动”）。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如供应商是银行、保险、石油石化、电力、电信行业的，分支机构可参与本项目的政府采购活动。询价通知书中涉及要求提供“法定代表人”相关证明材料的，提供分支机构“负责人”的相关证明材料。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政府采购询价邀请函 “二、供应商资格要求”中除2.3.1.1条款外的其他资格条件。详见第四章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2.4询价费用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2.4.2不论询价结果如何，供应商应自行承担其准备和参加本次采购活动所涉及的一切费用。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现场考察（如有），采购单位应在规定的时间、地点组织已报名的潜在供应商进行现场考察。（组织时间、地点、联系人、联系电话：遵照询价公告或更正公告的相关约定。）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答疑会（如有），采购单位应在规定的时间、地点组织已报名的潜在供应商召开答疑会。（组织时间、地点、联系人、联系电话：遵照询价公告或更正公告的相关约定。）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both"/>
        <w:outlineLvl w:val="2"/>
      </w:pPr>
      <w:r>
        <w:rPr>
          <w:rFonts w:ascii="仿宋_GB2312" w:hAnsi="仿宋_GB2312" w:cs="仿宋_GB2312" w:eastAsia="仿宋_GB2312"/>
          <w:sz w:val="28"/>
          <w:b/>
        </w:rPr>
        <w:t>三、询价通知书</w:t>
      </w:r>
    </w:p>
    <w:p>
      <w:pPr>
        <w:pStyle w:val="null3"/>
        <w:ind w:firstLine="480"/>
        <w:jc w:val="both"/>
      </w:pPr>
      <w:r>
        <w:rPr>
          <w:rFonts w:ascii="仿宋_GB2312" w:hAnsi="仿宋_GB2312" w:cs="仿宋_GB2312" w:eastAsia="仿宋_GB2312"/>
        </w:rPr>
        <w:t>3.1询价通知书的组成</w:t>
      </w:r>
    </w:p>
    <w:p>
      <w:pPr>
        <w:pStyle w:val="null3"/>
        <w:ind w:firstLine="480"/>
        <w:jc w:val="both"/>
      </w:pPr>
      <w:r>
        <w:rPr>
          <w:rFonts w:ascii="仿宋_GB2312" w:hAnsi="仿宋_GB2312" w:cs="仿宋_GB2312" w:eastAsia="仿宋_GB2312"/>
        </w:rPr>
        <w:t>3.1.1询价通知书由六部分组成，包括：</w:t>
      </w:r>
    </w:p>
    <w:p>
      <w:pPr>
        <w:pStyle w:val="null3"/>
        <w:ind w:firstLine="480"/>
        <w:jc w:val="both"/>
      </w:pPr>
      <w:r>
        <w:rPr>
          <w:rFonts w:ascii="仿宋_GB2312" w:hAnsi="仿宋_GB2312" w:cs="仿宋_GB2312" w:eastAsia="仿宋_GB2312"/>
        </w:rPr>
        <w:t>第一章 政府采购询价邀请函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3.1.2供应商被视为充分熟悉本采购项目所在地的与履行合同有关的各种情况，包括自然环境、气候条件、劳动力及公用设施等，本询价通知书不再对上述情况进行描述。</w:t>
      </w:r>
    </w:p>
    <w:p>
      <w:pPr>
        <w:pStyle w:val="null3"/>
        <w:ind w:firstLine="480"/>
        <w:jc w:val="both"/>
      </w:pPr>
      <w:r>
        <w:rPr>
          <w:rFonts w:ascii="仿宋_GB2312" w:hAnsi="仿宋_GB2312" w:cs="仿宋_GB2312" w:eastAsia="仿宋_GB2312"/>
        </w:rPr>
        <w:t>3.1.3 供应商必须详阅询价通知书的所有条款、文件及表格格式。供应商若未按询价通知书的要求和规范编制、提交响应文件，将有可能导致响应文件被拒绝接受，所造成的负面后果由供应商负责。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3.2询价通知书的澄清和修改</w:t>
      </w:r>
    </w:p>
    <w:p>
      <w:pPr>
        <w:pStyle w:val="null3"/>
        <w:ind w:firstLine="480"/>
        <w:jc w:val="both"/>
      </w:pPr>
      <w:r>
        <w:rPr>
          <w:rFonts w:ascii="仿宋_GB2312" w:hAnsi="仿宋_GB2312" w:cs="仿宋_GB2312" w:eastAsia="仿宋_GB2312"/>
        </w:rPr>
        <w:t>3.2.1供应商应仔细阅读和检查询价通知书的全部内容。如发现缺项或询价通知书构成要件不全，应及时向采购代理机构提出，以便获得文件补全。</w:t>
      </w:r>
    </w:p>
    <w:p>
      <w:pPr>
        <w:pStyle w:val="null3"/>
        <w:ind w:firstLine="480"/>
        <w:jc w:val="both"/>
      </w:pPr>
      <w:r>
        <w:rPr>
          <w:rFonts w:ascii="仿宋_GB2312" w:hAnsi="仿宋_GB2312" w:cs="仿宋_GB2312" w:eastAsia="仿宋_GB2312"/>
        </w:rPr>
        <w:t>3.2.2询价通知书发出后，采购代理机构和采购单位可以对询价通知书进行澄清和修改。澄清和修改的内容采购代理机构将以法定网站上公告的方式通知。（网址详见政府采购询价邀请函）</w:t>
      </w:r>
    </w:p>
    <w:p>
      <w:pPr>
        <w:pStyle w:val="null3"/>
        <w:ind w:firstLine="480"/>
        <w:jc w:val="both"/>
      </w:pPr>
      <w:r>
        <w:rPr>
          <w:rFonts w:ascii="仿宋_GB2312" w:hAnsi="仿宋_GB2312" w:cs="仿宋_GB2312" w:eastAsia="仿宋_GB2312"/>
        </w:rPr>
        <w:t>3.2.3当询价通知书、更正公告等内容相互矛盾时，以最后发出的为准。</w:t>
      </w:r>
    </w:p>
    <w:p>
      <w:pPr>
        <w:pStyle w:val="null3"/>
        <w:ind w:firstLine="480"/>
        <w:jc w:val="both"/>
      </w:pPr>
      <w:r>
        <w:rPr>
          <w:rFonts w:ascii="仿宋_GB2312" w:hAnsi="仿宋_GB2312" w:cs="仿宋_GB2312" w:eastAsia="仿宋_GB2312"/>
        </w:rPr>
        <w:t>3.2.4询价通知书的澄清和更正内容是询价通知书的组成部分，对供应商具有约束力,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4.3询价保证金（如有）</w:t>
      </w:r>
    </w:p>
    <w:p>
      <w:pPr>
        <w:pStyle w:val="null3"/>
        <w:ind w:firstLine="480"/>
        <w:jc w:val="both"/>
      </w:pPr>
      <w:r>
        <w:rPr>
          <w:rFonts w:ascii="仿宋_GB2312" w:hAnsi="仿宋_GB2312" w:cs="仿宋_GB2312" w:eastAsia="仿宋_GB2312"/>
        </w:rPr>
        <w:t>4.3.1询价保证金是参加本项目询价的必要条件，保证金到账截止时间即提交响应文件截止时间（具体时间详见“第一章 政府采购询价邀请函”）。</w:t>
      </w:r>
    </w:p>
    <w:p>
      <w:pPr>
        <w:pStyle w:val="null3"/>
        <w:ind w:firstLine="480"/>
        <w:jc w:val="both"/>
      </w:pPr>
      <w:r>
        <w:rPr>
          <w:rFonts w:ascii="仿宋_GB2312" w:hAnsi="仿宋_GB2312" w:cs="仿宋_GB2312" w:eastAsia="仿宋_GB2312"/>
        </w:rPr>
        <w:t>4.3.2询价保证金缴纳方式：</w:t>
      </w:r>
    </w:p>
    <w:p>
      <w:pPr>
        <w:pStyle w:val="null3"/>
        <w:ind w:firstLine="480"/>
        <w:jc w:val="both"/>
      </w:pPr>
      <w:r>
        <w:rPr>
          <w:rFonts w:ascii="仿宋_GB2312" w:hAnsi="仿宋_GB2312" w:cs="仿宋_GB2312" w:eastAsia="仿宋_GB2312"/>
        </w:rPr>
        <w:t>4.3.2.1 供应商以汇款形式缴纳询价保证金的，应从其银行账户（基本存款账户）按照下列方式：公对公转账方式向询价通知书载明的询价保证金账户提交询价保证金。</w:t>
      </w:r>
    </w:p>
    <w:p>
      <w:pPr>
        <w:pStyle w:val="null3"/>
        <w:ind w:firstLine="480"/>
        <w:jc w:val="both"/>
      </w:pPr>
      <w:r>
        <w:rPr>
          <w:rFonts w:ascii="仿宋_GB2312" w:hAnsi="仿宋_GB2312" w:cs="仿宋_GB2312" w:eastAsia="仿宋_GB2312"/>
        </w:rPr>
        <w:t>4.3.2.2 供应商以电子保函形式提交询价保证金的，可在询价通知书载明的响应截止时间前通过海南省政府采购智慧云平台“保函服务”栏目办理电子保函并在电汇或银行转账单上注明（项目编号）；在响应截止时间之前将电子保函文件放入响应文件中，否则视为未提交询价保证金。</w:t>
      </w:r>
    </w:p>
    <w:p>
      <w:pPr>
        <w:pStyle w:val="null3"/>
        <w:ind w:firstLine="480"/>
        <w:jc w:val="both"/>
      </w:pPr>
      <w:r>
        <w:rPr>
          <w:rFonts w:ascii="仿宋_GB2312" w:hAnsi="仿宋_GB2312" w:cs="仿宋_GB2312" w:eastAsia="仿宋_GB2312"/>
        </w:rPr>
        <w:t>4.3.2.3 若本项目接受联合体响应且供应商为联合体，则联合体中的牵头方应按照本章第4.3.2条第4.3.2.1、4.3.2.2点规定提交询价保证金。</w:t>
      </w:r>
    </w:p>
    <w:p>
      <w:pPr>
        <w:pStyle w:val="null3"/>
        <w:ind w:firstLine="480"/>
        <w:jc w:val="both"/>
      </w:pPr>
      <w:r>
        <w:rPr>
          <w:rFonts w:ascii="仿宋_GB2312" w:hAnsi="仿宋_GB2312" w:cs="仿宋_GB2312" w:eastAsia="仿宋_GB2312"/>
        </w:rPr>
        <w:t>4.3.3若供应商不按规定提交询价保证金，其响应文件将被拒绝接收。</w:t>
      </w:r>
    </w:p>
    <w:p>
      <w:pPr>
        <w:pStyle w:val="null3"/>
        <w:ind w:firstLine="480"/>
        <w:jc w:val="both"/>
      </w:pPr>
      <w:r>
        <w:rPr>
          <w:rFonts w:ascii="仿宋_GB2312" w:hAnsi="仿宋_GB2312" w:cs="仿宋_GB2312" w:eastAsia="仿宋_GB2312"/>
        </w:rPr>
        <w:t>4.4询价保证金的退还</w:t>
      </w:r>
    </w:p>
    <w:p>
      <w:pPr>
        <w:pStyle w:val="null3"/>
        <w:ind w:firstLine="480"/>
        <w:jc w:val="both"/>
      </w:pPr>
      <w:r>
        <w:rPr>
          <w:rFonts w:ascii="仿宋_GB2312" w:hAnsi="仿宋_GB2312" w:cs="仿宋_GB2312" w:eastAsia="仿宋_GB2312"/>
        </w:rPr>
        <w:t>4.4.1成交供应商的询价保证金在其与采购人签订了采购合同之日起5个工作日内无息退还。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4.4.2未成交的供应商的询价保证金将在成交通知书发出之日起5个工作日内无息退还。</w:t>
      </w:r>
    </w:p>
    <w:p>
      <w:pPr>
        <w:pStyle w:val="null3"/>
        <w:ind w:firstLine="480"/>
        <w:jc w:val="both"/>
      </w:pPr>
      <w:r>
        <w:rPr>
          <w:rFonts w:ascii="仿宋_GB2312" w:hAnsi="仿宋_GB2312" w:cs="仿宋_GB2312" w:eastAsia="仿宋_GB2312"/>
        </w:rPr>
        <w:t>4.4.3发生下列情况之一，询价保证金将不予退还：</w:t>
      </w:r>
    </w:p>
    <w:p>
      <w:pPr>
        <w:pStyle w:val="null3"/>
        <w:ind w:firstLine="480"/>
        <w:jc w:val="both"/>
      </w:pPr>
      <w:r>
        <w:rPr>
          <w:rFonts w:ascii="仿宋_GB2312" w:hAnsi="仿宋_GB2312" w:cs="仿宋_GB2312" w:eastAsia="仿宋_GB2312"/>
        </w:rPr>
        <w:t>（1）供应商在规定的询价保证金内撤销或修改其响应文件的；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（5）向采购人、采购机构、询价小组成员行贿或者提供其他不正当利益的；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4.5询价有效期</w:t>
      </w:r>
    </w:p>
    <w:p>
      <w:pPr>
        <w:pStyle w:val="null3"/>
        <w:ind w:firstLine="480"/>
        <w:jc w:val="both"/>
      </w:pPr>
      <w:r>
        <w:rPr>
          <w:rFonts w:ascii="仿宋_GB2312" w:hAnsi="仿宋_GB2312" w:cs="仿宋_GB2312" w:eastAsia="仿宋_GB2312"/>
        </w:rPr>
        <w:t>4.5.l 询价有效期为从递交响应文件的截止之日起，详见第二章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询价有效期满之前，征得供应商同意延长询价有效期，要求与答复均应以书面形式进行。供应商可以拒绝接受这一要求而放弃报价，询价保证金将在规定期限内无息退还。同意这一要求的供应商，无需也不允许修改其响应文件，但须相应延长询价有效期。受询价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 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供应商应在响应文件中提供证明其所投货物、服务的合格性和符合询价通知书规定的相关证明文件。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询价通知书第六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4.6.4询价通知书中《报价表》、《明细报价表》（若有）、《技术响应表》、《商务响应表》等要求盖章的文件需单位加盖公章。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5.2.1递交方式及地址：详见“第一章 政府采购询价邀请函”。</w:t>
      </w:r>
    </w:p>
    <w:p>
      <w:pPr>
        <w:pStyle w:val="null3"/>
        <w:ind w:firstLine="480"/>
        <w:jc w:val="both"/>
      </w:pPr>
      <w:r>
        <w:rPr>
          <w:rFonts w:ascii="仿宋_GB2312" w:hAnsi="仿宋_GB2312" w:cs="仿宋_GB2312" w:eastAsia="仿宋_GB2312"/>
        </w:rPr>
        <w:t>5.2.2递交要求：递交响应文件截止时间前，供应商须在海南省政府采购智慧云平台上传电子响应文件（电子响应文件需上传.标书格式），未上传电子响应文件的，视为其响应无效。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5.2.3逾期上传或未按指定方式上传的响应文件，采购代理机构不予受理。</w:t>
      </w:r>
    </w:p>
    <w:p>
      <w:pPr>
        <w:pStyle w:val="null3"/>
        <w:ind w:firstLine="480"/>
        <w:jc w:val="both"/>
      </w:pPr>
      <w:r>
        <w:rPr>
          <w:rFonts w:ascii="仿宋_GB2312" w:hAnsi="仿宋_GB2312" w:cs="仿宋_GB2312" w:eastAsia="仿宋_GB2312"/>
        </w:rPr>
        <w:t>5.2.4采购代理机构可根据需要调整文件递交时间，文件递交时间改变将会通过网络方式进行公告或书面通知已报名的供应商。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5.3修改与重投</w:t>
      </w:r>
    </w:p>
    <w:p>
      <w:pPr>
        <w:pStyle w:val="null3"/>
        <w:ind w:firstLine="480"/>
        <w:jc w:val="both"/>
      </w:pPr>
      <w:r>
        <w:rPr>
          <w:rFonts w:ascii="仿宋_GB2312" w:hAnsi="仿宋_GB2312" w:cs="仿宋_GB2312" w:eastAsia="仿宋_GB2312"/>
        </w:rPr>
        <w:t>5.3.1供应商在递交响应文件截止时间前可修改或撤回其上传的响应文件。修改的响应内容应按规定要求上传。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5.3.2供应商不得在递交响应文件截止时间以后修改响应文件。</w:t>
      </w:r>
    </w:p>
    <w:p>
      <w:pPr>
        <w:pStyle w:val="null3"/>
        <w:jc w:val="both"/>
        <w:outlineLvl w:val="2"/>
      </w:pPr>
      <w:r>
        <w:rPr>
          <w:rFonts w:ascii="仿宋_GB2312" w:hAnsi="仿宋_GB2312" w:cs="仿宋_GB2312" w:eastAsia="仿宋_GB2312"/>
          <w:sz w:val="28"/>
          <w:b/>
        </w:rPr>
        <w:t>六、开启</w:t>
      </w:r>
    </w:p>
    <w:p>
      <w:pPr>
        <w:pStyle w:val="null3"/>
        <w:ind w:firstLine="480"/>
        <w:jc w:val="both"/>
      </w:pPr>
      <w:r>
        <w:rPr>
          <w:rFonts w:ascii="仿宋_GB2312" w:hAnsi="仿宋_GB2312" w:cs="仿宋_GB2312" w:eastAsia="仿宋_GB2312"/>
        </w:rPr>
        <w:t>6.1公开报价开启时间和地点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若采购代理机构推迟了询价时间（即递交响应文件截止时间），应以公告的形式通知所有供应商。在这种情况下，供应商的权利和义务均应以新的截止时间为准。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将按照询价公告或更正公告约定的开启时间和地点进行公开报价。开启会的主持人、唱标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6.1.6供应商到现场参加公开报价会，供应商应派其法定代表人或其授权代表准时参加公开报价会，并代表供应商进行签到、文件解密、确认开启记录表等工作。</w:t>
      </w:r>
    </w:p>
    <w:p>
      <w:pPr>
        <w:pStyle w:val="null3"/>
        <w:ind w:firstLine="480"/>
        <w:jc w:val="both"/>
      </w:pPr>
      <w:r>
        <w:rPr>
          <w:rFonts w:ascii="仿宋_GB2312" w:hAnsi="仿宋_GB2312" w:cs="仿宋_GB2312" w:eastAsia="仿宋_GB2312"/>
        </w:rPr>
        <w:t>6.1.7文件解密时间：开启时开始进行解密，由于供应商自身原因，未能及时解密或解密失败的，其响应将被视作无效。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6.1.8出席公开报价会现场的人员必须携带本人身份证。</w:t>
      </w:r>
    </w:p>
    <w:p>
      <w:pPr>
        <w:pStyle w:val="null3"/>
        <w:ind w:firstLine="480"/>
        <w:jc w:val="both"/>
      </w:pPr>
      <w:r>
        <w:rPr>
          <w:rFonts w:ascii="仿宋_GB2312" w:hAnsi="仿宋_GB2312" w:cs="仿宋_GB2312" w:eastAsia="仿宋_GB2312"/>
        </w:rPr>
        <w:t>（注：以上条款如更正公告有新的约定，则按最后更正公告的约定进行。）</w:t>
      </w:r>
    </w:p>
    <w:p>
      <w:pPr>
        <w:pStyle w:val="null3"/>
        <w:ind w:firstLine="480"/>
        <w:jc w:val="both"/>
      </w:pPr>
      <w:r>
        <w:rPr>
          <w:rFonts w:ascii="仿宋_GB2312" w:hAnsi="仿宋_GB2312" w:cs="仿宋_GB2312" w:eastAsia="仿宋_GB2312"/>
        </w:rPr>
        <w:t>6.2公开报价程序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6.2.1 按询价公告或更正公告规定的时间进行签到。</w:t>
      </w:r>
    </w:p>
    <w:p>
      <w:pPr>
        <w:pStyle w:val="null3"/>
        <w:ind w:firstLine="480"/>
        <w:jc w:val="both"/>
      </w:pPr>
      <w:r>
        <w:rPr>
          <w:rFonts w:ascii="仿宋_GB2312" w:hAnsi="仿宋_GB2312" w:cs="仿宋_GB2312" w:eastAsia="仿宋_GB2312"/>
        </w:rPr>
        <w:t>6.2.2 宣布公开报价纪律及主持人、唱价人、记录人、监标人等参加人员。</w:t>
      </w:r>
    </w:p>
    <w:p>
      <w:pPr>
        <w:pStyle w:val="null3"/>
        <w:ind w:firstLine="480"/>
        <w:jc w:val="both"/>
      </w:pPr>
      <w:r>
        <w:rPr>
          <w:rFonts w:ascii="仿宋_GB2312" w:hAnsi="仿宋_GB2312" w:cs="仿宋_GB2312" w:eastAsia="仿宋_GB2312"/>
        </w:rPr>
        <w:t>6.2.3 由供应商代表对电子响应文件的加密情况进行检查，经确认无误后，参加现场报价会对供应商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6.2.4唱标时，唱标人将依次宣布“供应商名称”、“各供应商关于电子响应文件补充、修改或撤回的书面通知（若有）”、“各供应商的响应报价”和询价通知书规定的需要宣布的其他内容（包括但不限于：报价表中的内容、唱标人认为需要宣布的内容等）。</w:t>
      </w:r>
    </w:p>
    <w:p>
      <w:pPr>
        <w:pStyle w:val="null3"/>
        <w:ind w:firstLine="480"/>
        <w:jc w:val="both"/>
      </w:pPr>
      <w:r>
        <w:rPr>
          <w:rFonts w:ascii="仿宋_GB2312" w:hAnsi="仿宋_GB2312" w:cs="仿宋_GB2312" w:eastAsia="仿宋_GB2312"/>
        </w:rPr>
        <w:t>6.2.5唱标结束后，参加现场报价会的供应商代表应对开启记录进行签字确认，通过远程参与开启流程的供应商须在系统远程签章开启后，在系统规定时间内对开启结果进行签章确认。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6.2.6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6.2.7若供应商未到开启现场参加报价会，也未通过远程参加报价会的，视同认可开启结果。</w:t>
      </w:r>
    </w:p>
    <w:p>
      <w:pPr>
        <w:pStyle w:val="null3"/>
        <w:ind w:firstLine="480"/>
        <w:jc w:val="both"/>
      </w:pPr>
      <w:r>
        <w:rPr>
          <w:rFonts w:ascii="仿宋_GB2312" w:hAnsi="仿宋_GB2312" w:cs="仿宋_GB2312" w:eastAsia="仿宋_GB2312"/>
        </w:rPr>
        <w:t>※若出现本章第6.2条第6.2.4、6.2.5、6.2.6款规定情形之一，则供应商不得在报价会后就开启过程和开启记录涉及或可能涉及的有关事由（包括但不限于：“报价表”、“电子响应文件的格式”、“电子响应文件的提交”、“电子响应文件的补充、修改或撤回”等）向采购代理机构提出任何疑义或要求（包括质疑）。</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（2）供应商未按要求提供“供应商资格要求”中的有效证明资料的；</w:t>
      </w:r>
    </w:p>
    <w:p>
      <w:pPr>
        <w:pStyle w:val="null3"/>
        <w:ind w:firstLine="480"/>
        <w:jc w:val="both"/>
      </w:pPr>
      <w:r>
        <w:rPr>
          <w:rFonts w:ascii="仿宋_GB2312" w:hAnsi="仿宋_GB2312" w:cs="仿宋_GB2312" w:eastAsia="仿宋_GB2312"/>
        </w:rPr>
        <w:t>（3）未按询价通知书要求提交保证金的；</w:t>
      </w:r>
    </w:p>
    <w:p>
      <w:pPr>
        <w:pStyle w:val="null3"/>
        <w:ind w:firstLine="480"/>
        <w:jc w:val="both"/>
      </w:pPr>
      <w:r>
        <w:rPr>
          <w:rFonts w:ascii="仿宋_GB2312" w:hAnsi="仿宋_GB2312" w:cs="仿宋_GB2312" w:eastAsia="仿宋_GB2312"/>
        </w:rPr>
        <w:t>（4）询价有效期不足的；</w:t>
      </w:r>
    </w:p>
    <w:p>
      <w:pPr>
        <w:pStyle w:val="null3"/>
        <w:ind w:firstLine="480"/>
        <w:jc w:val="both"/>
      </w:pPr>
      <w:r>
        <w:rPr>
          <w:rFonts w:ascii="仿宋_GB2312" w:hAnsi="仿宋_GB2312" w:cs="仿宋_GB2312" w:eastAsia="仿宋_GB2312"/>
        </w:rPr>
        <w:t>（5）响应文件未按询价通知书规定要求及给定的格式填写、签署及盖章的；</w:t>
      </w:r>
    </w:p>
    <w:p>
      <w:pPr>
        <w:pStyle w:val="null3"/>
        <w:ind w:firstLine="480"/>
        <w:jc w:val="both"/>
      </w:pPr>
      <w:r>
        <w:rPr>
          <w:rFonts w:ascii="仿宋_GB2312" w:hAnsi="仿宋_GB2312" w:cs="仿宋_GB2312" w:eastAsia="仿宋_GB2312"/>
        </w:rPr>
        <w:t>（6）报价超过询价通知书中规定的预算金额或者最高限价的；</w:t>
      </w:r>
    </w:p>
    <w:p>
      <w:pPr>
        <w:pStyle w:val="null3"/>
        <w:ind w:firstLine="480"/>
        <w:jc w:val="both"/>
      </w:pPr>
      <w:r>
        <w:rPr>
          <w:rFonts w:ascii="仿宋_GB2312" w:hAnsi="仿宋_GB2312" w:cs="仿宋_GB2312" w:eastAsia="仿宋_GB2312"/>
        </w:rPr>
        <w:t>（7）询价小组认为供应商的报价明显低于其他通过符合性审查供应商，有可能影响产品质量或者不能诚信履约的，且供应商不能按询价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询价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询价小组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（8）不按要求填写报价表等；</w:t>
      </w:r>
    </w:p>
    <w:p>
      <w:pPr>
        <w:pStyle w:val="null3"/>
        <w:ind w:firstLine="480"/>
        <w:jc w:val="both"/>
      </w:pPr>
      <w:r>
        <w:rPr>
          <w:rFonts w:ascii="仿宋_GB2312" w:hAnsi="仿宋_GB2312" w:cs="仿宋_GB2312" w:eastAsia="仿宋_GB2312"/>
        </w:rPr>
        <w:t>（9）不满足询价通知书中规定的其他实质性要求和条件的</w:t>
      </w:r>
    </w:p>
    <w:p>
      <w:pPr>
        <w:pStyle w:val="null3"/>
        <w:ind w:firstLine="480"/>
        <w:jc w:val="both"/>
      </w:pPr>
      <w:r>
        <w:rPr>
          <w:rFonts w:ascii="仿宋_GB2312" w:hAnsi="仿宋_GB2312" w:cs="仿宋_GB2312" w:eastAsia="仿宋_GB2312"/>
        </w:rPr>
        <w:t>（10）响应文件含有采购人不能接受的附加条件的；</w:t>
      </w:r>
    </w:p>
    <w:p>
      <w:pPr>
        <w:pStyle w:val="null3"/>
        <w:ind w:firstLine="480"/>
        <w:jc w:val="both"/>
      </w:pPr>
      <w:r>
        <w:rPr>
          <w:rFonts w:ascii="仿宋_GB2312" w:hAnsi="仿宋_GB2312" w:cs="仿宋_GB2312" w:eastAsia="仿宋_GB2312"/>
        </w:rPr>
        <w:t>（11）属于询价通知书中规定的串通行为的情形的；</w:t>
      </w:r>
    </w:p>
    <w:p>
      <w:pPr>
        <w:pStyle w:val="null3"/>
        <w:ind w:firstLine="480"/>
        <w:jc w:val="both"/>
      </w:pPr>
      <w:r>
        <w:rPr>
          <w:rFonts w:ascii="仿宋_GB2312" w:hAnsi="仿宋_GB2312" w:cs="仿宋_GB2312" w:eastAsia="仿宋_GB2312"/>
        </w:rPr>
        <w:t>（12）法律、法规和询价通知书规定的其他无效情形。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6.4.1询价小组查询供应商的信用记录。供应商存在不良信用记录的，将被认定为响应无效。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以联合体形式参加询价的，联合体任何成员存在以上不良信用记录的，将被认定为响应无效。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供应商不良信用记录以询价小组查询结果为准。</w:t>
      </w:r>
    </w:p>
    <w:p>
      <w:pPr>
        <w:pStyle w:val="null3"/>
        <w:ind w:firstLine="480"/>
        <w:jc w:val="both"/>
      </w:pPr>
      <w:r>
        <w:rPr>
          <w:rFonts w:ascii="仿宋_GB2312" w:hAnsi="仿宋_GB2312" w:cs="仿宋_GB2312" w:eastAsia="仿宋_GB2312"/>
        </w:rPr>
        <w:t>在本询价通知书规定的查询时间之后，网站信息发生的任何变更均不再作为评审依据。供应商自行提供的与网站信息不一致的其他证明材料亦不作为资格审查的依据。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7.1询价小组</w:t>
      </w:r>
    </w:p>
    <w:p>
      <w:pPr>
        <w:pStyle w:val="null3"/>
        <w:ind w:firstLine="480"/>
        <w:jc w:val="both"/>
      </w:pPr>
      <w:r>
        <w:rPr>
          <w:rFonts w:ascii="仿宋_GB2312" w:hAnsi="仿宋_GB2312" w:cs="仿宋_GB2312" w:eastAsia="仿宋_GB2312"/>
        </w:rPr>
        <w:t>询价小组由采购人的代表和有关专家共三人以上的单数组成。询价小组负责具体评审事务，根据有关法律法规和询价通知书规定独立履行询价小组职责。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7.2.2评审方法：询价小组根据从质量和服务均能满足询价通知书实质性响应要求的供应商中，按照最后报价由低到高的顺序提出3名以上成交候选人。</w:t>
      </w:r>
    </w:p>
    <w:p>
      <w:pPr>
        <w:pStyle w:val="null3"/>
        <w:ind w:firstLine="480"/>
        <w:jc w:val="both"/>
      </w:pPr>
      <w:r>
        <w:rPr>
          <w:rFonts w:ascii="仿宋_GB2312" w:hAnsi="仿宋_GB2312" w:cs="仿宋_GB2312" w:eastAsia="仿宋_GB2312"/>
        </w:rPr>
        <w:t>7.2.3 评审过程的分为文件初审、澄清说明补正（如需）、价格评比、推荐成交候选供应商。</w:t>
      </w:r>
    </w:p>
    <w:p>
      <w:pPr>
        <w:pStyle w:val="null3"/>
        <w:ind w:firstLine="480"/>
        <w:jc w:val="both"/>
      </w:pPr>
      <w:r>
        <w:rPr>
          <w:rFonts w:ascii="仿宋_GB2312" w:hAnsi="仿宋_GB2312" w:cs="仿宋_GB2312" w:eastAsia="仿宋_GB2312"/>
        </w:rPr>
        <w:t>7.2.4评审中如有未考虑到的问题，由询价小组集体研究处理。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询价小组将根据询价通知书中要求的“供应商资格要求”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7.3.2询价小组将只根据响应文件本身的内容做出独立判断，而不需寻求其他外部证据。</w:t>
      </w:r>
    </w:p>
    <w:p>
      <w:pPr>
        <w:pStyle w:val="null3"/>
        <w:ind w:firstLine="480"/>
        <w:jc w:val="both"/>
      </w:pPr>
      <w:r>
        <w:rPr>
          <w:rFonts w:ascii="仿宋_GB2312" w:hAnsi="仿宋_GB2312" w:cs="仿宋_GB2312" w:eastAsia="仿宋_GB2312"/>
        </w:rPr>
        <w:t>7.3.3通过初步评审的供应商不足三家的，按废标处理。</w:t>
      </w:r>
    </w:p>
    <w:p>
      <w:pPr>
        <w:pStyle w:val="null3"/>
        <w:ind w:firstLine="480"/>
        <w:jc w:val="both"/>
      </w:pPr>
      <w:r>
        <w:rPr>
          <w:rFonts w:ascii="仿宋_GB2312" w:hAnsi="仿宋_GB2312" w:cs="仿宋_GB2312" w:eastAsia="仿宋_GB2312"/>
        </w:rPr>
        <w:t>7.3.4提供相同品牌产品的不同供应商参加同一合同项下报价的，按一家供应商计算。非单一产品采购项目，多家供应商提供的核心产品品牌相同的，按一家供应商计算。核心产品详见“采购需求”。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7.3.5在评审过程中，询价小组发现供应商有下列表现形式之一的，可以认定属于串通行为，其响应无效，具体表现形式如下：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（1）不同供应商的响应文件相互混装；</w:t>
      </w:r>
    </w:p>
    <w:p>
      <w:pPr>
        <w:pStyle w:val="null3"/>
        <w:ind w:firstLine="480"/>
        <w:jc w:val="both"/>
      </w:pPr>
      <w:r>
        <w:rPr>
          <w:rFonts w:ascii="仿宋_GB2312" w:hAnsi="仿宋_GB2312" w:cs="仿宋_GB2312" w:eastAsia="仿宋_GB2312"/>
        </w:rPr>
        <w:t>（2）不同供应商的保证金从同一单位或者个人的账户转出；</w:t>
      </w:r>
    </w:p>
    <w:p>
      <w:pPr>
        <w:pStyle w:val="null3"/>
        <w:ind w:firstLine="480"/>
        <w:jc w:val="both"/>
      </w:pPr>
      <w:r>
        <w:rPr>
          <w:rFonts w:ascii="仿宋_GB2312" w:hAnsi="仿宋_GB2312" w:cs="仿宋_GB2312" w:eastAsia="仿宋_GB2312"/>
        </w:rPr>
        <w:t>（3）不同供应商的响应文件由同一单位或者个人编制；</w:t>
      </w:r>
    </w:p>
    <w:p>
      <w:pPr>
        <w:pStyle w:val="null3"/>
        <w:ind w:firstLine="480"/>
        <w:jc w:val="both"/>
      </w:pPr>
      <w:r>
        <w:rPr>
          <w:rFonts w:ascii="仿宋_GB2312" w:hAnsi="仿宋_GB2312" w:cs="仿宋_GB2312" w:eastAsia="仿宋_GB2312"/>
        </w:rPr>
        <w:t>（4）不同供应商委托同一单位或者个人办理询价事宜；</w:t>
      </w:r>
    </w:p>
    <w:p>
      <w:pPr>
        <w:pStyle w:val="null3"/>
        <w:ind w:firstLine="480"/>
        <w:jc w:val="both"/>
      </w:pPr>
      <w:r>
        <w:rPr>
          <w:rFonts w:ascii="仿宋_GB2312" w:hAnsi="仿宋_GB2312" w:cs="仿宋_GB2312" w:eastAsia="仿宋_GB2312"/>
        </w:rPr>
        <w:t>（5）不同供应商的响应文件载明的项目管理成员或者联系人员为同一人；</w:t>
      </w:r>
    </w:p>
    <w:p>
      <w:pPr>
        <w:pStyle w:val="null3"/>
        <w:ind w:firstLine="480"/>
        <w:jc w:val="both"/>
      </w:pPr>
      <w:r>
        <w:rPr>
          <w:rFonts w:ascii="仿宋_GB2312" w:hAnsi="仿宋_GB2312" w:cs="仿宋_GB2312" w:eastAsia="仿宋_GB2312"/>
        </w:rPr>
        <w:t>（6）不同供应商的响应文件异常一致或者报价呈规律性差异；</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询价小组对于响应文件中含义不明确、同类问题表述不一致或者有明显文字和计算错误的内容或数据，可要求供应商在规定的时限内做出必要的澄清、说明或者补正。</w:t>
      </w:r>
    </w:p>
    <w:p>
      <w:pPr>
        <w:pStyle w:val="null3"/>
        <w:ind w:firstLine="480"/>
        <w:jc w:val="both"/>
      </w:pPr>
      <w:r>
        <w:rPr>
          <w:rFonts w:ascii="仿宋_GB2312" w:hAnsi="仿宋_GB2312" w:cs="仿宋_GB2312" w:eastAsia="仿宋_GB2312"/>
        </w:rPr>
        <w:t>7.4.2报价有计算上或累加上的算术错误，修正错误的原则如下：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 供应商的澄清文件是其响应文件的有效组成部分，是合同签署和履约的依据,须对其进行法律签署。</w:t>
      </w:r>
    </w:p>
    <w:p>
      <w:pPr>
        <w:pStyle w:val="null3"/>
        <w:ind w:firstLine="480"/>
        <w:jc w:val="both"/>
      </w:pPr>
      <w:r>
        <w:rPr>
          <w:rFonts w:ascii="仿宋_GB2312" w:hAnsi="仿宋_GB2312" w:cs="仿宋_GB2312" w:eastAsia="仿宋_GB2312"/>
        </w:rPr>
        <w:t>7.4.4 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7.4.5澄清、说明或补正的内容不得超出响应文件的范围或者改变响应文件的实质性内容。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7.4.6 未按7.4.4条及7.4.5条要求或未在规定时间内进行澄清、说明、补正的，其响应文件按无效处理。</w:t>
      </w:r>
    </w:p>
    <w:p>
      <w:pPr>
        <w:pStyle w:val="null3"/>
        <w:ind w:firstLine="480"/>
        <w:jc w:val="both"/>
      </w:pPr>
      <w:r>
        <w:rPr>
          <w:rFonts w:ascii="仿宋_GB2312" w:hAnsi="仿宋_GB2312" w:cs="仿宋_GB2312" w:eastAsia="仿宋_GB2312"/>
        </w:rPr>
        <w:t>7.5 价格评比</w:t>
      </w:r>
    </w:p>
    <w:p>
      <w:pPr>
        <w:pStyle w:val="null3"/>
        <w:ind w:firstLine="480"/>
        <w:jc w:val="both"/>
      </w:pPr>
      <w:r>
        <w:rPr>
          <w:rFonts w:ascii="仿宋_GB2312" w:hAnsi="仿宋_GB2312" w:cs="仿宋_GB2312" w:eastAsia="仿宋_GB2312"/>
        </w:rPr>
        <w:t>7.5.1对小型或微型企业的扶持（监狱企业、残疾人福利性单位视同小型、微型企业）：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7.5.2节能产品、环境标志产品的落实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7.5.3询价小组认为供应商的报价明显低于其他通过符合性审查供应商的报价，有可能影响产品质量或者不能诚信履约的，应当要求其在询价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7.6推荐成交候选供应商</w:t>
      </w:r>
    </w:p>
    <w:p>
      <w:pPr>
        <w:pStyle w:val="null3"/>
        <w:ind w:firstLine="480"/>
        <w:jc w:val="both"/>
      </w:pPr>
      <w:r>
        <w:rPr>
          <w:rFonts w:ascii="仿宋_GB2312" w:hAnsi="仿宋_GB2312" w:cs="仿宋_GB2312" w:eastAsia="仿宋_GB2312"/>
        </w:rPr>
        <w:t>采用最低价评标法，询价小组依据评审情况，按各供应商报价（小型或微型企业、节能或环保产品用扣除后的报价参与评比）由低到高的顺序向采购单位推荐三名以上成交候选人及成交顺序，报价相同则按技术指标优劣顺序排列，并形成书面的评审报告。</w:t>
      </w:r>
    </w:p>
    <w:p>
      <w:pPr>
        <w:pStyle w:val="null3"/>
        <w:ind w:firstLine="480"/>
        <w:jc w:val="both"/>
      </w:pPr>
      <w:r>
        <w:rPr>
          <w:rFonts w:ascii="仿宋_GB2312" w:hAnsi="仿宋_GB2312" w:cs="仿宋_GB2312" w:eastAsia="仿宋_GB2312"/>
        </w:rPr>
        <w:t>7.7成交供应商的确定</w:t>
      </w:r>
    </w:p>
    <w:p>
      <w:pPr>
        <w:pStyle w:val="null3"/>
        <w:ind w:firstLine="480"/>
        <w:jc w:val="both"/>
      </w:pPr>
      <w:r>
        <w:rPr>
          <w:rFonts w:ascii="仿宋_GB2312" w:hAnsi="仿宋_GB2312" w:cs="仿宋_GB2312" w:eastAsia="仿宋_GB2312"/>
        </w:rPr>
        <w:t>7.7.1 成交供应商的确定方式：详见第二章须知前附表。</w:t>
      </w:r>
    </w:p>
    <w:p>
      <w:pPr>
        <w:pStyle w:val="null3"/>
        <w:ind w:firstLine="480"/>
        <w:jc w:val="both"/>
      </w:pPr>
      <w:r>
        <w:rPr>
          <w:rFonts w:ascii="仿宋_GB2312" w:hAnsi="仿宋_GB2312" w:cs="仿宋_GB2312" w:eastAsia="仿宋_GB2312"/>
        </w:rPr>
        <w:t>7.7.2 采购代理机构依据采购单位的确认结果，将在规定的信息发布媒体上发布成交公告（网址详见“政府采购询价邀请函”）。</w:t>
      </w:r>
    </w:p>
    <w:p>
      <w:pPr>
        <w:pStyle w:val="null3"/>
        <w:ind w:firstLine="480"/>
        <w:jc w:val="both"/>
      </w:pPr>
      <w:r>
        <w:rPr>
          <w:rFonts w:ascii="仿宋_GB2312" w:hAnsi="仿宋_GB2312" w:cs="仿宋_GB2312" w:eastAsia="仿宋_GB2312"/>
        </w:rPr>
        <w:t>7.7.3对成交结果提出质疑的，若所公告的成交供应商确实存在问题的，采购单位将按照成交候选供应商的推荐排序重新公告成交结果，或按相关规定依法重新组织采购，确保公正性。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both"/>
      </w:pPr>
      <w:r>
        <w:rPr>
          <w:rFonts w:ascii="仿宋_GB2312" w:hAnsi="仿宋_GB2312" w:cs="仿宋_GB2312" w:eastAsia="仿宋_GB2312"/>
        </w:rPr>
        <w:t>7.7.4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both"/>
      </w:pPr>
      <w:r>
        <w:rPr>
          <w:rFonts w:ascii="仿宋_GB2312" w:hAnsi="仿宋_GB2312" w:cs="仿宋_GB2312" w:eastAsia="仿宋_GB2312"/>
        </w:rPr>
        <w:t>8.1成交通知</w:t>
      </w:r>
    </w:p>
    <w:p>
      <w:pPr>
        <w:pStyle w:val="null3"/>
        <w:ind w:firstLine="480"/>
        <w:jc w:val="both"/>
      </w:pPr>
      <w:r>
        <w:rPr>
          <w:rFonts w:ascii="仿宋_GB2312" w:hAnsi="仿宋_GB2312" w:cs="仿宋_GB2312" w:eastAsia="仿宋_GB2312"/>
        </w:rPr>
        <w:t>8.1.l 根据采购人确定的成交结果，采购代理机构将向成交供应商发出成交通知书。</w:t>
      </w:r>
    </w:p>
    <w:p>
      <w:pPr>
        <w:pStyle w:val="null3"/>
        <w:ind w:firstLine="480"/>
        <w:jc w:val="both"/>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8.1.3成交通知书是政府采购合同的组成部分。</w:t>
      </w:r>
    </w:p>
    <w:p>
      <w:pPr>
        <w:pStyle w:val="null3"/>
        <w:ind w:firstLine="480"/>
        <w:jc w:val="both"/>
      </w:pPr>
      <w:r>
        <w:rPr>
          <w:rFonts w:ascii="仿宋_GB2312" w:hAnsi="仿宋_GB2312" w:cs="仿宋_GB2312" w:eastAsia="仿宋_GB2312"/>
        </w:rPr>
        <w:t>8.2履约保证</w:t>
      </w:r>
    </w:p>
    <w:p>
      <w:pPr>
        <w:pStyle w:val="null3"/>
        <w:ind w:firstLine="480"/>
        <w:jc w:val="both"/>
      </w:pPr>
      <w:r>
        <w:rPr>
          <w:rFonts w:ascii="仿宋_GB2312" w:hAnsi="仿宋_GB2312" w:cs="仿宋_GB2312" w:eastAsia="仿宋_GB2312"/>
        </w:rPr>
        <w:t>8.2.1 在签订合同前，供应商应在收到成交通知书，根据采购人的要求根据采购人的要求缴纳履约保证金（具体帐号详见第二章须知前附表）。</w:t>
      </w:r>
    </w:p>
    <w:p>
      <w:pPr>
        <w:pStyle w:val="null3"/>
        <w:ind w:firstLine="480"/>
        <w:jc w:val="both"/>
      </w:pPr>
      <w:r>
        <w:rPr>
          <w:rFonts w:ascii="仿宋_GB2312" w:hAnsi="仿宋_GB2312" w:cs="仿宋_GB2312" w:eastAsia="仿宋_GB2312"/>
        </w:rPr>
        <w:t>8.2.2 成交供应商不能在成交通知书发出后、8.3.1条规定的签订合同时间前缴纳履约保证金的，视为放弃成交，其询价保证金不予退还，给采购单位造成的损失超过询价保证金数额的，成交供应商还应当对超过部分予以赔偿。</w:t>
      </w:r>
    </w:p>
    <w:p>
      <w:pPr>
        <w:pStyle w:val="null3"/>
        <w:ind w:firstLine="480"/>
        <w:jc w:val="both"/>
      </w:pPr>
      <w:r>
        <w:rPr>
          <w:rFonts w:ascii="仿宋_GB2312" w:hAnsi="仿宋_GB2312" w:cs="仿宋_GB2312" w:eastAsia="仿宋_GB2312"/>
        </w:rPr>
        <w:t>8.2.3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8.3签订合同</w:t>
      </w:r>
    </w:p>
    <w:p>
      <w:pPr>
        <w:pStyle w:val="null3"/>
        <w:ind w:firstLine="480"/>
        <w:jc w:val="both"/>
      </w:pPr>
      <w:r>
        <w:rPr>
          <w:rFonts w:ascii="仿宋_GB2312" w:hAnsi="仿宋_GB2312" w:cs="仿宋_GB2312" w:eastAsia="仿宋_GB2312"/>
        </w:rPr>
        <w:t>8.3.1 合同签订周期：成交结果公告后5个工作日内。</w:t>
      </w:r>
    </w:p>
    <w:p>
      <w:pPr>
        <w:pStyle w:val="null3"/>
        <w:ind w:firstLine="480"/>
        <w:jc w:val="both"/>
      </w:pPr>
      <w:r>
        <w:rPr>
          <w:rFonts w:ascii="仿宋_GB2312" w:hAnsi="仿宋_GB2312" w:cs="仿宋_GB2312" w:eastAsia="仿宋_GB2312"/>
        </w:rPr>
        <w:t>8.3.2 采购单位应当自成交通知书发出后规定的时间内，按照询价通知书和成交供应商响应文件的约定，与成交供应商签订政府采购合同。所签政府采购合同不得对询价通知书和成交供应商的响应文件作实质性修改。</w:t>
      </w:r>
    </w:p>
    <w:p>
      <w:pPr>
        <w:pStyle w:val="null3"/>
        <w:ind w:firstLine="480"/>
        <w:jc w:val="both"/>
      </w:pPr>
      <w:r>
        <w:rPr>
          <w:rFonts w:ascii="仿宋_GB2312" w:hAnsi="仿宋_GB2312" w:cs="仿宋_GB2312" w:eastAsia="仿宋_GB2312"/>
        </w:rPr>
        <w:t>8.3.3 成交供应商应按成交通知书规定的时间、地点与采购单位签订成交合同,否则询价保证金将不予退还，给采购人和采购代理机构造成损失的，供应商还应承担赔偿责任。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both"/>
      </w:pPr>
      <w:r>
        <w:rPr>
          <w:rFonts w:ascii="仿宋_GB2312" w:hAnsi="仿宋_GB2312" w:cs="仿宋_GB2312" w:eastAsia="仿宋_GB2312"/>
        </w:rPr>
        <w:t>9.1适用法规</w:t>
      </w:r>
    </w:p>
    <w:p>
      <w:pPr>
        <w:pStyle w:val="null3"/>
        <w:ind w:firstLine="480"/>
        <w:jc w:val="both"/>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9.2 信息发布</w:t>
      </w:r>
    </w:p>
    <w:p>
      <w:pPr>
        <w:pStyle w:val="null3"/>
        <w:ind w:firstLine="480"/>
        <w:jc w:val="both"/>
      </w:pPr>
      <w:r>
        <w:rPr>
          <w:rFonts w:ascii="仿宋_GB2312" w:hAnsi="仿宋_GB2312" w:cs="仿宋_GB2312" w:eastAsia="仿宋_GB2312"/>
        </w:rPr>
        <w:t>9.2.1 政府采购活动过程中需对外发布的信息均统一发布在指定的信息发布媒体上，供应商可从本询价通知书“第一章 政府采购询价邀请函”中指定的信息发布媒体获取信息。</w:t>
      </w:r>
    </w:p>
    <w:p>
      <w:pPr>
        <w:pStyle w:val="null3"/>
        <w:ind w:firstLine="480"/>
        <w:jc w:val="both"/>
      </w:pPr>
      <w:r>
        <w:rPr>
          <w:rFonts w:ascii="仿宋_GB2312" w:hAnsi="仿宋_GB2312" w:cs="仿宋_GB2312" w:eastAsia="仿宋_GB2312"/>
        </w:rPr>
        <w:t>9.3纪律要求</w:t>
      </w:r>
    </w:p>
    <w:p>
      <w:pPr>
        <w:pStyle w:val="null3"/>
        <w:ind w:firstLine="480"/>
        <w:jc w:val="both"/>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9.3.2 供应商不得相互串通报价或者与采购单位串通报价，不得向采购单位或者询价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both"/>
      </w:pPr>
      <w:r>
        <w:rPr>
          <w:rFonts w:ascii="仿宋_GB2312" w:hAnsi="仿宋_GB2312" w:cs="仿宋_GB2312" w:eastAsia="仿宋_GB2312"/>
        </w:rPr>
        <w:t>9.3.3 询价小组成员不得收受他人的财物或者其他好处，不得向他人透漏对响应文件的评审和比较、成交候选人的推荐情况以及评审有关的其他情况；在评审活动中，询价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both"/>
      </w:pPr>
      <w:r>
        <w:rPr>
          <w:rFonts w:ascii="仿宋_GB2312" w:hAnsi="仿宋_GB2312" w:cs="仿宋_GB2312" w:eastAsia="仿宋_GB2312"/>
        </w:rPr>
        <w:t>9.4质疑处理</w:t>
      </w:r>
    </w:p>
    <w:p>
      <w:pPr>
        <w:pStyle w:val="null3"/>
        <w:ind w:firstLine="480"/>
        <w:jc w:val="both"/>
      </w:pPr>
      <w:r>
        <w:rPr>
          <w:rFonts w:ascii="仿宋_GB2312" w:hAnsi="仿宋_GB2312" w:cs="仿宋_GB2312" w:eastAsia="仿宋_GB2312"/>
        </w:rPr>
        <w:t>9.4.1供应商认为询价通知书、采购过程和成交结果使自己的权益受到损害的，可以在知道或者应知其权益受到损害之日起7个工作日内，以书面形式向采购人或采购代理机构提出质疑。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9.4.3质疑函的递交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联系电话：0898-65328224</w:t>
      </w:r>
    </w:p>
    <w:p>
      <w:pPr>
        <w:pStyle w:val="null3"/>
        <w:jc w:val="left"/>
      </w:pPr>
      <w:r>
        <w:rPr>
          <w:rFonts w:ascii="仿宋_GB2312" w:hAnsi="仿宋_GB2312" w:cs="仿宋_GB2312" w:eastAsia="仿宋_GB2312"/>
        </w:rPr>
        <w:t>地址：海南省海口市美兰区蓝天路12-1号国机中洋公馆2号楼2-1101房</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both"/>
      </w:pPr>
      <w:r>
        <w:rPr>
          <w:rFonts w:ascii="仿宋_GB2312" w:hAnsi="仿宋_GB2312" w:cs="仿宋_GB2312" w:eastAsia="仿宋_GB2312"/>
        </w:rPr>
        <w:t>9.5投诉</w:t>
      </w:r>
    </w:p>
    <w:p>
      <w:pPr>
        <w:pStyle w:val="null3"/>
        <w:ind w:firstLine="480"/>
        <w:jc w:val="both"/>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both"/>
      </w:pPr>
      <w:r>
        <w:rPr>
          <w:rFonts w:ascii="仿宋_GB2312" w:hAnsi="仿宋_GB2312" w:cs="仿宋_GB2312" w:eastAsia="仿宋_GB2312"/>
        </w:rPr>
        <w:t>10.1 不良行为</w:t>
      </w:r>
    </w:p>
    <w:p>
      <w:pPr>
        <w:pStyle w:val="null3"/>
        <w:ind w:firstLine="480"/>
        <w:jc w:val="both"/>
      </w:pPr>
      <w:r>
        <w:rPr>
          <w:rFonts w:ascii="仿宋_GB2312" w:hAnsi="仿宋_GB2312" w:cs="仿宋_GB2312" w:eastAsia="仿宋_GB2312"/>
        </w:rPr>
        <w:t>10.1.1供应商存在的以下情况，将被认定为不良行为：</w:t>
      </w:r>
    </w:p>
    <w:p>
      <w:pPr>
        <w:pStyle w:val="null3"/>
        <w:ind w:firstLine="480"/>
        <w:jc w:val="both"/>
      </w:pPr>
      <w:r>
        <w:rPr>
          <w:rFonts w:ascii="仿宋_GB2312" w:hAnsi="仿宋_GB2312" w:cs="仿宋_GB2312" w:eastAsia="仿宋_GB2312"/>
        </w:rPr>
        <w:t>(1)供应商在政府采购活动中存在违反规定提供虚假、无效证件等行为的；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(3)供应商在参加政府采购活动时，有围标、串标、陪标等行为的；</w:t>
      </w:r>
    </w:p>
    <w:p>
      <w:pPr>
        <w:pStyle w:val="null3"/>
        <w:ind w:firstLine="480"/>
        <w:jc w:val="both"/>
      </w:pPr>
      <w:r>
        <w:rPr>
          <w:rFonts w:ascii="仿宋_GB2312" w:hAnsi="仿宋_GB2312" w:cs="仿宋_GB2312" w:eastAsia="仿宋_GB2312"/>
        </w:rPr>
        <w:t>(4)供应商不遵守公开报价会场纪律,扰乱政府采购秩序的；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10.2 询价控制价</w:t>
      </w:r>
    </w:p>
    <w:p>
      <w:pPr>
        <w:pStyle w:val="null3"/>
        <w:ind w:firstLine="480"/>
        <w:jc w:val="both"/>
      </w:pPr>
      <w:r>
        <w:rPr>
          <w:rFonts w:ascii="仿宋_GB2312" w:hAnsi="仿宋_GB2312" w:cs="仿宋_GB2312" w:eastAsia="仿宋_GB2312"/>
        </w:rPr>
        <w:t>询价通知书中规定的最高限价为询价控制价；如未规定最高限价的，则项目预算金额为询价控制价。</w:t>
      </w:r>
    </w:p>
    <w:p>
      <w:pPr>
        <w:pStyle w:val="null3"/>
        <w:ind w:firstLine="480"/>
        <w:jc w:val="both"/>
      </w:pPr>
      <w:r>
        <w:rPr>
          <w:rFonts w:ascii="仿宋_GB2312" w:hAnsi="仿宋_GB2312" w:cs="仿宋_GB2312" w:eastAsia="仿宋_GB2312"/>
        </w:rPr>
        <w:t>10.3 知识产权</w:t>
      </w:r>
    </w:p>
    <w:p>
      <w:pPr>
        <w:pStyle w:val="null3"/>
        <w:ind w:firstLine="480"/>
        <w:jc w:val="both"/>
      </w:pPr>
      <w:r>
        <w:rPr>
          <w:rFonts w:ascii="仿宋_GB2312" w:hAnsi="仿宋_GB2312" w:cs="仿宋_GB2312" w:eastAsia="仿宋_GB2312"/>
        </w:rPr>
        <w:t>构成本询价通知书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10.4 解释权</w:t>
      </w:r>
    </w:p>
    <w:p>
      <w:pPr>
        <w:pStyle w:val="null3"/>
        <w:ind w:firstLine="480"/>
        <w:jc w:val="both"/>
      </w:pPr>
      <w:r>
        <w:rPr>
          <w:rFonts w:ascii="仿宋_GB2312" w:hAnsi="仿宋_GB2312" w:cs="仿宋_GB2312" w:eastAsia="仿宋_GB2312"/>
        </w:rPr>
        <w:t>构成本询价通知书的各个组成文件应互为解释，互为说明；如有不明确或不一致，构成合同文件组成内容的，以合同文件约定内容为准；除询价通知书中有特别规定外，仅适用于询价阶段的规定，按询价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color w:val="000000"/>
        </w:rPr>
        <w:t>本项目采购内容为不锈钢保温杯，采购预算价</w:t>
      </w:r>
      <w:r>
        <w:rPr>
          <w:rFonts w:ascii="仿宋_GB2312" w:hAnsi="仿宋_GB2312" w:cs="仿宋_GB2312" w:eastAsia="仿宋_GB2312"/>
          <w:sz w:val="24"/>
          <w:color w:val="000000"/>
        </w:rPr>
        <w:t>:3900000.00元。</w:t>
      </w:r>
    </w:p>
    <w:p>
      <w:pPr>
        <w:pStyle w:val="null3"/>
        <w:ind w:right="840"/>
        <w:jc w:val="left"/>
      </w:pPr>
      <w:r>
        <w:rPr>
          <w:rFonts w:ascii="仿宋_GB2312" w:hAnsi="仿宋_GB2312" w:cs="仿宋_GB2312" w:eastAsia="仿宋_GB2312"/>
          <w:sz w:val="24"/>
          <w:color w:val="000000"/>
        </w:rPr>
        <w:t>本项目采购标的属于工业。小微企业的划分标准详见附件：关于印发中小企业划型标准规定的通知（工信部联企业〔</w:t>
      </w:r>
      <w:r>
        <w:rPr>
          <w:rFonts w:ascii="仿宋_GB2312" w:hAnsi="仿宋_GB2312" w:cs="仿宋_GB2312" w:eastAsia="仿宋_GB2312"/>
          <w:sz w:val="24"/>
          <w:color w:val="000000"/>
        </w:rPr>
        <w:t>2011〕300号）</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3,900,000.00</w:t>
      </w:r>
    </w:p>
    <w:p>
      <w:pPr>
        <w:pStyle w:val="null3"/>
        <w:jc w:val="left"/>
      </w:pPr>
      <w:r>
        <w:rPr>
          <w:rFonts w:ascii="仿宋_GB2312" w:hAnsi="仿宋_GB2312" w:cs="仿宋_GB2312" w:eastAsia="仿宋_GB2312"/>
        </w:rPr>
        <w:t>采购包最高限价（元）: 3,900,000.00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不锈钢保温杯</w:t>
            </w:r>
          </w:p>
        </w:tc>
        <w:tc>
          <w:tcPr>
            <w:tcW w:type="dxa" w:w="831"/>
          </w:tcPr>
          <w:p>
            <w:pPr>
              <w:pStyle w:val="null3"/>
              <w:jc w:val="right"/>
            </w:pPr>
            <w:r>
              <w:rPr>
                <w:rFonts w:ascii="仿宋_GB2312" w:hAnsi="仿宋_GB2312" w:cs="仿宋_GB2312" w:eastAsia="仿宋_GB2312"/>
              </w:rPr>
              <w:t>86,000.00</w:t>
            </w:r>
          </w:p>
        </w:tc>
        <w:tc>
          <w:tcPr>
            <w:tcW w:type="dxa" w:w="831"/>
          </w:tcPr>
          <w:p>
            <w:pPr>
              <w:pStyle w:val="null3"/>
              <w:jc w:val="right"/>
            </w:pPr>
            <w:r>
              <w:rPr>
                <w:rFonts w:ascii="仿宋_GB2312" w:hAnsi="仿宋_GB2312" w:cs="仿宋_GB2312" w:eastAsia="仿宋_GB2312"/>
              </w:rPr>
              <w:t>3,900,000.00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不锈钢保温杯</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标的名称：不锈钢保温杯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tbl>
            <w:tblPr>
              <w:tblInd w:type="dxa" w:w="210"/>
              <w:tblBorders>
                <w:top w:val="none" w:color="000000" w:sz="4"/>
                <w:left w:val="none" w:color="000000" w:sz="4"/>
                <w:bottom w:val="none" w:color="000000" w:sz="4"/>
                <w:right w:val="none" w:color="000000" w:sz="4"/>
                <w:insideH w:val="none"/>
                <w:insideV w:val="none"/>
              </w:tblBorders>
            </w:tblPr>
            <w:tblGrid>
              <w:gridCol w:w="263"/>
              <w:gridCol w:w="557"/>
              <w:gridCol w:w="433"/>
              <w:gridCol w:w="232"/>
              <w:gridCol w:w="402"/>
              <w:gridCol w:w="665"/>
            </w:tblGrid>
            <w:tr>
              <w:tc>
                <w:tcPr>
                  <w:tcW w:type="dxa" w:w="26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55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货物名称</w:t>
                  </w:r>
                </w:p>
              </w:tc>
              <w:tc>
                <w:tcPr>
                  <w:tcW w:type="dxa" w:w="4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货物数量</w:t>
                  </w:r>
                </w:p>
              </w:tc>
              <w:tc>
                <w:tcPr>
                  <w:tcW w:type="dxa" w:w="23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40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最高限制单价</w:t>
                  </w:r>
                </w:p>
              </w:tc>
              <w:tc>
                <w:tcPr>
                  <w:tcW w:type="dxa" w:w="66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最高限制总价</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不锈钢保温杯</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86000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45.3488元</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3900000.00元</w:t>
                  </w:r>
                </w:p>
              </w:tc>
            </w:tr>
          </w:tbl>
          <w:p>
            <w:pPr>
              <w:pStyle w:val="null3"/>
              <w:jc w:val="both"/>
            </w:pPr>
            <w:r>
              <w:rPr>
                <w:rFonts w:ascii="仿宋_GB2312" w:hAnsi="仿宋_GB2312" w:cs="仿宋_GB2312" w:eastAsia="仿宋_GB2312"/>
                <w:sz w:val="24"/>
                <w:b/>
              </w:rPr>
              <w:t>1、所报货物总价不得超过上表中的“</w:t>
            </w:r>
            <w:r>
              <w:rPr>
                <w:rFonts w:ascii="仿宋_GB2312" w:hAnsi="仿宋_GB2312" w:cs="仿宋_GB2312" w:eastAsia="仿宋_GB2312"/>
                <w:sz w:val="24"/>
                <w:color w:val="000000"/>
              </w:rPr>
              <w:t>最高限制总价</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2、所报货物报价包含了产品生产、检验、包装、运输、卸货、仓储、物流、税费、售后等均摊费用。采购人不另外支付成交总价以外的其他费用。</w:t>
            </w:r>
          </w:p>
          <w:p>
            <w:pPr>
              <w:pStyle w:val="null3"/>
              <w:ind w:right="840"/>
              <w:jc w:val="left"/>
            </w:pPr>
            <w:r>
              <w:rPr>
                <w:rFonts w:ascii="仿宋_GB2312" w:hAnsi="仿宋_GB2312" w:cs="仿宋_GB2312" w:eastAsia="仿宋_GB2312"/>
                <w:sz w:val="24"/>
                <w:b/>
                <w:color w:val="000000"/>
              </w:rPr>
              <w:t>★三、技术要求</w:t>
            </w:r>
          </w:p>
          <w:p>
            <w:pPr>
              <w:pStyle w:val="null3"/>
              <w:ind w:right="840"/>
              <w:jc w:val="left"/>
            </w:pPr>
            <w:r>
              <w:rPr>
                <w:rFonts w:ascii="仿宋_GB2312" w:hAnsi="仿宋_GB2312" w:cs="仿宋_GB2312" w:eastAsia="仿宋_GB2312"/>
                <w:sz w:val="24"/>
                <w:b/>
                <w:color w:val="000000"/>
              </w:rPr>
              <w:t>本项目响应和评审阶段不强制要求响应供应商提供样品和产品质量检测报告，供应商应在响应文件中附上产品样图（样图应能清晰显示杯子、杯套、独立茶滤）。</w:t>
            </w:r>
          </w:p>
          <w:p>
            <w:pPr>
              <w:pStyle w:val="null3"/>
              <w:ind w:right="840"/>
              <w:jc w:val="left"/>
            </w:pPr>
            <w:r>
              <w:rPr>
                <w:rFonts w:ascii="仿宋_GB2312" w:hAnsi="仿宋_GB2312" w:cs="仿宋_GB2312" w:eastAsia="仿宋_GB2312"/>
                <w:sz w:val="24"/>
                <w:color w:val="000000"/>
              </w:rPr>
              <w:t>产品：不锈钢保温杯；</w:t>
            </w:r>
          </w:p>
          <w:p>
            <w:pPr>
              <w:pStyle w:val="null3"/>
              <w:ind w:right="840"/>
              <w:jc w:val="left"/>
            </w:pPr>
            <w:r>
              <w:rPr>
                <w:rFonts w:ascii="仿宋_GB2312" w:hAnsi="仿宋_GB2312" w:cs="仿宋_GB2312" w:eastAsia="仿宋_GB2312"/>
                <w:sz w:val="24"/>
                <w:color w:val="000000"/>
              </w:rPr>
              <w:t>容量：</w:t>
            </w:r>
            <w:r>
              <w:rPr>
                <w:rFonts w:ascii="仿宋_GB2312" w:hAnsi="仿宋_GB2312" w:cs="仿宋_GB2312" w:eastAsia="仿宋_GB2312"/>
                <w:sz w:val="24"/>
                <w:color w:val="000000"/>
              </w:rPr>
              <w:t>≥600mL</w:t>
            </w:r>
          </w:p>
          <w:p>
            <w:pPr>
              <w:pStyle w:val="null3"/>
              <w:ind w:right="840"/>
              <w:jc w:val="left"/>
            </w:pPr>
            <w:r>
              <w:rPr>
                <w:rFonts w:ascii="仿宋_GB2312" w:hAnsi="仿宋_GB2312" w:cs="仿宋_GB2312" w:eastAsia="仿宋_GB2312"/>
                <w:sz w:val="24"/>
                <w:color w:val="000000"/>
              </w:rPr>
              <w:t>产品款式：产品款式设计参照附图（杯身颜色暂不作限定，具体颜色在合同签订环节由采购人确定）</w:t>
            </w:r>
          </w:p>
          <w:p>
            <w:pPr>
              <w:pStyle w:val="null3"/>
              <w:ind w:right="840"/>
              <w:jc w:val="left"/>
            </w:pPr>
            <w:r>
              <w:rPr>
                <w:rFonts w:ascii="仿宋_GB2312" w:hAnsi="仿宋_GB2312" w:cs="仿宋_GB2312" w:eastAsia="仿宋_GB2312"/>
                <w:sz w:val="24"/>
                <w:color w:val="000000"/>
              </w:rPr>
              <w:t>材质：杯身（内胆和外胆）为</w:t>
            </w:r>
            <w:r>
              <w:rPr>
                <w:rFonts w:ascii="仿宋_GB2312" w:hAnsi="仿宋_GB2312" w:cs="仿宋_GB2312" w:eastAsia="仿宋_GB2312"/>
                <w:sz w:val="24"/>
                <w:color w:val="000000"/>
              </w:rPr>
              <w:t>316L不锈钢材质，不锈钢厚度≥0.5mm；</w:t>
            </w:r>
          </w:p>
          <w:p>
            <w:pPr>
              <w:pStyle w:val="null3"/>
              <w:ind w:right="840"/>
              <w:jc w:val="left"/>
            </w:pPr>
            <w:r>
              <w:rPr>
                <w:rFonts w:ascii="仿宋_GB2312" w:hAnsi="仿宋_GB2312" w:cs="仿宋_GB2312" w:eastAsia="仿宋_GB2312"/>
                <w:sz w:val="24"/>
                <w:color w:val="000000"/>
              </w:rPr>
              <w:t>杯体外观：无氟喷塑工艺，单一颜色；</w:t>
            </w:r>
          </w:p>
          <w:p>
            <w:pPr>
              <w:pStyle w:val="null3"/>
              <w:ind w:right="840"/>
              <w:jc w:val="left"/>
            </w:pPr>
            <w:r>
              <w:rPr>
                <w:rFonts w:ascii="仿宋_GB2312" w:hAnsi="仿宋_GB2312" w:cs="仿宋_GB2312" w:eastAsia="仿宋_GB2312"/>
                <w:sz w:val="24"/>
                <w:color w:val="000000"/>
              </w:rPr>
              <w:t>内胆工艺：镀铜、无铅真空；</w:t>
            </w:r>
          </w:p>
          <w:p>
            <w:pPr>
              <w:pStyle w:val="null3"/>
              <w:ind w:right="840"/>
              <w:jc w:val="left"/>
            </w:pPr>
            <w:r>
              <w:rPr>
                <w:rFonts w:ascii="仿宋_GB2312" w:hAnsi="仿宋_GB2312" w:cs="仿宋_GB2312" w:eastAsia="仿宋_GB2312"/>
                <w:sz w:val="24"/>
                <w:color w:val="000000"/>
              </w:rPr>
              <w:t>杯盖：无螺纹密封，按键开盖，无需手拧，杯盖内部应为食品级</w:t>
            </w:r>
            <w:r>
              <w:rPr>
                <w:rFonts w:ascii="仿宋_GB2312" w:hAnsi="仿宋_GB2312" w:cs="仿宋_GB2312" w:eastAsia="仿宋_GB2312"/>
                <w:sz w:val="24"/>
                <w:color w:val="000000"/>
              </w:rPr>
              <w:t>PP材质；</w:t>
            </w:r>
          </w:p>
          <w:p>
            <w:pPr>
              <w:pStyle w:val="null3"/>
              <w:ind w:right="840"/>
              <w:jc w:val="left"/>
            </w:pPr>
            <w:r>
              <w:rPr>
                <w:rFonts w:ascii="仿宋_GB2312" w:hAnsi="仿宋_GB2312" w:cs="仿宋_GB2312" w:eastAsia="仿宋_GB2312"/>
                <w:sz w:val="24"/>
                <w:color w:val="000000"/>
              </w:rPr>
              <w:t>杯底材质：杯底部加硅胶材质，稳固防滑；</w:t>
            </w:r>
          </w:p>
          <w:p>
            <w:pPr>
              <w:pStyle w:val="null3"/>
              <w:ind w:right="840"/>
              <w:jc w:val="left"/>
            </w:pPr>
            <w:r>
              <w:rPr>
                <w:rFonts w:ascii="仿宋_GB2312" w:hAnsi="仿宋_GB2312" w:cs="仿宋_GB2312" w:eastAsia="仿宋_GB2312"/>
                <w:sz w:val="24"/>
                <w:color w:val="000000"/>
              </w:rPr>
              <w:t>杯套款式：杯套款式设计参照附图（杯套颜色暂不作要求，具体颜色在合同签订环节由采购人确定）</w:t>
            </w:r>
          </w:p>
          <w:p>
            <w:pPr>
              <w:pStyle w:val="null3"/>
              <w:ind w:right="840"/>
              <w:jc w:val="left"/>
            </w:pPr>
            <w:r>
              <w:rPr>
                <w:rFonts w:ascii="仿宋_GB2312" w:hAnsi="仿宋_GB2312" w:cs="仿宋_GB2312" w:eastAsia="仿宋_GB2312"/>
                <w:sz w:val="24"/>
                <w:color w:val="000000"/>
              </w:rPr>
              <w:t>茶滤：独立茶仓设计，材质为</w:t>
            </w:r>
            <w:r>
              <w:rPr>
                <w:rFonts w:ascii="仿宋_GB2312" w:hAnsi="仿宋_GB2312" w:cs="仿宋_GB2312" w:eastAsia="仿宋_GB2312"/>
                <w:sz w:val="24"/>
                <w:color w:val="000000"/>
              </w:rPr>
              <w:t>316L不锈钢，款式设计参照附图；</w:t>
            </w:r>
          </w:p>
          <w:p>
            <w:pPr>
              <w:pStyle w:val="null3"/>
              <w:ind w:right="840"/>
              <w:jc w:val="left"/>
            </w:pPr>
            <w:r>
              <w:rPr>
                <w:rFonts w:ascii="仿宋_GB2312" w:hAnsi="仿宋_GB2312" w:cs="仿宋_GB2312" w:eastAsia="仿宋_GB2312"/>
                <w:sz w:val="24"/>
                <w:color w:val="000000"/>
              </w:rPr>
              <w:t>标识印制：产品价格包含标识设计、印刷等费用，标识内容及印刷位置由采购人在采购合同签订时明确；</w:t>
            </w:r>
          </w:p>
          <w:p>
            <w:pPr>
              <w:pStyle w:val="null3"/>
              <w:ind w:right="840"/>
              <w:jc w:val="left"/>
            </w:pPr>
            <w:r>
              <w:rPr>
                <w:rFonts w:ascii="仿宋_GB2312" w:hAnsi="仿宋_GB2312" w:cs="仿宋_GB2312" w:eastAsia="仿宋_GB2312"/>
                <w:sz w:val="24"/>
                <w:color w:val="000000"/>
              </w:rPr>
              <w:t>产品质量：满足国家标准</w:t>
            </w:r>
            <w:r>
              <w:rPr>
                <w:rFonts w:ascii="仿宋_GB2312" w:hAnsi="仿宋_GB2312" w:cs="仿宋_GB2312" w:eastAsia="仿宋_GB2312"/>
                <w:sz w:val="24"/>
                <w:color w:val="000000"/>
              </w:rPr>
              <w:t>GB/T 40355-2021《不锈钢真空保温容器》的质量要求。</w:t>
            </w:r>
          </w:p>
          <w:p>
            <w:pPr>
              <w:pStyle w:val="null3"/>
              <w:ind w:right="840"/>
              <w:jc w:val="left"/>
            </w:pPr>
            <w:r>
              <w:rPr>
                <w:rFonts w:ascii="仿宋_GB2312" w:hAnsi="仿宋_GB2312" w:cs="仿宋_GB2312" w:eastAsia="仿宋_GB2312"/>
                <w:sz w:val="24"/>
                <w:color w:val="000000"/>
              </w:rPr>
              <w:t>保温要求：按照</w:t>
            </w:r>
            <w:r>
              <w:rPr>
                <w:rFonts w:ascii="仿宋_GB2312" w:hAnsi="仿宋_GB2312" w:cs="仿宋_GB2312" w:eastAsia="仿宋_GB2312"/>
                <w:sz w:val="24"/>
                <w:color w:val="000000"/>
              </w:rPr>
              <w:t>GB/T 40355-2021《不锈钢真空保温容器》进行测试，保温效能水平不低于Ⅰ级；</w:t>
            </w:r>
          </w:p>
          <w:p>
            <w:pPr>
              <w:pStyle w:val="null3"/>
              <w:jc w:val="both"/>
            </w:pPr>
            <w:r>
              <w:rPr>
                <w:rFonts w:ascii="仿宋_GB2312" w:hAnsi="仿宋_GB2312" w:cs="仿宋_GB2312" w:eastAsia="仿宋_GB2312"/>
                <w:sz w:val="24"/>
                <w:color w:val="000000"/>
              </w:rPr>
              <w:t>附图（仅供参考）</w:t>
            </w:r>
            <w:r>
              <w:rPr>
                <w:rFonts w:ascii="仿宋_GB2312" w:hAnsi="仿宋_GB2312" w:cs="仿宋_GB2312" w:eastAsia="仿宋_GB2312"/>
                <w:sz w:val="21"/>
              </w:rPr>
              <w:t>：</w:t>
            </w:r>
          </w:p>
          <w:p>
            <w:pPr>
              <w:pStyle w:val="null3"/>
              <w:jc w:val="both"/>
            </w:pPr>
            <w:r>
              <w:drawing>
                <wp:inline distT="0" distR="0" distB="0" distL="0">
                  <wp:extent cx="1621155" cy="4565949"/>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5"/>
                          <a:stretch>
                            <a:fillRect/>
                          </a:stretch>
                        </pic:blipFill>
                        <pic:spPr>
                          <a:xfrm>
                            <a:off x="0" y="0"/>
                            <a:ext cx="1621155" cy="4565949"/>
                          </a:xfrm>
                          <a:prstGeom prst="rect">
                            <a:avLst/>
                          </a:prstGeom>
                        </pic:spPr>
                      </pic:pic>
                    </a:graphicData>
                  </a:graphic>
                </wp:inline>
              </w:drawing>
            </w:r>
            <w:r>
              <w:drawing>
                <wp:inline distT="0" distR="0" distB="0" distL="0">
                  <wp:extent cx="1621155" cy="4819049"/>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6"/>
                          <a:stretch>
                            <a:fillRect/>
                          </a:stretch>
                        </pic:blipFill>
                        <pic:spPr>
                          <a:xfrm>
                            <a:off x="0" y="0"/>
                            <a:ext cx="1621155" cy="4819049"/>
                          </a:xfrm>
                          <a:prstGeom prst="rect">
                            <a:avLst/>
                          </a:prstGeom>
                        </pic:spPr>
                      </pic:pic>
                    </a:graphicData>
                  </a:graphic>
                </wp:inline>
              </w:drawing>
            </w:r>
            <w:r>
              <w:drawing>
                <wp:inline distT="0" distR="0" distB="0" distL="0">
                  <wp:extent cx="1621155" cy="1621155"/>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7"/>
                          <a:stretch>
                            <a:fillRect/>
                          </a:stretch>
                        </pic:blipFill>
                        <pic:spPr>
                          <a:xfrm>
                            <a:off x="0" y="0"/>
                            <a:ext cx="1621155" cy="1621155"/>
                          </a:xfrm>
                          <a:prstGeom prst="rect">
                            <a:avLst/>
                          </a:prstGeom>
                        </pic:spPr>
                      </pic:pic>
                    </a:graphicData>
                  </a:graphic>
                </wp:inline>
              </w:drawing>
            </w:r>
            <w:r>
              <w:drawing>
                <wp:inline distT="0" distR="0" distB="0" distL="0">
                  <wp:extent cx="1621155" cy="2609908"/>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8"/>
                          <a:stretch>
                            <a:fillRect/>
                          </a:stretch>
                        </pic:blipFill>
                        <pic:spPr>
                          <a:xfrm>
                            <a:off x="0" y="0"/>
                            <a:ext cx="1621155" cy="2609908"/>
                          </a:xfrm>
                          <a:prstGeom prst="rect">
                            <a:avLst/>
                          </a:prstGeom>
                        </pic:spPr>
                      </pic:pic>
                    </a:graphicData>
                  </a:graphic>
                </wp:inline>
              </w:drawing>
            </w:r>
            <w:r>
              <w:drawing>
                <wp:inline distT="0" distR="0" distB="0" distL="0">
                  <wp:extent cx="1621155" cy="2024829"/>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9"/>
                          <a:stretch>
                            <a:fillRect/>
                          </a:stretch>
                        </pic:blipFill>
                        <pic:spPr>
                          <a:xfrm>
                            <a:off x="0" y="0"/>
                            <a:ext cx="1621155" cy="2024829"/>
                          </a:xfrm>
                          <a:prstGeom prst="rect">
                            <a:avLst/>
                          </a:prstGeom>
                        </pic:spPr>
                      </pic:pic>
                    </a:graphicData>
                  </a:graphic>
                </wp:inline>
              </w:drawing>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right="840"/>
              <w:jc w:val="left"/>
            </w:pPr>
            <w:r>
              <w:rPr>
                <w:rFonts w:ascii="仿宋_GB2312" w:hAnsi="仿宋_GB2312" w:cs="仿宋_GB2312" w:eastAsia="仿宋_GB2312"/>
                <w:sz w:val="24"/>
                <w:b/>
                <w:color w:val="000000"/>
              </w:rPr>
              <w:t>一、合同执行计划</w:t>
            </w:r>
          </w:p>
          <w:p>
            <w:pPr>
              <w:pStyle w:val="null3"/>
              <w:ind w:right="840"/>
              <w:jc w:val="left"/>
            </w:pPr>
            <w:r>
              <w:rPr>
                <w:rFonts w:ascii="仿宋_GB2312" w:hAnsi="仿宋_GB2312" w:cs="仿宋_GB2312" w:eastAsia="仿宋_GB2312"/>
                <w:sz w:val="24"/>
                <w:color w:val="000000"/>
              </w:rPr>
              <w:t>交付时间：供应商须在合同签订后</w:t>
            </w:r>
            <w:r>
              <w:rPr>
                <w:rFonts w:ascii="仿宋_GB2312" w:hAnsi="仿宋_GB2312" w:cs="仿宋_GB2312" w:eastAsia="仿宋_GB2312"/>
                <w:sz w:val="24"/>
                <w:color w:val="000000"/>
              </w:rPr>
              <w:t>45个日历天（包含法定节假日）内完成生产供货并接受采购人抽检验收。</w:t>
            </w:r>
          </w:p>
          <w:p>
            <w:pPr>
              <w:pStyle w:val="null3"/>
              <w:ind w:right="840"/>
              <w:jc w:val="left"/>
            </w:pPr>
            <w:r>
              <w:rPr>
                <w:rFonts w:ascii="仿宋_GB2312" w:hAnsi="仿宋_GB2312" w:cs="仿宋_GB2312" w:eastAsia="仿宋_GB2312"/>
                <w:sz w:val="24"/>
                <w:color w:val="000000"/>
              </w:rPr>
              <w:t>交付地点：由供应商负责分批送达到采购人指定地点。</w:t>
            </w:r>
          </w:p>
          <w:p>
            <w:pPr>
              <w:pStyle w:val="null3"/>
              <w:ind w:right="840"/>
              <w:jc w:val="left"/>
            </w:pPr>
            <w:r>
              <w:rPr>
                <w:rFonts w:ascii="仿宋_GB2312" w:hAnsi="仿宋_GB2312" w:cs="仿宋_GB2312" w:eastAsia="仿宋_GB2312"/>
                <w:sz w:val="24"/>
                <w:b/>
                <w:color w:val="000000"/>
              </w:rPr>
              <w:t>二、售后服务</w:t>
            </w:r>
          </w:p>
          <w:p>
            <w:pPr>
              <w:pStyle w:val="null3"/>
              <w:ind w:right="840"/>
              <w:jc w:val="left"/>
            </w:pPr>
            <w:r>
              <w:rPr>
                <w:rFonts w:ascii="仿宋_GB2312" w:hAnsi="仿宋_GB2312" w:cs="仿宋_GB2312" w:eastAsia="仿宋_GB2312"/>
                <w:sz w:val="24"/>
                <w:color w:val="000000"/>
              </w:rPr>
              <w:t>1.供应商应具有健全的服务机制，在收到采购人关于产品故障问题后，应立即给予初步回应，表明已收到问题并正在处理；24小时内给予处理措施。</w:t>
            </w:r>
          </w:p>
          <w:p>
            <w:pPr>
              <w:pStyle w:val="null3"/>
              <w:ind w:right="840"/>
              <w:jc w:val="left"/>
            </w:pPr>
            <w:r>
              <w:rPr>
                <w:rFonts w:ascii="仿宋_GB2312" w:hAnsi="仿宋_GB2312" w:cs="仿宋_GB2312" w:eastAsia="仿宋_GB2312"/>
                <w:sz w:val="24"/>
                <w:color w:val="000000"/>
              </w:rPr>
              <w:t>2.产品质保期1年，从货物签收之日起算。质保期内产品发生非人为损坏的性能故障，成交供应商应能提供免费退货、换货（同规格型号的）或修理等售后服务。</w:t>
            </w:r>
          </w:p>
          <w:p>
            <w:pPr>
              <w:pStyle w:val="null3"/>
              <w:ind w:right="840"/>
              <w:jc w:val="left"/>
            </w:pPr>
            <w:r>
              <w:rPr>
                <w:rFonts w:ascii="仿宋_GB2312" w:hAnsi="仿宋_GB2312" w:cs="仿宋_GB2312" w:eastAsia="仿宋_GB2312"/>
                <w:sz w:val="24"/>
                <w:b/>
                <w:color w:val="000000"/>
              </w:rPr>
              <w:t>三、质量保证</w:t>
            </w:r>
          </w:p>
          <w:p>
            <w:pPr>
              <w:pStyle w:val="null3"/>
              <w:ind w:right="840"/>
              <w:jc w:val="left"/>
            </w:pPr>
            <w:r>
              <w:rPr>
                <w:rFonts w:ascii="仿宋_GB2312" w:hAnsi="仿宋_GB2312" w:cs="仿宋_GB2312" w:eastAsia="仿宋_GB2312"/>
                <w:sz w:val="24"/>
                <w:color w:val="000000"/>
              </w:rPr>
              <w:t>1.供应商所提供的产品在包装、运输、仓储、物流、卸货等均应符合国家相关规定。</w:t>
            </w:r>
          </w:p>
          <w:p>
            <w:pPr>
              <w:pStyle w:val="null3"/>
              <w:ind w:right="840"/>
              <w:jc w:val="left"/>
            </w:pPr>
            <w:r>
              <w:rPr>
                <w:rFonts w:ascii="仿宋_GB2312" w:hAnsi="仿宋_GB2312" w:cs="仿宋_GB2312" w:eastAsia="仿宋_GB2312"/>
                <w:sz w:val="24"/>
                <w:color w:val="000000"/>
              </w:rPr>
              <w:t>2.货物生产完毕，成交供应商须派人到生产厂家现场检查产品质量至少1次，按照GB/T40355-2021《不锈钢真空保温容器》中“7.2出厂检验”要求进行出厂检验，出厂检验通过后抽样送到具有国家认可的检测资质的检测机构出具检测报告，检测内容和标准须符合GB/T 40355-2021《不锈钢真空保温容器》的标准要求，出厂检验报告和检测报告随交货时一并提交。</w:t>
            </w:r>
          </w:p>
          <w:p>
            <w:pPr>
              <w:pStyle w:val="null3"/>
              <w:ind w:right="840"/>
              <w:jc w:val="left"/>
            </w:pPr>
            <w:r>
              <w:rPr>
                <w:rFonts w:ascii="仿宋_GB2312" w:hAnsi="仿宋_GB2312" w:cs="仿宋_GB2312" w:eastAsia="仿宋_GB2312"/>
                <w:sz w:val="24"/>
                <w:color w:val="000000"/>
              </w:rPr>
              <w:t>3.交付的货物必须是全新、未使用的原装产品，且在正常安装、使用和保养条件下，其使用寿命期内各项指标均达到质量要求。货物因质量缺陷造成的任何不足负责修补或调换，由成交供应商承担相应费用。</w:t>
            </w:r>
          </w:p>
          <w:p>
            <w:pPr>
              <w:pStyle w:val="null3"/>
              <w:ind w:right="840"/>
              <w:jc w:val="left"/>
            </w:pPr>
            <w:r>
              <w:rPr>
                <w:rFonts w:ascii="仿宋_GB2312" w:hAnsi="仿宋_GB2312" w:cs="仿宋_GB2312" w:eastAsia="仿宋_GB2312"/>
                <w:sz w:val="24"/>
                <w:color w:val="000000"/>
              </w:rPr>
              <w:t>4.交付的货物必须符合合同规定的货物名称、型号规格、数量等；货物交付时附合格证、出厂检验合格报告原件。</w:t>
            </w:r>
          </w:p>
          <w:p>
            <w:pPr>
              <w:pStyle w:val="null3"/>
              <w:ind w:right="840"/>
              <w:jc w:val="left"/>
            </w:pPr>
            <w:r>
              <w:rPr>
                <w:rFonts w:ascii="仿宋_GB2312" w:hAnsi="仿宋_GB2312" w:cs="仿宋_GB2312" w:eastAsia="仿宋_GB2312"/>
                <w:sz w:val="24"/>
                <w:color w:val="000000"/>
              </w:rPr>
              <w:t>5.货物应按要求进行包装，以保证货物安全运输到达采购人指定地点。因包装或其防护措施不妥而引起的货物锈蚀、损坏及丢失所造成的责任及费用，由成交供应商承担。</w:t>
            </w:r>
          </w:p>
          <w:p>
            <w:pPr>
              <w:pStyle w:val="null3"/>
              <w:ind w:right="840"/>
              <w:jc w:val="left"/>
            </w:pPr>
            <w:r>
              <w:rPr>
                <w:rFonts w:ascii="仿宋_GB2312" w:hAnsi="仿宋_GB2312" w:cs="仿宋_GB2312" w:eastAsia="仿宋_GB2312"/>
                <w:sz w:val="24"/>
                <w:b/>
                <w:color w:val="000000"/>
              </w:rPr>
              <w:t>四、其他要求说明</w:t>
            </w:r>
          </w:p>
          <w:p>
            <w:pPr>
              <w:pStyle w:val="null3"/>
              <w:ind w:right="840"/>
              <w:jc w:val="left"/>
            </w:pPr>
            <w:r>
              <w:rPr>
                <w:rFonts w:ascii="仿宋_GB2312" w:hAnsi="仿宋_GB2312" w:cs="仿宋_GB2312" w:eastAsia="仿宋_GB2312"/>
                <w:sz w:val="24"/>
                <w:color w:val="000000"/>
              </w:rPr>
              <w:t>1.供应商报价应包含与产品相关的生产、检验、包装、运输、卸货、仓储、物流、税费等一切费用，采购人不另外支付成交总价以外的其他费用。</w:t>
            </w:r>
          </w:p>
          <w:p>
            <w:pPr>
              <w:pStyle w:val="null3"/>
              <w:ind w:right="840"/>
              <w:jc w:val="left"/>
            </w:pPr>
            <w:r>
              <w:rPr>
                <w:rFonts w:ascii="仿宋_GB2312" w:hAnsi="仿宋_GB2312" w:cs="仿宋_GB2312" w:eastAsia="仿宋_GB2312"/>
                <w:sz w:val="24"/>
                <w:color w:val="000000"/>
              </w:rPr>
              <w:t>2.采购合同签订前，成交供应商须提供样品实物及产品检测合格报告。如未提供，采购人有权不签订采购合同。</w:t>
            </w:r>
          </w:p>
          <w:p>
            <w:pPr>
              <w:pStyle w:val="null3"/>
              <w:ind w:right="840"/>
              <w:jc w:val="left"/>
            </w:pPr>
            <w:r>
              <w:rPr>
                <w:rFonts w:ascii="仿宋_GB2312" w:hAnsi="仿宋_GB2312" w:cs="仿宋_GB2312" w:eastAsia="仿宋_GB2312"/>
                <w:sz w:val="24"/>
                <w:color w:val="000000"/>
              </w:rPr>
              <w:t>3.货物验收时，成交供应商未提供该批次产品检测合格报告、售后服务承诺书的，采购人有权不予验收，由此产生的相关费用由成交供应商承担。</w:t>
            </w:r>
          </w:p>
          <w:p>
            <w:pPr>
              <w:pStyle w:val="null3"/>
              <w:ind w:right="840"/>
              <w:jc w:val="left"/>
            </w:pPr>
            <w:r>
              <w:rPr>
                <w:rFonts w:ascii="仿宋_GB2312" w:hAnsi="仿宋_GB2312" w:cs="仿宋_GB2312" w:eastAsia="仿宋_GB2312"/>
                <w:sz w:val="24"/>
                <w:color w:val="000000"/>
              </w:rPr>
              <w:t>4.在不影响产品成本且不减弱其功能的前提下，成交供应商应根据采购人的合理需求对不锈钢保温杯款式设计、颜色等进行调整。</w:t>
            </w:r>
          </w:p>
          <w:p>
            <w:pPr>
              <w:pStyle w:val="null3"/>
              <w:ind w:right="840"/>
              <w:jc w:val="left"/>
            </w:pPr>
            <w:r>
              <w:rPr>
                <w:rFonts w:ascii="仿宋_GB2312" w:hAnsi="仿宋_GB2312" w:cs="仿宋_GB2312" w:eastAsia="仿宋_GB2312"/>
                <w:sz w:val="24"/>
                <w:color w:val="000000"/>
              </w:rPr>
              <w:t>5.成交供应商须保障采购人在使用产品时不受到第三方关于侵犯产品专利权、商标权、版权、专有技术等权利的指控。如果任何第三方提出侵权指控，成交供应商须与第三方交涉并承担可能发生的一切损失和费用。</w:t>
            </w:r>
          </w:p>
          <w:p>
            <w:pPr>
              <w:pStyle w:val="null3"/>
              <w:ind w:right="840"/>
              <w:jc w:val="left"/>
            </w:pPr>
            <w:r>
              <w:rPr>
                <w:rFonts w:ascii="仿宋_GB2312" w:hAnsi="仿宋_GB2312" w:cs="仿宋_GB2312" w:eastAsia="仿宋_GB2312"/>
                <w:sz w:val="24"/>
                <w:color w:val="000000"/>
              </w:rPr>
              <w:t>6.采购人按合同约定支付合同金额，原则上分2次付款，合同签订后支付合同总价的30%；货物验收通过且由成交供应商分发送达到采购人指定地点由被接收单位签收后，采购人支付剩余合同总价的70%。</w:t>
            </w:r>
            <w:r>
              <w:br/>
            </w:r>
            <w:r>
              <w:br/>
            </w:r>
            <w:r>
              <w:rPr>
                <w:rFonts w:ascii="仿宋_GB2312" w:hAnsi="仿宋_GB2312" w:cs="仿宋_GB2312" w:eastAsia="仿宋_GB2312"/>
                <w:sz w:val="24"/>
                <w:color w:val="000000"/>
              </w:rPr>
              <w:t>7.采购合同签订后，成交供应商按合同执行计划履约，不得私自中止履行合同，不得暂缓或拖延产品生产、交付进度。</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1、除询价通知书另有规定外，若出现有关法律、法规和规章有强制性规定但询价通知书未列明的情形，则供应商应按照有关法律、法规和规章强制性规定执行。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本采购包属于专门面向小微企业采购。</w:t>
            </w:r>
          </w:p>
        </w:tc>
        <w:tc>
          <w:tcPr>
            <w:tcW w:type="dxa" w:w="3322"/>
          </w:tcPr>
          <w:p>
            <w:pPr>
              <w:pStyle w:val="null3"/>
              <w:jc w:val="left"/>
            </w:pPr>
            <w:r>
              <w:rPr>
                <w:rFonts w:ascii="仿宋_GB2312" w:hAnsi="仿宋_GB2312" w:cs="仿宋_GB2312" w:eastAsia="仿宋_GB2312"/>
              </w:rPr>
              <w:t>本采购包为专门面向小微企业采购，供应商须提供中小企业声明函。监狱企业、残疾人福利性单位视同小型、微型企业。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本采购包属于专门面向小微企业采购。</w:t>
            </w:r>
          </w:p>
        </w:tc>
        <w:tc>
          <w:tcPr>
            <w:tcW w:type="dxa" w:w="3322"/>
          </w:tcPr>
          <w:p>
            <w:pPr>
              <w:pStyle w:val="null3"/>
              <w:jc w:val="left"/>
            </w:pPr>
            <w:r>
              <w:rPr>
                <w:rFonts w:ascii="仿宋_GB2312" w:hAnsi="仿宋_GB2312" w:cs="仿宋_GB2312" w:eastAsia="仿宋_GB2312"/>
              </w:rPr>
              <w:t>本采购包为专门面向小微企业采购，供应商须提供中小企业声明函。监狱企业、残疾人福利性单位视同小型、微型企业。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both"/>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须符合询价通知书的式样、签署和盖章要求且内容完整无缺漏。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其他材料 投标（响应）报价明细表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其他材料 商务应答表 供应商应提交的相关证明材料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询价有效期（从递交响应文件的截止之日起算）</w:t>
            </w:r>
          </w:p>
        </w:tc>
        <w:tc>
          <w:tcPr>
            <w:tcW w:type="dxa" w:w="3322"/>
          </w:tcPr>
          <w:p>
            <w:pPr>
              <w:pStyle w:val="null3"/>
              <w:jc w:val="left"/>
            </w:pPr>
            <w:r>
              <w:rPr>
                <w:rFonts w:ascii="仿宋_GB2312" w:hAnsi="仿宋_GB2312" w:cs="仿宋_GB2312" w:eastAsia="仿宋_GB2312"/>
              </w:rPr>
              <w:t>询价有效期须满足供应商须知4.5.1要求。</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交付（服务）时间、交付（服务）地点须满足询价通知书要求。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 中小企业声明函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供应商须知中的第7.3.5条”）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868"/>
        <w:gridCol w:w="2479"/>
        <w:gridCol w:w="1240"/>
        <w:gridCol w:w="3719"/>
      </w:tblGrid>
      <w:tr>
        <w:tc>
          <w:tcPr>
            <w:tcW w:type="dxa" w:w="868"/>
          </w:tcPr>
          <w:p>
            <w:pPr>
              <w:pStyle w:val="null3"/>
              <w:jc w:val="center"/>
            </w:pPr>
            <w:r>
              <w:rPr>
                <w:rFonts w:ascii="仿宋_GB2312" w:hAnsi="仿宋_GB2312" w:cs="仿宋_GB2312" w:eastAsia="仿宋_GB2312"/>
              </w:rPr>
              <w:t xml:space="preserve"> 序号</w:t>
            </w:r>
          </w:p>
        </w:tc>
        <w:tc>
          <w:tcPr>
            <w:tcW w:type="dxa" w:w="2479"/>
          </w:tcPr>
          <w:p>
            <w:pPr>
              <w:pStyle w:val="null3"/>
              <w:jc w:val="center"/>
            </w:pPr>
            <w:r>
              <w:rPr>
                <w:rFonts w:ascii="仿宋_GB2312" w:hAnsi="仿宋_GB2312" w:cs="仿宋_GB2312" w:eastAsia="仿宋_GB2312"/>
              </w:rPr>
              <w:t xml:space="preserve"> 评审因素</w:t>
            </w:r>
          </w:p>
        </w:tc>
        <w:tc>
          <w:tcPr>
            <w:tcW w:type="dxa" w:w="1240"/>
          </w:tcPr>
          <w:p>
            <w:pPr>
              <w:pStyle w:val="null3"/>
              <w:jc w:val="center"/>
            </w:pPr>
            <w:r>
              <w:rPr>
                <w:rFonts w:ascii="仿宋_GB2312" w:hAnsi="仿宋_GB2312" w:cs="仿宋_GB2312" w:eastAsia="仿宋_GB2312"/>
              </w:rPr>
              <w:t xml:space="preserve"> 评审价格权重</w:t>
            </w:r>
          </w:p>
        </w:tc>
        <w:tc>
          <w:tcPr>
            <w:tcW w:type="dxa" w:w="3719"/>
          </w:tcPr>
          <w:p>
            <w:pPr>
              <w:pStyle w:val="null3"/>
              <w:jc w:val="center"/>
            </w:pPr>
            <w:r>
              <w:rPr>
                <w:rFonts w:ascii="仿宋_GB2312" w:hAnsi="仿宋_GB2312" w:cs="仿宋_GB2312" w:eastAsia="仿宋_GB2312"/>
              </w:rPr>
              <w:t xml:space="preserve"> 具体标准和要求</w:t>
            </w:r>
          </w:p>
        </w:tc>
      </w:tr>
      <w:tr>
        <w:tc>
          <w:tcPr>
            <w:tcW w:type="dxa" w:w="868"/>
          </w:tcPr>
          <w:p>
            <w:pPr>
              <w:pStyle w:val="null3"/>
              <w:jc w:val="left"/>
            </w:pPr>
            <w:r>
              <w:rPr>
                <w:rFonts w:ascii="仿宋_GB2312" w:hAnsi="仿宋_GB2312" w:cs="仿宋_GB2312" w:eastAsia="仿宋_GB2312"/>
              </w:rPr>
              <w:t>1</w:t>
            </w:r>
          </w:p>
        </w:tc>
        <w:tc>
          <w:tcPr>
            <w:tcW w:type="dxa" w:w="2479"/>
          </w:tcPr>
          <w:p>
            <w:pPr>
              <w:pStyle w:val="null3"/>
              <w:jc w:val="left"/>
            </w:pPr>
            <w:r>
              <w:rPr>
                <w:rFonts w:ascii="仿宋_GB2312" w:hAnsi="仿宋_GB2312" w:cs="仿宋_GB2312" w:eastAsia="仿宋_GB2312"/>
              </w:rPr>
              <w:t>合计</w:t>
            </w:r>
          </w:p>
        </w:tc>
        <w:tc>
          <w:tcPr>
            <w:tcW w:type="dxa" w:w="1240"/>
          </w:tcPr>
          <w:p>
            <w:pPr>
              <w:pStyle w:val="null3"/>
              <w:jc w:val="right"/>
            </w:pPr>
            <w:r>
              <w:rPr>
                <w:rFonts w:ascii="仿宋_GB2312" w:hAnsi="仿宋_GB2312" w:cs="仿宋_GB2312" w:eastAsia="仿宋_GB2312"/>
              </w:rPr>
              <w:t>100.00%</w:t>
            </w:r>
          </w:p>
        </w:tc>
        <w:tc>
          <w:tcPr>
            <w:tcW w:type="dxa" w:w="371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jc w:val="left"/>
      </w:pPr>
      <w:r>
        <w:rPr>
          <w:rFonts w:ascii="仿宋_GB2312" w:hAnsi="仿宋_GB2312" w:cs="仿宋_GB2312" w:eastAsia="仿宋_GB2312"/>
        </w:rPr>
        <w:t>1.供应商提供的证明材料，除需要供应商填报或有特殊说明外，均须提供该材料的复印件。</w:t>
      </w:r>
    </w:p>
    <w:p>
      <w:pPr>
        <w:pStyle w:val="null3"/>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HXY2025-048-1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海南省退役军人事务厅2025年专项物品采购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海南省退役军人事务厅2025年专项物品采购</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593"/>
        <w:gridCol w:w="593"/>
        <w:gridCol w:w="593"/>
        <w:gridCol w:w="593"/>
        <w:gridCol w:w="593"/>
        <w:gridCol w:w="593"/>
        <w:gridCol w:w="593"/>
        <w:gridCol w:w="593"/>
        <w:gridCol w:w="593"/>
        <w:gridCol w:w="593"/>
        <w:gridCol w:w="593"/>
        <w:gridCol w:w="593"/>
        <w:gridCol w:w="593"/>
        <w:gridCol w:w="593"/>
      </w:tblGrid>
      <w:tr>
        <w:tc>
          <w:tcPr>
            <w:tcW w:type="dxa" w:w="593"/>
          </w:tcPr>
          <w:p>
            <w:pPr>
              <w:pStyle w:val="null3"/>
              <w:jc w:val="left"/>
            </w:pPr>
            <w:r>
              <w:rPr>
                <w:rFonts w:ascii="仿宋_GB2312" w:hAnsi="仿宋_GB2312" w:cs="仿宋_GB2312" w:eastAsia="仿宋_GB2312"/>
              </w:rPr>
              <w:t xml:space="preserve"> 序号</w:t>
            </w:r>
          </w:p>
        </w:tc>
        <w:tc>
          <w:tcPr>
            <w:tcW w:type="dxa" w:w="593"/>
          </w:tcPr>
          <w:p>
            <w:pPr>
              <w:pStyle w:val="null3"/>
              <w:jc w:val="left"/>
            </w:pPr>
            <w:r>
              <w:rPr>
                <w:rFonts w:ascii="仿宋_GB2312" w:hAnsi="仿宋_GB2312" w:cs="仿宋_GB2312" w:eastAsia="仿宋_GB2312"/>
              </w:rPr>
              <w:t xml:space="preserve"> 报价内容</w:t>
            </w:r>
          </w:p>
        </w:tc>
        <w:tc>
          <w:tcPr>
            <w:tcW w:type="dxa" w:w="593"/>
          </w:tcPr>
          <w:p>
            <w:pPr>
              <w:pStyle w:val="null3"/>
              <w:jc w:val="left"/>
            </w:pPr>
            <w:r>
              <w:rPr>
                <w:rFonts w:ascii="仿宋_GB2312" w:hAnsi="仿宋_GB2312" w:cs="仿宋_GB2312" w:eastAsia="仿宋_GB2312"/>
              </w:rPr>
              <w:t xml:space="preserve"> 数量</w:t>
            </w:r>
          </w:p>
        </w:tc>
        <w:tc>
          <w:tcPr>
            <w:tcW w:type="dxa" w:w="593"/>
          </w:tcPr>
          <w:p>
            <w:pPr>
              <w:pStyle w:val="null3"/>
              <w:jc w:val="left"/>
            </w:pPr>
            <w:r>
              <w:rPr>
                <w:rFonts w:ascii="仿宋_GB2312" w:hAnsi="仿宋_GB2312" w:cs="仿宋_GB2312" w:eastAsia="仿宋_GB2312"/>
              </w:rPr>
              <w:t xml:space="preserve"> 计量单位</w:t>
            </w:r>
          </w:p>
        </w:tc>
        <w:tc>
          <w:tcPr>
            <w:tcW w:type="dxa" w:w="593"/>
          </w:tcPr>
          <w:p>
            <w:pPr>
              <w:pStyle w:val="null3"/>
              <w:jc w:val="left"/>
            </w:pPr>
            <w:r>
              <w:rPr>
                <w:rFonts w:ascii="仿宋_GB2312" w:hAnsi="仿宋_GB2312" w:cs="仿宋_GB2312" w:eastAsia="仿宋_GB2312"/>
              </w:rPr>
              <w:t xml:space="preserve"> 最高限价</w:t>
            </w:r>
          </w:p>
        </w:tc>
        <w:tc>
          <w:tcPr>
            <w:tcW w:type="dxa" w:w="593"/>
          </w:tcPr>
          <w:p>
            <w:pPr>
              <w:pStyle w:val="null3"/>
              <w:jc w:val="left"/>
            </w:pPr>
            <w:r>
              <w:rPr>
                <w:rFonts w:ascii="仿宋_GB2312" w:hAnsi="仿宋_GB2312" w:cs="仿宋_GB2312" w:eastAsia="仿宋_GB2312"/>
              </w:rPr>
              <w:t xml:space="preserve"> 响应报价</w:t>
            </w:r>
          </w:p>
        </w:tc>
        <w:tc>
          <w:tcPr>
            <w:tcW w:type="dxa" w:w="593"/>
          </w:tcPr>
          <w:p>
            <w:pPr>
              <w:pStyle w:val="null3"/>
              <w:jc w:val="left"/>
            </w:pPr>
            <w:r>
              <w:rPr>
                <w:rFonts w:ascii="仿宋_GB2312" w:hAnsi="仿宋_GB2312" w:cs="仿宋_GB2312" w:eastAsia="仿宋_GB2312"/>
              </w:rPr>
              <w:t xml:space="preserve"> 单价</w:t>
            </w:r>
          </w:p>
        </w:tc>
        <w:tc>
          <w:tcPr>
            <w:tcW w:type="dxa" w:w="593"/>
          </w:tcPr>
          <w:p>
            <w:pPr>
              <w:pStyle w:val="null3"/>
              <w:jc w:val="left"/>
            </w:pPr>
            <w:r>
              <w:rPr>
                <w:rFonts w:ascii="仿宋_GB2312" w:hAnsi="仿宋_GB2312" w:cs="仿宋_GB2312" w:eastAsia="仿宋_GB2312"/>
              </w:rPr>
              <w:t xml:space="preserve"> 价款形式</w:t>
            </w:r>
          </w:p>
        </w:tc>
        <w:tc>
          <w:tcPr>
            <w:tcW w:type="dxa" w:w="593"/>
          </w:tcPr>
          <w:p>
            <w:pPr>
              <w:pStyle w:val="null3"/>
              <w:jc w:val="left"/>
            </w:pPr>
            <w:r>
              <w:rPr>
                <w:rFonts w:ascii="仿宋_GB2312" w:hAnsi="仿宋_GB2312" w:cs="仿宋_GB2312" w:eastAsia="仿宋_GB2312"/>
              </w:rPr>
              <w:t xml:space="preserve"> 产地</w:t>
            </w:r>
          </w:p>
        </w:tc>
        <w:tc>
          <w:tcPr>
            <w:tcW w:type="dxa" w:w="593"/>
          </w:tcPr>
          <w:p>
            <w:pPr>
              <w:pStyle w:val="null3"/>
              <w:jc w:val="left"/>
            </w:pPr>
            <w:r>
              <w:rPr>
                <w:rFonts w:ascii="仿宋_GB2312" w:hAnsi="仿宋_GB2312" w:cs="仿宋_GB2312" w:eastAsia="仿宋_GB2312"/>
              </w:rPr>
              <w:t xml:space="preserve"> 品牌</w:t>
            </w:r>
          </w:p>
        </w:tc>
        <w:tc>
          <w:tcPr>
            <w:tcW w:type="dxa" w:w="593"/>
          </w:tcPr>
          <w:p>
            <w:pPr>
              <w:pStyle w:val="null3"/>
              <w:jc w:val="left"/>
            </w:pPr>
            <w:r>
              <w:rPr>
                <w:rFonts w:ascii="仿宋_GB2312" w:hAnsi="仿宋_GB2312" w:cs="仿宋_GB2312" w:eastAsia="仿宋_GB2312"/>
              </w:rPr>
              <w:t xml:space="preserve"> 容量</w:t>
            </w:r>
          </w:p>
        </w:tc>
        <w:tc>
          <w:tcPr>
            <w:tcW w:type="dxa" w:w="593"/>
          </w:tcPr>
          <w:p>
            <w:pPr>
              <w:pStyle w:val="null3"/>
              <w:jc w:val="left"/>
            </w:pPr>
            <w:r>
              <w:rPr>
                <w:rFonts w:ascii="仿宋_GB2312" w:hAnsi="仿宋_GB2312" w:cs="仿宋_GB2312" w:eastAsia="仿宋_GB2312"/>
              </w:rPr>
              <w:t xml:space="preserve"> 生产厂家</w:t>
            </w:r>
          </w:p>
        </w:tc>
        <w:tc>
          <w:tcPr>
            <w:tcW w:type="dxa" w:w="593"/>
          </w:tcPr>
          <w:p>
            <w:pPr>
              <w:pStyle w:val="null3"/>
              <w:jc w:val="left"/>
            </w:pPr>
            <w:r>
              <w:rPr>
                <w:rFonts w:ascii="仿宋_GB2312" w:hAnsi="仿宋_GB2312" w:cs="仿宋_GB2312" w:eastAsia="仿宋_GB2312"/>
              </w:rPr>
              <w:t xml:space="preserve"> 合同履行期限</w:t>
            </w:r>
          </w:p>
        </w:tc>
        <w:tc>
          <w:tcPr>
            <w:tcW w:type="dxa" w:w="593"/>
          </w:tcPr>
          <w:p>
            <w:pPr>
              <w:pStyle w:val="null3"/>
              <w:jc w:val="left"/>
            </w:pPr>
            <w:r>
              <w:rPr>
                <w:rFonts w:ascii="仿宋_GB2312" w:hAnsi="仿宋_GB2312" w:cs="仿宋_GB2312" w:eastAsia="仿宋_GB2312"/>
              </w:rPr>
              <w:t xml:space="preserve"> 交付地点</w:t>
            </w:r>
          </w:p>
        </w:tc>
      </w:tr>
      <w:tr>
        <w:tc>
          <w:tcPr>
            <w:tcW w:type="dxa" w:w="593"/>
          </w:tcPr>
          <w:p>
            <w:pPr>
              <w:pStyle w:val="null3"/>
              <w:jc w:val="left"/>
            </w:pPr>
            <w:r>
              <w:rPr>
                <w:rFonts w:ascii="仿宋_GB2312" w:hAnsi="仿宋_GB2312" w:cs="仿宋_GB2312" w:eastAsia="仿宋_GB2312"/>
              </w:rPr>
              <w:t xml:space="preserve"> 1</w:t>
            </w:r>
          </w:p>
        </w:tc>
        <w:tc>
          <w:tcPr>
            <w:tcW w:type="dxa" w:w="593"/>
          </w:tcPr>
          <w:p>
            <w:pPr>
              <w:pStyle w:val="null3"/>
              <w:jc w:val="left"/>
            </w:pPr>
            <w:r>
              <w:rPr>
                <w:rFonts w:ascii="仿宋_GB2312" w:hAnsi="仿宋_GB2312" w:cs="仿宋_GB2312" w:eastAsia="仿宋_GB2312"/>
              </w:rPr>
              <w:t xml:space="preserve"> 不锈钢保温杯</w:t>
            </w:r>
          </w:p>
        </w:tc>
        <w:tc>
          <w:tcPr>
            <w:tcW w:type="dxa" w:w="593"/>
          </w:tcPr>
          <w:p>
            <w:pPr>
              <w:pStyle w:val="null3"/>
              <w:jc w:val="left"/>
            </w:pPr>
            <w:r>
              <w:rPr>
                <w:rFonts w:ascii="仿宋_GB2312" w:hAnsi="仿宋_GB2312" w:cs="仿宋_GB2312" w:eastAsia="仿宋_GB2312"/>
              </w:rPr>
              <w:t xml:space="preserve"> 86000.00</w:t>
            </w:r>
          </w:p>
        </w:tc>
        <w:tc>
          <w:tcPr>
            <w:tcW w:type="dxa" w:w="593"/>
          </w:tcPr>
          <w:p>
            <w:pPr>
              <w:pStyle w:val="null3"/>
              <w:jc w:val="left"/>
            </w:pPr>
            <w:r>
              <w:rPr>
                <w:rFonts w:ascii="仿宋_GB2312" w:hAnsi="仿宋_GB2312" w:cs="仿宋_GB2312" w:eastAsia="仿宋_GB2312"/>
              </w:rPr>
              <w:t xml:space="preserve"> 个</w:t>
            </w:r>
          </w:p>
        </w:tc>
        <w:tc>
          <w:tcPr>
            <w:tcW w:type="dxa" w:w="593"/>
          </w:tcPr>
          <w:p>
            <w:pPr>
              <w:pStyle w:val="null3"/>
              <w:jc w:val="left"/>
            </w:pPr>
            <w:r>
              <w:rPr>
                <w:rFonts w:ascii="仿宋_GB2312" w:hAnsi="仿宋_GB2312" w:cs="仿宋_GB2312" w:eastAsia="仿宋_GB2312"/>
              </w:rPr>
              <w:t xml:space="preserve"> 3900000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详见附件：资格承诺函</w:t>
      </w:r>
    </w:p>
    <w:p>
      <w:pPr>
        <w:pStyle w:val="null3"/>
        <w:jc w:val="left"/>
        <w:outlineLvl w:val="3"/>
      </w:pPr>
      <w:r>
        <w:rPr>
          <w:rFonts w:ascii="仿宋_GB2312" w:hAnsi="仿宋_GB2312" w:cs="仿宋_GB2312" w:eastAsia="仿宋_GB2312"/>
          <w:sz w:val="24"/>
          <w:b/>
        </w:rPr>
        <w:t>响应文件补充说明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media/image1.jpeg" Type="http://schemas.openxmlformats.org/officeDocument/2006/relationships/image"/><Relationship Id="rId6" Target="media/image2.jpeg" Type="http://schemas.openxmlformats.org/officeDocument/2006/relationships/image"/><Relationship Id="rId7" Target="media/image3.jpeg" Type="http://schemas.openxmlformats.org/officeDocument/2006/relationships/image"/><Relationship Id="rId8" Target="media/image4.jpeg" Type="http://schemas.openxmlformats.org/officeDocument/2006/relationships/image"/><Relationship Id="rId9" Target="media/image5.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