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DB451">
      <w:pPr>
        <w:jc w:val="center"/>
        <w:rPr>
          <w:b/>
          <w:bCs/>
          <w:sz w:val="28"/>
          <w:szCs w:val="28"/>
        </w:rPr>
      </w:pPr>
      <w:r>
        <w:rPr>
          <w:rFonts w:hint="eastAsia"/>
          <w:b/>
          <w:bCs/>
          <w:sz w:val="28"/>
          <w:szCs w:val="28"/>
        </w:rPr>
        <w:t>用户需求书</w:t>
      </w:r>
    </w:p>
    <w:p w14:paraId="1E9B6ED4">
      <w:pPr>
        <w:pStyle w:val="26"/>
        <w:spacing w:line="288" w:lineRule="auto"/>
        <w:outlineLvl w:val="2"/>
        <w:rPr>
          <w:rFonts w:ascii="宋体" w:hAnsi="宋体" w:eastAsia="宋体" w:cs="宋体"/>
          <w:sz w:val="24"/>
          <w:szCs w:val="24"/>
        </w:rPr>
      </w:pPr>
      <w:r>
        <w:rPr>
          <w:rFonts w:ascii="宋体" w:hAnsi="宋体" w:eastAsia="宋体" w:cs="宋体"/>
          <w:b/>
          <w:sz w:val="24"/>
          <w:szCs w:val="24"/>
        </w:rPr>
        <w:t>一、项目概况（采购标的）</w:t>
      </w:r>
    </w:p>
    <w:p w14:paraId="4BF787F7">
      <w:pPr>
        <w:pStyle w:val="26"/>
        <w:spacing w:line="288" w:lineRule="auto"/>
        <w:ind w:firstLine="480"/>
        <w:rPr>
          <w:rFonts w:ascii="宋体" w:hAnsi="宋体" w:eastAsia="宋体" w:cs="宋体"/>
          <w:sz w:val="24"/>
          <w:szCs w:val="24"/>
        </w:rPr>
      </w:pPr>
      <w:r>
        <w:rPr>
          <w:rFonts w:ascii="宋体" w:hAnsi="宋体" w:eastAsia="宋体" w:cs="宋体"/>
          <w:sz w:val="24"/>
          <w:szCs w:val="24"/>
        </w:rPr>
        <w:t>项目概况</w:t>
      </w:r>
    </w:p>
    <w:p w14:paraId="7227FD79">
      <w:pPr>
        <w:jc w:val="left"/>
        <w:rPr>
          <w:rFonts w:hint="eastAsia" w:ascii="宋体" w:hAnsi="宋体" w:eastAsia="宋体" w:cs="宋体"/>
          <w:b/>
          <w:bCs/>
          <w:sz w:val="24"/>
        </w:rPr>
      </w:pPr>
      <w:r>
        <w:rPr>
          <w:rFonts w:hint="eastAsia" w:ascii="宋体" w:hAnsi="宋体" w:eastAsia="宋体" w:cs="宋体"/>
          <w:b/>
          <w:bCs/>
          <w:sz w:val="24"/>
        </w:rPr>
        <w:t>1.建设目标</w:t>
      </w:r>
    </w:p>
    <w:p w14:paraId="0333F6A2">
      <w:pPr>
        <w:pStyle w:val="9"/>
        <w:numPr>
          <w:ilvl w:val="2"/>
          <w:numId w:val="0"/>
        </w:numPr>
        <w:tabs>
          <w:tab w:val="left" w:pos="560"/>
        </w:tabs>
        <w:spacing w:line="288" w:lineRule="auto"/>
        <w:rPr>
          <w:rFonts w:hint="eastAsia" w:ascii="宋体" w:hAnsi="宋体" w:eastAsia="宋体" w:cs="宋体"/>
          <w:sz w:val="24"/>
        </w:rPr>
      </w:pPr>
      <w:bookmarkStart w:id="0" w:name="_Toc85443480"/>
      <w:bookmarkStart w:id="1" w:name="_Toc493702746"/>
      <w:bookmarkStart w:id="2" w:name="_Toc26972"/>
      <w:r>
        <w:rPr>
          <w:rFonts w:hint="eastAsia" w:ascii="宋体" w:hAnsi="宋体" w:eastAsia="宋体" w:cs="宋体"/>
          <w:sz w:val="24"/>
        </w:rPr>
        <w:t>1.1总体目标</w:t>
      </w:r>
      <w:bookmarkEnd w:id="0"/>
      <w:bookmarkEnd w:id="1"/>
      <w:bookmarkEnd w:id="2"/>
    </w:p>
    <w:p w14:paraId="7B895913">
      <w:pPr>
        <w:pStyle w:val="19"/>
        <w:spacing w:line="288" w:lineRule="auto"/>
        <w:ind w:firstLine="480"/>
        <w:rPr>
          <w:rFonts w:hint="eastAsia" w:ascii="宋体" w:hAnsi="宋体" w:eastAsia="宋体"/>
          <w:sz w:val="24"/>
        </w:rPr>
      </w:pPr>
      <w:r>
        <w:rPr>
          <w:rFonts w:hint="eastAsia" w:ascii="宋体" w:hAnsi="宋体" w:eastAsia="宋体"/>
          <w:sz w:val="24"/>
        </w:rPr>
        <w:t>总体建设目标包括完成琼海市人民法院审判辅助用房的信息化建设，其中市人民法院审判辅助用房主要为诉讼服务中心（以下简称1号楼）和执行指挥中心（以下简称2号楼）两栋新建大楼。新建大楼定位于先进、经济、实用、可靠的智能化建筑，以建筑为平台，参照《智能建筑设计标准》GB 50314-2015进行系统设计，利用先进的计算机技术、通讯与网络技术、自动化控制技术等，通过有效的传输网络，将多元信息服务与管理、门禁管理与安防等系统进行集成，兼备通信、办公、楼宇自动化，建设成现代智能化审判法庭业务大楼，为审判法庭的服务、管理、运营等提供信息技术智能化手段，并与原有大楼网络进行互联互通，顺利访问原有法院专网和互联网业务系统。</w:t>
      </w:r>
    </w:p>
    <w:p w14:paraId="5F2B1EE5">
      <w:pPr>
        <w:pStyle w:val="19"/>
        <w:spacing w:line="288" w:lineRule="auto"/>
        <w:ind w:firstLine="480"/>
        <w:rPr>
          <w:rFonts w:hint="eastAsia" w:ascii="宋体" w:hAnsi="宋体" w:eastAsia="宋体"/>
          <w:sz w:val="24"/>
        </w:rPr>
      </w:pPr>
      <w:r>
        <w:rPr>
          <w:rFonts w:hint="eastAsia" w:ascii="宋体" w:hAnsi="宋体" w:eastAsia="宋体"/>
          <w:sz w:val="24"/>
        </w:rPr>
        <w:t>通过本项目的建设，力争实现以下目标：</w:t>
      </w:r>
    </w:p>
    <w:p w14:paraId="144D24D1">
      <w:pPr>
        <w:pStyle w:val="19"/>
        <w:spacing w:line="288" w:lineRule="auto"/>
        <w:ind w:firstLine="480"/>
        <w:rPr>
          <w:rFonts w:hint="eastAsia" w:ascii="宋体" w:hAnsi="宋体" w:eastAsia="宋体"/>
          <w:sz w:val="24"/>
        </w:rPr>
      </w:pPr>
      <w:r>
        <w:rPr>
          <w:rFonts w:hint="eastAsia" w:ascii="宋体" w:hAnsi="宋体" w:eastAsia="宋体"/>
          <w:sz w:val="24"/>
        </w:rPr>
        <w:t>（1）提高新建大楼信息化、智能化支撑能力</w:t>
      </w:r>
    </w:p>
    <w:p w14:paraId="6E8A0F6F">
      <w:pPr>
        <w:pStyle w:val="19"/>
        <w:spacing w:line="288" w:lineRule="auto"/>
        <w:ind w:firstLine="480"/>
        <w:rPr>
          <w:rFonts w:hint="eastAsia" w:ascii="宋体" w:hAnsi="宋体" w:eastAsia="宋体"/>
          <w:sz w:val="24"/>
        </w:rPr>
      </w:pPr>
      <w:r>
        <w:rPr>
          <w:rFonts w:hint="eastAsia" w:ascii="宋体" w:hAnsi="宋体" w:eastAsia="宋体"/>
          <w:sz w:val="24"/>
        </w:rPr>
        <w:t>通过对新建大楼进行综合布线、网络建设、设备间建设等，保证网络通畅，支持现有网络应用及将来的网络升级扩展，提高法院办公审判信息化、智能化支撑能力，为法院业务开展奠定信息化基础。</w:t>
      </w:r>
    </w:p>
    <w:p w14:paraId="417F074A">
      <w:pPr>
        <w:pStyle w:val="19"/>
        <w:spacing w:line="288" w:lineRule="auto"/>
        <w:ind w:firstLine="480"/>
        <w:rPr>
          <w:rFonts w:hint="eastAsia" w:ascii="宋体" w:hAnsi="宋体" w:eastAsia="宋体"/>
          <w:sz w:val="24"/>
        </w:rPr>
      </w:pPr>
      <w:r>
        <w:rPr>
          <w:rFonts w:hint="eastAsia" w:ascii="宋体" w:hAnsi="宋体" w:eastAsia="宋体"/>
          <w:sz w:val="24"/>
        </w:rPr>
        <w:t>（2）提升新建大楼安防水平</w:t>
      </w:r>
    </w:p>
    <w:p w14:paraId="4147865D">
      <w:pPr>
        <w:pStyle w:val="19"/>
        <w:spacing w:line="288" w:lineRule="auto"/>
        <w:ind w:firstLine="480"/>
        <w:rPr>
          <w:rFonts w:hint="eastAsia" w:ascii="宋体" w:hAnsi="宋体" w:eastAsia="宋体"/>
          <w:sz w:val="24"/>
        </w:rPr>
      </w:pPr>
      <w:r>
        <w:rPr>
          <w:rFonts w:hint="eastAsia" w:ascii="宋体" w:hAnsi="宋体" w:eastAsia="宋体"/>
          <w:sz w:val="24"/>
        </w:rPr>
        <w:t>通过将视频监控、门禁管理、周界防范、报警对接等技防手段有效地集成整合，对两栋新建大楼进行统一的安防管理，形成各技防手段间的相互联动，提升琼海市人民法院的安防水平和能力。</w:t>
      </w:r>
    </w:p>
    <w:p w14:paraId="6FFA6783">
      <w:pPr>
        <w:pStyle w:val="19"/>
        <w:spacing w:line="288" w:lineRule="auto"/>
        <w:ind w:firstLine="480"/>
        <w:rPr>
          <w:rFonts w:hint="eastAsia" w:ascii="宋体" w:hAnsi="宋体" w:eastAsia="宋体"/>
          <w:sz w:val="24"/>
        </w:rPr>
      </w:pPr>
      <w:r>
        <w:rPr>
          <w:rFonts w:hint="eastAsia" w:ascii="宋体" w:hAnsi="宋体" w:eastAsia="宋体"/>
          <w:sz w:val="24"/>
        </w:rPr>
        <w:t>（3）提升司法业务办案效率</w:t>
      </w:r>
    </w:p>
    <w:p w14:paraId="74620299">
      <w:pPr>
        <w:pStyle w:val="19"/>
        <w:spacing w:line="288" w:lineRule="auto"/>
        <w:ind w:firstLine="480"/>
        <w:rPr>
          <w:rFonts w:hint="eastAsia" w:ascii="宋体" w:hAnsi="宋体" w:eastAsia="宋体"/>
          <w:sz w:val="24"/>
        </w:rPr>
      </w:pPr>
      <w:r>
        <w:rPr>
          <w:rFonts w:hint="eastAsia" w:ascii="宋体" w:hAnsi="宋体" w:eastAsia="宋体"/>
          <w:sz w:val="24"/>
        </w:rPr>
        <w:t>通过将智能化设备和技术引入立案大厅、执行大厅、智慧法庭、执行指挥中心等场所，加强法院信息化建设，完善法院内部管理、为法院“公正与效率”工作主体提供重要的技术支持，有利于深化人民法院审判方式改革，节约诉讼资源，提高法院信息传递速度，方便群众诉讼，有效提高工作效率和工作质量、提升司法权威和司法形象，促进司法公正。</w:t>
      </w:r>
    </w:p>
    <w:p w14:paraId="6F0AAB14">
      <w:pPr>
        <w:pStyle w:val="19"/>
        <w:spacing w:line="288" w:lineRule="auto"/>
        <w:ind w:firstLine="480"/>
        <w:rPr>
          <w:rFonts w:hint="eastAsia" w:ascii="宋体" w:hAnsi="宋体" w:eastAsia="宋体"/>
          <w:sz w:val="24"/>
        </w:rPr>
      </w:pPr>
      <w:r>
        <w:rPr>
          <w:rFonts w:hint="eastAsia" w:ascii="宋体" w:hAnsi="宋体" w:eastAsia="宋体"/>
          <w:sz w:val="24"/>
        </w:rPr>
        <w:t>通过本项目的建设，深化完善审判辅助用房的信息化建设，并为司法审判提供辅助作用，为促进审判体系和审判能力现代化、提升司法能力和水平提供坚强的信息化支撑，将进一步加快琼海市人民法院整体的信息化建设步伐。同时也为审判辅助用房进行赋能，为琼海市人民法院提供了安全、便捷的信息化服务，提高办公和管理的效率，是推动琼海市人民法院信息化建设转型升级、把人民法院建设成为“阳光法院”“智慧法院”和实现服务最全面、服务最高效、服务最智能、服务最集约、服务最特色的智慧法院必不可少的一部分。</w:t>
      </w:r>
    </w:p>
    <w:p w14:paraId="07521614">
      <w:pPr>
        <w:pStyle w:val="9"/>
        <w:numPr>
          <w:ilvl w:val="2"/>
          <w:numId w:val="0"/>
        </w:numPr>
        <w:tabs>
          <w:tab w:val="left" w:pos="560"/>
        </w:tabs>
        <w:spacing w:line="288" w:lineRule="auto"/>
        <w:rPr>
          <w:rFonts w:hint="eastAsia" w:ascii="宋体" w:hAnsi="宋体" w:eastAsia="宋体" w:cs="宋体"/>
          <w:sz w:val="24"/>
        </w:rPr>
      </w:pPr>
      <w:bookmarkStart w:id="3" w:name="_Toc17592"/>
      <w:bookmarkStart w:id="4" w:name="_Toc85443481"/>
      <w:bookmarkStart w:id="5" w:name="_Toc493702747"/>
      <w:r>
        <w:rPr>
          <w:rFonts w:hint="eastAsia" w:ascii="宋体" w:hAnsi="宋体" w:eastAsia="宋体" w:cs="宋体"/>
          <w:sz w:val="24"/>
        </w:rPr>
        <w:t>1.2分期目标</w:t>
      </w:r>
      <w:bookmarkEnd w:id="3"/>
      <w:bookmarkEnd w:id="4"/>
      <w:bookmarkEnd w:id="5"/>
    </w:p>
    <w:p w14:paraId="7325C1D2">
      <w:pPr>
        <w:pStyle w:val="19"/>
        <w:spacing w:line="288" w:lineRule="auto"/>
        <w:ind w:firstLine="480"/>
        <w:rPr>
          <w:rFonts w:hint="eastAsia" w:ascii="宋体" w:hAnsi="宋体" w:eastAsia="宋体"/>
          <w:sz w:val="24"/>
        </w:rPr>
      </w:pPr>
      <w:r>
        <w:rPr>
          <w:rFonts w:hint="eastAsia" w:ascii="宋体" w:hAnsi="宋体" w:eastAsia="宋体"/>
          <w:sz w:val="24"/>
        </w:rPr>
        <w:t>本项目不涉及分期目标。</w:t>
      </w:r>
      <w:bookmarkStart w:id="6" w:name="_Toc493702748"/>
      <w:bookmarkStart w:id="7" w:name="_Toc20935"/>
      <w:bookmarkStart w:id="8" w:name="_Toc85443482"/>
    </w:p>
    <w:p w14:paraId="0A899D36">
      <w:pPr>
        <w:pStyle w:val="19"/>
        <w:spacing w:line="288" w:lineRule="auto"/>
        <w:ind w:firstLine="0" w:firstLineChars="0"/>
        <w:rPr>
          <w:rFonts w:hint="eastAsia" w:ascii="宋体" w:hAnsi="宋体" w:eastAsia="宋体"/>
          <w:sz w:val="24"/>
        </w:rPr>
      </w:pPr>
      <w:r>
        <w:rPr>
          <w:rFonts w:hint="eastAsia" w:ascii="宋体" w:hAnsi="宋体" w:eastAsia="宋体"/>
          <w:sz w:val="24"/>
        </w:rPr>
        <w:t>1.3建设内容</w:t>
      </w:r>
      <w:bookmarkEnd w:id="6"/>
      <w:bookmarkEnd w:id="7"/>
      <w:bookmarkEnd w:id="8"/>
    </w:p>
    <w:p w14:paraId="5C60E746">
      <w:pPr>
        <w:pStyle w:val="19"/>
        <w:spacing w:line="288" w:lineRule="auto"/>
        <w:ind w:firstLine="480"/>
        <w:rPr>
          <w:rFonts w:hint="eastAsia" w:ascii="宋体" w:hAnsi="宋体" w:eastAsia="宋体"/>
          <w:sz w:val="24"/>
        </w:rPr>
      </w:pPr>
      <w:r>
        <w:rPr>
          <w:rFonts w:hint="eastAsia" w:ascii="宋体" w:hAnsi="宋体" w:eastAsia="宋体"/>
          <w:sz w:val="24"/>
        </w:rPr>
        <w:t>本项目建设内容包括对琼海市人民法院1号楼和2号楼两栋三层的大楼进行信息化建设，利用网络、通信、多媒体等先进技术和软硬件设备，扩展、延伸审判法庭功能，为案件开庭审理各阶段提供技术支持和技术保障，保证法院正常办公所需，主要包括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详细建设内容如下：</w:t>
      </w:r>
      <w:bookmarkStart w:id="9" w:name="_Toc341960628"/>
      <w:bookmarkEnd w:id="9"/>
      <w:bookmarkStart w:id="10" w:name="_Toc342070822"/>
      <w:bookmarkEnd w:id="10"/>
      <w:bookmarkStart w:id="11" w:name="_Toc341960621"/>
      <w:bookmarkEnd w:id="11"/>
      <w:bookmarkStart w:id="12" w:name="_Toc342070823"/>
      <w:bookmarkEnd w:id="12"/>
      <w:bookmarkStart w:id="13" w:name="_Toc342070821"/>
      <w:bookmarkEnd w:id="13"/>
      <w:bookmarkStart w:id="14" w:name="_Toc341960626"/>
      <w:bookmarkEnd w:id="14"/>
      <w:bookmarkStart w:id="15" w:name="_Toc342070820"/>
      <w:bookmarkEnd w:id="15"/>
      <w:bookmarkStart w:id="16" w:name="_Toc342070818"/>
      <w:bookmarkEnd w:id="16"/>
      <w:bookmarkStart w:id="17" w:name="_Toc341960622"/>
      <w:bookmarkEnd w:id="17"/>
      <w:bookmarkStart w:id="18" w:name="_Toc342070816"/>
      <w:bookmarkEnd w:id="18"/>
      <w:bookmarkStart w:id="19" w:name="_Toc342070817"/>
      <w:bookmarkEnd w:id="19"/>
      <w:bookmarkStart w:id="20" w:name="_Toc342070815"/>
      <w:bookmarkEnd w:id="20"/>
      <w:bookmarkStart w:id="21" w:name="_Toc342070819"/>
      <w:bookmarkEnd w:id="21"/>
      <w:bookmarkStart w:id="22" w:name="_Toc341960625"/>
      <w:bookmarkEnd w:id="22"/>
      <w:bookmarkStart w:id="23" w:name="_Toc342070814"/>
      <w:bookmarkEnd w:id="23"/>
      <w:bookmarkStart w:id="24" w:name="_Toc341960629"/>
      <w:bookmarkEnd w:id="24"/>
      <w:bookmarkStart w:id="25" w:name="_Toc341960620"/>
      <w:bookmarkEnd w:id="25"/>
      <w:bookmarkStart w:id="26" w:name="_Toc341960624"/>
      <w:bookmarkEnd w:id="26"/>
      <w:bookmarkStart w:id="27" w:name="_Toc341960627"/>
      <w:bookmarkEnd w:id="27"/>
      <w:bookmarkStart w:id="28" w:name="_Toc341960623"/>
      <w:bookmarkEnd w:id="28"/>
      <w:bookmarkStart w:id="29" w:name="_Toc27172"/>
      <w:bookmarkStart w:id="30" w:name="_Toc332971272"/>
      <w:bookmarkStart w:id="31" w:name="_Toc493702749"/>
      <w:bookmarkStart w:id="32" w:name="_Toc85443483"/>
    </w:p>
    <w:p w14:paraId="0C954D49">
      <w:pPr>
        <w:pStyle w:val="19"/>
        <w:spacing w:line="288" w:lineRule="auto"/>
        <w:ind w:firstLine="480"/>
        <w:rPr>
          <w:rFonts w:hint="eastAsia" w:ascii="宋体" w:hAnsi="宋体" w:eastAsia="宋体"/>
          <w:sz w:val="24"/>
        </w:rPr>
      </w:pPr>
      <w:r>
        <w:rPr>
          <w:rFonts w:hint="eastAsia" w:ascii="宋体" w:hAnsi="宋体" w:eastAsia="宋体"/>
          <w:sz w:val="24"/>
        </w:rPr>
        <w:t>（1）基础支撑系统</w:t>
      </w:r>
      <w:bookmarkEnd w:id="29"/>
    </w:p>
    <w:p w14:paraId="56C2AFBA">
      <w:pPr>
        <w:pStyle w:val="19"/>
        <w:spacing w:line="288" w:lineRule="auto"/>
        <w:ind w:firstLine="480"/>
        <w:rPr>
          <w:rFonts w:hint="eastAsia" w:ascii="宋体" w:hAnsi="宋体" w:eastAsia="宋体"/>
          <w:sz w:val="24"/>
        </w:rPr>
      </w:pPr>
      <w:r>
        <w:rPr>
          <w:rFonts w:hint="eastAsia" w:ascii="宋体" w:hAnsi="宋体" w:eastAsia="宋体"/>
          <w:sz w:val="24"/>
        </w:rPr>
        <w:t>基础支撑系统包括综合布线系统、网络系统和设备间系统。</w:t>
      </w:r>
    </w:p>
    <w:p w14:paraId="05DC53FB">
      <w:pPr>
        <w:pStyle w:val="19"/>
        <w:spacing w:line="288" w:lineRule="auto"/>
        <w:ind w:firstLine="480"/>
        <w:rPr>
          <w:rFonts w:hint="eastAsia" w:ascii="宋体" w:hAnsi="宋体" w:eastAsia="宋体"/>
          <w:sz w:val="24"/>
        </w:rPr>
      </w:pPr>
      <w:r>
        <w:rPr>
          <w:rFonts w:hint="eastAsia" w:ascii="宋体" w:hAnsi="宋体" w:eastAsia="宋体"/>
          <w:sz w:val="24"/>
        </w:rPr>
        <w:t>1.综合布线系统</w:t>
      </w:r>
    </w:p>
    <w:p w14:paraId="708E7CC0">
      <w:pPr>
        <w:pStyle w:val="19"/>
        <w:spacing w:line="288" w:lineRule="auto"/>
        <w:ind w:firstLine="480"/>
        <w:rPr>
          <w:rFonts w:hint="eastAsia" w:ascii="宋体" w:hAnsi="宋体" w:eastAsia="宋体"/>
          <w:sz w:val="24"/>
        </w:rPr>
      </w:pPr>
      <w:r>
        <w:rPr>
          <w:rFonts w:hint="eastAsia" w:ascii="宋体" w:hAnsi="宋体" w:eastAsia="宋体"/>
          <w:sz w:val="24"/>
        </w:rPr>
        <w:t>实现新建的1号楼和2号大楼综合布线全覆盖，并分别设置法院专网、互联网，其中法院专网满足新建大楼访问法院专网的使用需求，互联网满足新建大楼互联网信息传递及其他互联网工作业务需求，语音网本次设计根据实际现场情况只做链路敷设设计。</w:t>
      </w:r>
    </w:p>
    <w:p w14:paraId="2554D746">
      <w:pPr>
        <w:pStyle w:val="19"/>
        <w:spacing w:line="288" w:lineRule="auto"/>
        <w:ind w:firstLine="480"/>
        <w:rPr>
          <w:rFonts w:hint="eastAsia" w:ascii="宋体" w:hAnsi="宋体" w:eastAsia="宋体"/>
          <w:sz w:val="24"/>
        </w:rPr>
      </w:pPr>
      <w:r>
        <w:rPr>
          <w:rFonts w:hint="eastAsia" w:ascii="宋体" w:hAnsi="宋体" w:eastAsia="宋体"/>
          <w:sz w:val="24"/>
        </w:rPr>
        <w:t>2.网络系统</w:t>
      </w:r>
    </w:p>
    <w:p w14:paraId="42D36648">
      <w:pPr>
        <w:pStyle w:val="19"/>
        <w:spacing w:line="288" w:lineRule="auto"/>
        <w:ind w:firstLine="480"/>
        <w:rPr>
          <w:rFonts w:hint="eastAsia" w:ascii="宋体" w:hAnsi="宋体" w:eastAsia="宋体"/>
          <w:sz w:val="24"/>
        </w:rPr>
      </w:pPr>
      <w:r>
        <w:rPr>
          <w:rFonts w:hint="eastAsia" w:ascii="宋体" w:hAnsi="宋体" w:eastAsia="宋体"/>
          <w:sz w:val="24"/>
        </w:rPr>
        <w:t>实现新建的1号楼和2号楼网络系统全覆盖，能与原大楼网络互通，并分别按照法院专网、互联网建设，各网络彼此之间物理隔离，整体网络设计为千兆到桌面，万兆骨干网，保证未来5—10年不存在链路带宽瓶颈。</w:t>
      </w:r>
    </w:p>
    <w:p w14:paraId="4307A76E">
      <w:pPr>
        <w:pStyle w:val="19"/>
        <w:spacing w:line="288" w:lineRule="auto"/>
        <w:ind w:firstLine="480"/>
        <w:rPr>
          <w:rFonts w:hint="eastAsia" w:ascii="宋体" w:hAnsi="宋体" w:eastAsia="宋体"/>
          <w:sz w:val="24"/>
        </w:rPr>
      </w:pPr>
      <w:r>
        <w:rPr>
          <w:rFonts w:hint="eastAsia" w:ascii="宋体" w:hAnsi="宋体" w:eastAsia="宋体"/>
          <w:sz w:val="24"/>
        </w:rPr>
        <w:t>3.设备间系统</w:t>
      </w:r>
    </w:p>
    <w:p w14:paraId="17AF078C">
      <w:pPr>
        <w:pStyle w:val="19"/>
        <w:spacing w:line="288" w:lineRule="auto"/>
        <w:ind w:firstLine="480"/>
        <w:rPr>
          <w:rFonts w:hint="eastAsia" w:ascii="宋体" w:hAnsi="宋体" w:eastAsia="宋体"/>
          <w:sz w:val="24"/>
        </w:rPr>
      </w:pPr>
      <w:r>
        <w:rPr>
          <w:rFonts w:hint="eastAsia" w:ascii="宋体" w:hAnsi="宋体" w:eastAsia="宋体"/>
          <w:sz w:val="24"/>
        </w:rPr>
        <w:t>新建的1号楼和2号楼设备间系统，每层楼的弱电井根据实际配置机柜、配线架等。</w:t>
      </w:r>
    </w:p>
    <w:p w14:paraId="30C13E82">
      <w:pPr>
        <w:pStyle w:val="19"/>
        <w:spacing w:line="288" w:lineRule="auto"/>
        <w:ind w:firstLine="480"/>
        <w:rPr>
          <w:rFonts w:hint="eastAsia" w:ascii="宋体" w:hAnsi="宋体" w:eastAsia="宋体"/>
          <w:sz w:val="24"/>
        </w:rPr>
      </w:pPr>
      <w:r>
        <w:rPr>
          <w:rFonts w:hint="eastAsia" w:ascii="宋体" w:hAnsi="宋体" w:eastAsia="宋体"/>
          <w:sz w:val="24"/>
        </w:rPr>
        <w:t>4.机房系统</w:t>
      </w:r>
    </w:p>
    <w:p w14:paraId="0087C0FF">
      <w:pPr>
        <w:pStyle w:val="19"/>
        <w:spacing w:line="288" w:lineRule="auto"/>
        <w:ind w:firstLine="480"/>
        <w:rPr>
          <w:rFonts w:hint="eastAsia" w:ascii="宋体" w:hAnsi="宋体" w:eastAsia="宋体"/>
          <w:sz w:val="24"/>
        </w:rPr>
      </w:pPr>
      <w:r>
        <w:rPr>
          <w:rFonts w:hint="eastAsia" w:ascii="宋体" w:hAnsi="宋体" w:eastAsia="宋体"/>
          <w:sz w:val="24"/>
        </w:rPr>
        <w:t>参考《数据中心设计规范》（GB50174-2017）C级机房要求，完成2号楼三楼约36平方米信息机房的建设，包括装修工程、消防工程、空调系统、供配电工程、防雷接地系统、机房布线工程等。</w:t>
      </w:r>
      <w:bookmarkStart w:id="33" w:name="_Toc19362"/>
    </w:p>
    <w:p w14:paraId="730399DA">
      <w:pPr>
        <w:pStyle w:val="19"/>
        <w:spacing w:line="288" w:lineRule="auto"/>
        <w:ind w:firstLine="480"/>
        <w:rPr>
          <w:rFonts w:hint="eastAsia" w:ascii="宋体" w:hAnsi="宋体" w:eastAsia="宋体"/>
          <w:sz w:val="24"/>
        </w:rPr>
      </w:pPr>
      <w:r>
        <w:rPr>
          <w:rFonts w:hint="eastAsia" w:ascii="宋体" w:hAnsi="宋体" w:eastAsia="宋体"/>
          <w:sz w:val="24"/>
        </w:rPr>
        <w:t>（2）综合安防系统</w:t>
      </w:r>
      <w:bookmarkEnd w:id="33"/>
    </w:p>
    <w:p w14:paraId="6C322845">
      <w:pPr>
        <w:pStyle w:val="19"/>
        <w:spacing w:line="288" w:lineRule="auto"/>
        <w:ind w:firstLine="480"/>
        <w:rPr>
          <w:rFonts w:hint="eastAsia" w:ascii="宋体" w:hAnsi="宋体" w:eastAsia="宋体"/>
          <w:sz w:val="24"/>
        </w:rPr>
      </w:pPr>
      <w:r>
        <w:rPr>
          <w:rFonts w:hint="eastAsia" w:ascii="宋体" w:hAnsi="宋体" w:eastAsia="宋体"/>
          <w:sz w:val="24"/>
        </w:rPr>
        <w:t>综合安防系统包括视频监控系统和门禁系统，能与原大楼安防系统互联互通实现统一维护和管理。</w:t>
      </w:r>
    </w:p>
    <w:p w14:paraId="5B3FCFFB">
      <w:pPr>
        <w:pStyle w:val="19"/>
        <w:spacing w:line="288" w:lineRule="auto"/>
        <w:ind w:firstLine="480"/>
        <w:rPr>
          <w:rFonts w:hint="eastAsia" w:ascii="宋体" w:hAnsi="宋体" w:eastAsia="宋体"/>
          <w:sz w:val="24"/>
        </w:rPr>
      </w:pPr>
      <w:r>
        <w:rPr>
          <w:rFonts w:hint="eastAsia" w:ascii="宋体" w:hAnsi="宋体" w:eastAsia="宋体"/>
          <w:sz w:val="24"/>
        </w:rPr>
        <w:t>1.视频监控系统</w:t>
      </w:r>
    </w:p>
    <w:p w14:paraId="3A1AC632">
      <w:pPr>
        <w:pStyle w:val="19"/>
        <w:spacing w:line="288" w:lineRule="auto"/>
        <w:ind w:firstLine="480"/>
        <w:rPr>
          <w:rFonts w:hint="eastAsia" w:ascii="宋体" w:hAnsi="宋体" w:eastAsia="宋体"/>
          <w:sz w:val="24"/>
        </w:rPr>
      </w:pPr>
      <w:r>
        <w:rPr>
          <w:rFonts w:hint="eastAsia" w:ascii="宋体" w:hAnsi="宋体" w:eastAsia="宋体"/>
          <w:sz w:val="24"/>
        </w:rPr>
        <w:t>在新建大楼出入口、大厅、电梯、重要房间等重点区域部署122个监控摄像头，并可通过综合安防平台实现对监控系统进行统一存储和管理。</w:t>
      </w:r>
    </w:p>
    <w:p w14:paraId="3032493A">
      <w:pPr>
        <w:pStyle w:val="19"/>
        <w:spacing w:line="288" w:lineRule="auto"/>
        <w:ind w:firstLine="480"/>
        <w:rPr>
          <w:rFonts w:hint="eastAsia" w:ascii="宋体" w:hAnsi="宋体" w:eastAsia="宋体"/>
          <w:sz w:val="24"/>
        </w:rPr>
      </w:pPr>
      <w:r>
        <w:rPr>
          <w:rFonts w:hint="eastAsia" w:ascii="宋体" w:hAnsi="宋体" w:eastAsia="宋体"/>
          <w:sz w:val="24"/>
        </w:rPr>
        <w:t>2.门禁系统</w:t>
      </w:r>
    </w:p>
    <w:p w14:paraId="1430007A">
      <w:pPr>
        <w:pStyle w:val="19"/>
        <w:spacing w:line="288" w:lineRule="auto"/>
        <w:ind w:firstLine="480"/>
        <w:rPr>
          <w:rFonts w:hint="eastAsia" w:ascii="宋体" w:hAnsi="宋体" w:eastAsia="宋体"/>
          <w:sz w:val="24"/>
        </w:rPr>
      </w:pPr>
      <w:r>
        <w:rPr>
          <w:rFonts w:hint="eastAsia" w:ascii="宋体" w:hAnsi="宋体" w:eastAsia="宋体"/>
          <w:sz w:val="24"/>
        </w:rPr>
        <w:t>在新建大楼大厅大门、智慧法庭、指挥大厅、24小时法院等部署8套门禁系统，并可通过综合安防平台进行统一管理。</w:t>
      </w:r>
      <w:bookmarkStart w:id="34" w:name="_Toc11222"/>
    </w:p>
    <w:p w14:paraId="108F09F6">
      <w:pPr>
        <w:pStyle w:val="19"/>
        <w:spacing w:line="288" w:lineRule="auto"/>
        <w:ind w:firstLine="480"/>
        <w:rPr>
          <w:rFonts w:hint="eastAsia" w:ascii="宋体" w:hAnsi="宋体" w:eastAsia="宋体"/>
          <w:sz w:val="24"/>
        </w:rPr>
      </w:pPr>
      <w:r>
        <w:rPr>
          <w:rFonts w:hint="eastAsia" w:ascii="宋体" w:hAnsi="宋体" w:eastAsia="宋体"/>
          <w:sz w:val="24"/>
        </w:rPr>
        <w:t>（3）司法业务配套系统</w:t>
      </w:r>
      <w:bookmarkEnd w:id="34"/>
    </w:p>
    <w:p w14:paraId="5A7DDA56">
      <w:pPr>
        <w:pStyle w:val="19"/>
        <w:spacing w:line="288" w:lineRule="auto"/>
        <w:ind w:firstLine="480"/>
        <w:rPr>
          <w:rFonts w:hint="eastAsia" w:ascii="宋体" w:hAnsi="宋体" w:eastAsia="宋体"/>
          <w:sz w:val="24"/>
        </w:rPr>
      </w:pPr>
      <w:r>
        <w:rPr>
          <w:rFonts w:hint="eastAsia" w:ascii="宋体" w:hAnsi="宋体" w:eastAsia="宋体"/>
          <w:sz w:val="24"/>
        </w:rPr>
        <w:t>司法业务配套系统包括立案大厅、执行大厅、执行指挥中心、智慧法庭等区域的司法业务配套建设。</w:t>
      </w:r>
    </w:p>
    <w:p w14:paraId="292E0962">
      <w:pPr>
        <w:pStyle w:val="19"/>
        <w:spacing w:line="288" w:lineRule="auto"/>
        <w:ind w:firstLine="480"/>
        <w:rPr>
          <w:rFonts w:hint="eastAsia" w:ascii="宋体" w:hAnsi="宋体" w:eastAsia="宋体"/>
          <w:sz w:val="24"/>
        </w:rPr>
      </w:pPr>
      <w:r>
        <w:rPr>
          <w:rFonts w:hint="eastAsia" w:ascii="宋体" w:hAnsi="宋体" w:eastAsia="宋体"/>
          <w:sz w:val="24"/>
        </w:rPr>
        <w:t>1.立案大厅</w:t>
      </w:r>
    </w:p>
    <w:p w14:paraId="662ABCE8">
      <w:pPr>
        <w:pStyle w:val="19"/>
        <w:spacing w:line="288" w:lineRule="auto"/>
        <w:ind w:firstLine="480"/>
        <w:rPr>
          <w:rFonts w:hint="eastAsia" w:ascii="宋体" w:hAnsi="宋体" w:eastAsia="宋体"/>
          <w:sz w:val="24"/>
        </w:rPr>
      </w:pPr>
      <w:r>
        <w:rPr>
          <w:rFonts w:hint="eastAsia" w:ascii="宋体" w:hAnsi="宋体" w:eastAsia="宋体"/>
          <w:sz w:val="24"/>
        </w:rPr>
        <w:t>包括安检通道、立案窗口服务区、室外信息发布、大厅内信息发布、文印区等涉及的业务配套设备。</w:t>
      </w:r>
    </w:p>
    <w:p w14:paraId="109DF4FD">
      <w:pPr>
        <w:pStyle w:val="19"/>
        <w:spacing w:line="288" w:lineRule="auto"/>
        <w:ind w:firstLine="480"/>
        <w:rPr>
          <w:rFonts w:hint="eastAsia" w:ascii="宋体" w:hAnsi="宋体" w:eastAsia="宋体"/>
          <w:sz w:val="24"/>
        </w:rPr>
      </w:pPr>
      <w:r>
        <w:rPr>
          <w:rFonts w:hint="eastAsia" w:ascii="宋体" w:hAnsi="宋体" w:eastAsia="宋体"/>
          <w:sz w:val="24"/>
        </w:rPr>
        <w:t>2.执行大厅</w:t>
      </w:r>
    </w:p>
    <w:p w14:paraId="16CC462F">
      <w:pPr>
        <w:pStyle w:val="19"/>
        <w:spacing w:line="288" w:lineRule="auto"/>
        <w:ind w:firstLine="480"/>
        <w:rPr>
          <w:rFonts w:hint="eastAsia" w:ascii="宋体" w:hAnsi="宋体" w:eastAsia="宋体"/>
          <w:sz w:val="24"/>
        </w:rPr>
      </w:pPr>
      <w:r>
        <w:rPr>
          <w:rFonts w:hint="eastAsia" w:ascii="宋体" w:hAnsi="宋体" w:eastAsia="宋体"/>
          <w:sz w:val="24"/>
        </w:rPr>
        <w:t>包括执行窗口服务区、值班室及信访接待、便民服务区、室外信息发布等涉及的业务配套设备。</w:t>
      </w:r>
    </w:p>
    <w:p w14:paraId="35AD3C5C">
      <w:pPr>
        <w:pStyle w:val="19"/>
        <w:spacing w:line="288" w:lineRule="auto"/>
        <w:ind w:firstLine="480"/>
        <w:rPr>
          <w:rFonts w:hint="eastAsia" w:ascii="宋体" w:hAnsi="宋体" w:eastAsia="宋体"/>
          <w:sz w:val="24"/>
        </w:rPr>
      </w:pPr>
      <w:r>
        <w:rPr>
          <w:rFonts w:hint="eastAsia" w:ascii="宋体" w:hAnsi="宋体" w:eastAsia="宋体"/>
          <w:sz w:val="24"/>
        </w:rPr>
        <w:t>3.执行指挥中心</w:t>
      </w:r>
    </w:p>
    <w:p w14:paraId="51F1739B">
      <w:pPr>
        <w:pStyle w:val="19"/>
        <w:spacing w:line="288" w:lineRule="auto"/>
        <w:ind w:firstLine="480"/>
        <w:rPr>
          <w:rFonts w:hint="eastAsia" w:ascii="宋体" w:hAnsi="宋体" w:eastAsia="宋体"/>
          <w:sz w:val="24"/>
        </w:rPr>
      </w:pPr>
      <w:r>
        <w:rPr>
          <w:rFonts w:hint="eastAsia" w:ascii="宋体" w:hAnsi="宋体" w:eastAsia="宋体"/>
          <w:sz w:val="24"/>
        </w:rPr>
        <w:t>包括大屏显示系统、监控系统、数字会议控制系统、扩音系统、中央控制系统等。</w:t>
      </w:r>
    </w:p>
    <w:p w14:paraId="36ECE783">
      <w:pPr>
        <w:pStyle w:val="19"/>
        <w:spacing w:line="288" w:lineRule="auto"/>
        <w:ind w:firstLine="480"/>
        <w:rPr>
          <w:rFonts w:hint="eastAsia" w:ascii="宋体" w:hAnsi="宋体" w:eastAsia="宋体"/>
          <w:sz w:val="24"/>
        </w:rPr>
      </w:pPr>
      <w:r>
        <w:rPr>
          <w:rFonts w:hint="eastAsia" w:ascii="宋体" w:hAnsi="宋体" w:eastAsia="宋体"/>
          <w:sz w:val="24"/>
        </w:rPr>
        <w:t>4.智慧法庭</w:t>
      </w:r>
    </w:p>
    <w:p w14:paraId="397A5D23">
      <w:pPr>
        <w:pStyle w:val="19"/>
        <w:spacing w:line="288" w:lineRule="auto"/>
        <w:ind w:firstLine="480"/>
        <w:rPr>
          <w:rFonts w:hint="eastAsia" w:ascii="宋体" w:hAnsi="宋体" w:eastAsia="宋体"/>
          <w:sz w:val="24"/>
        </w:rPr>
      </w:pPr>
      <w:r>
        <w:rPr>
          <w:rFonts w:hint="eastAsia" w:ascii="宋体" w:hAnsi="宋体" w:eastAsia="宋体"/>
          <w:sz w:val="24"/>
        </w:rPr>
        <w:t>包括4间智慧法庭的建设，分别涉及庭审主机、庭审公告主机、庭审摄像机、音响系统等。</w:t>
      </w:r>
      <w:bookmarkStart w:id="35" w:name="_Toc12259"/>
    </w:p>
    <w:p w14:paraId="2653EBAC">
      <w:pPr>
        <w:pStyle w:val="19"/>
        <w:spacing w:line="288" w:lineRule="auto"/>
        <w:ind w:firstLine="0" w:firstLineChars="0"/>
        <w:rPr>
          <w:rFonts w:hint="eastAsia" w:ascii="宋体" w:hAnsi="宋体" w:eastAsia="宋体"/>
          <w:sz w:val="24"/>
        </w:rPr>
      </w:pPr>
      <w:r>
        <w:rPr>
          <w:rFonts w:hint="eastAsia" w:ascii="宋体" w:hAnsi="宋体" w:eastAsia="宋体"/>
          <w:sz w:val="24"/>
        </w:rPr>
        <w:t>1.4建设周期</w:t>
      </w:r>
      <w:bookmarkEnd w:id="30"/>
      <w:r>
        <w:rPr>
          <w:rFonts w:hint="eastAsia" w:ascii="宋体" w:hAnsi="宋体" w:eastAsia="宋体"/>
          <w:sz w:val="24"/>
        </w:rPr>
        <w:t>与地点</w:t>
      </w:r>
      <w:bookmarkEnd w:id="31"/>
      <w:bookmarkEnd w:id="32"/>
      <w:bookmarkEnd w:id="35"/>
    </w:p>
    <w:p w14:paraId="7C84E4CC">
      <w:pPr>
        <w:pStyle w:val="19"/>
        <w:spacing w:line="288" w:lineRule="auto"/>
        <w:ind w:firstLine="480"/>
        <w:rPr>
          <w:rFonts w:hint="eastAsia" w:ascii="宋体" w:hAnsi="宋体" w:eastAsia="宋体"/>
          <w:sz w:val="24"/>
        </w:rPr>
      </w:pPr>
      <w:r>
        <w:rPr>
          <w:rFonts w:hint="eastAsia" w:ascii="宋体" w:hAnsi="宋体" w:eastAsia="宋体"/>
          <w:sz w:val="24"/>
        </w:rPr>
        <w:t>本项目建设周期为7个月，建设地点为琼海市人民法院。</w:t>
      </w:r>
    </w:p>
    <w:p w14:paraId="114A529C">
      <w:pPr>
        <w:pStyle w:val="2"/>
        <w:spacing w:line="288" w:lineRule="auto"/>
        <w:ind w:firstLine="0" w:firstLineChars="0"/>
        <w:rPr>
          <w:rFonts w:hint="eastAsia" w:ascii="宋体" w:hAnsi="宋体" w:eastAsia="宋体" w:cs="宋体"/>
          <w:b/>
          <w:bCs/>
          <w:sz w:val="24"/>
        </w:rPr>
      </w:pPr>
      <w:r>
        <w:rPr>
          <w:rFonts w:hint="eastAsia" w:ascii="宋体" w:hAnsi="宋体" w:eastAsia="宋体" w:cs="宋体"/>
          <w:b/>
          <w:bCs/>
          <w:sz w:val="24"/>
        </w:rPr>
        <w:t>2现状分析</w:t>
      </w:r>
      <w:bookmarkStart w:id="36" w:name="_Toc85443497"/>
      <w:bookmarkStart w:id="37" w:name="_Toc28395"/>
    </w:p>
    <w:p w14:paraId="6B4FDEBF">
      <w:pPr>
        <w:pStyle w:val="2"/>
        <w:spacing w:line="288" w:lineRule="auto"/>
        <w:ind w:firstLine="0" w:firstLineChars="0"/>
        <w:rPr>
          <w:rFonts w:hint="eastAsia" w:ascii="宋体" w:hAnsi="宋体" w:eastAsia="宋体" w:cs="宋体"/>
          <w:sz w:val="24"/>
        </w:rPr>
      </w:pPr>
      <w:r>
        <w:rPr>
          <w:rFonts w:hint="eastAsia" w:ascii="宋体" w:hAnsi="宋体" w:eastAsia="宋体" w:cs="宋体"/>
          <w:sz w:val="24"/>
        </w:rPr>
        <w:t>2.1业务和可用业务资源现状分析</w:t>
      </w:r>
      <w:bookmarkEnd w:id="36"/>
      <w:bookmarkEnd w:id="37"/>
      <w:bookmarkStart w:id="38" w:name="_Toc493702771"/>
      <w:bookmarkStart w:id="39" w:name="_Toc85443498"/>
      <w:bookmarkStart w:id="40" w:name="_Toc31631"/>
      <w:bookmarkStart w:id="41" w:name="_Toc332971285"/>
    </w:p>
    <w:p w14:paraId="72212870">
      <w:pPr>
        <w:pStyle w:val="2"/>
        <w:spacing w:line="288" w:lineRule="auto"/>
        <w:ind w:firstLine="0" w:firstLineChars="0"/>
        <w:rPr>
          <w:rFonts w:hint="eastAsia" w:ascii="宋体" w:hAnsi="宋体" w:eastAsia="宋体" w:cs="宋体"/>
          <w:sz w:val="24"/>
        </w:rPr>
      </w:pPr>
      <w:r>
        <w:rPr>
          <w:rFonts w:hint="eastAsia" w:ascii="宋体" w:hAnsi="宋体" w:eastAsia="宋体" w:cs="宋体"/>
          <w:sz w:val="24"/>
        </w:rPr>
        <w:t>2.1.1业务现状</w:t>
      </w:r>
      <w:bookmarkEnd w:id="38"/>
      <w:r>
        <w:rPr>
          <w:rFonts w:hint="eastAsia" w:ascii="宋体" w:hAnsi="宋体" w:eastAsia="宋体" w:cs="宋体"/>
          <w:sz w:val="24"/>
        </w:rPr>
        <w:t>分析</w:t>
      </w:r>
      <w:bookmarkEnd w:id="39"/>
      <w:bookmarkEnd w:id="40"/>
    </w:p>
    <w:p w14:paraId="7D1955FB">
      <w:pPr>
        <w:pStyle w:val="19"/>
        <w:spacing w:line="288" w:lineRule="auto"/>
        <w:ind w:firstLine="480"/>
        <w:rPr>
          <w:rFonts w:hint="eastAsia" w:ascii="宋体" w:hAnsi="宋体" w:eastAsia="宋体"/>
          <w:sz w:val="24"/>
        </w:rPr>
      </w:pPr>
      <w:r>
        <w:rPr>
          <w:rFonts w:hint="eastAsia" w:ascii="宋体" w:hAnsi="宋体" w:eastAsia="宋体"/>
          <w:sz w:val="24"/>
        </w:rPr>
        <w:t>法院作为国家的审判机关，肩负国家法律、案件审判重任，在维护国家法律公正、社会稳定、保障人民和财产安全与经济繁荣稳定发挥着重要作用。为此，人民法院系统在公正与效率的新时期主题下，不断加强技术实力，进行信息和网络现代化建设，为执法工作的正常高速运转等提供了良好的技术保障。</w:t>
      </w:r>
    </w:p>
    <w:p w14:paraId="500483C8">
      <w:pPr>
        <w:pStyle w:val="19"/>
        <w:spacing w:line="288" w:lineRule="auto"/>
        <w:ind w:firstLine="480"/>
        <w:rPr>
          <w:rFonts w:hint="eastAsia" w:ascii="宋体" w:hAnsi="宋体" w:eastAsia="宋体"/>
          <w:sz w:val="24"/>
        </w:rPr>
      </w:pPr>
      <w:r>
        <w:rPr>
          <w:rFonts w:hint="eastAsia" w:ascii="宋体" w:hAnsi="宋体" w:eastAsia="宋体"/>
          <w:sz w:val="24"/>
        </w:rPr>
        <w:t>琼海法院在市委的领导、市人大及其常委会的监督和市政府、市政协及社会各界的关心支持下，在上级法院的指导下，紧紧围绕“努力让人民群众在每一个司法案件中感受到公平正义”的工作目标，聚焦司法为民、公正司法，以海南自由贸易港建设中产生的法治问题和司法需求为导向，忠实履行宪法所赋予的职责，推动各项工作取得新的进展，全力推进海南自贸港建设提供有力司法服务和保障。</w:t>
      </w:r>
    </w:p>
    <w:p w14:paraId="58406466">
      <w:pPr>
        <w:pStyle w:val="19"/>
        <w:spacing w:line="288" w:lineRule="auto"/>
        <w:ind w:firstLine="480"/>
        <w:rPr>
          <w:rFonts w:hint="eastAsia" w:ascii="宋体" w:hAnsi="宋体" w:eastAsia="宋体"/>
          <w:sz w:val="24"/>
        </w:rPr>
      </w:pPr>
      <w:r>
        <w:rPr>
          <w:rFonts w:hint="eastAsia" w:ascii="宋体" w:hAnsi="宋体" w:eastAsia="宋体"/>
          <w:sz w:val="24"/>
        </w:rPr>
        <w:t>法院原有审判大楼已接入法院专网和互联网，可以访问本地业务应用系统及由省高院统建的相关业务平台，其中本地业务系统包括科技法庭庭审系统、互联网庭审直播系统及办公OA系统等，省高院统建系统包括执行管理系统、IT运维综合管理系统、绩效考核系统等，上述系统均为核心业务系统，无停用或报废情况。但新建的两栋大楼未接入法院专网和互联网，未配备相关配套设施，无法开展相关业务。</w:t>
      </w:r>
    </w:p>
    <w:p w14:paraId="3958879A">
      <w:pPr>
        <w:pStyle w:val="9"/>
        <w:numPr>
          <w:ilvl w:val="2"/>
          <w:numId w:val="0"/>
        </w:numPr>
        <w:tabs>
          <w:tab w:val="left" w:pos="560"/>
        </w:tabs>
        <w:spacing w:line="288" w:lineRule="auto"/>
        <w:rPr>
          <w:rFonts w:hint="eastAsia" w:ascii="宋体" w:hAnsi="宋体" w:eastAsia="宋体" w:cs="宋体"/>
          <w:sz w:val="24"/>
        </w:rPr>
      </w:pPr>
      <w:bookmarkStart w:id="42" w:name="_Toc85443499"/>
      <w:bookmarkStart w:id="43" w:name="_Toc28926"/>
      <w:bookmarkStart w:id="44" w:name="_Toc493702772"/>
      <w:bookmarkStart w:id="45" w:name="_Toc85443500"/>
      <w:r>
        <w:rPr>
          <w:rFonts w:hint="eastAsia" w:ascii="宋体" w:hAnsi="宋体" w:eastAsia="宋体" w:cs="宋体"/>
          <w:sz w:val="24"/>
        </w:rPr>
        <w:t>2.1.2可用业务资源现状分析</w:t>
      </w:r>
      <w:bookmarkEnd w:id="42"/>
      <w:bookmarkEnd w:id="43"/>
    </w:p>
    <w:p w14:paraId="14570407">
      <w:pPr>
        <w:pStyle w:val="19"/>
        <w:spacing w:line="288" w:lineRule="auto"/>
        <w:ind w:firstLine="480"/>
        <w:rPr>
          <w:rFonts w:hint="eastAsia" w:ascii="宋体" w:hAnsi="宋体" w:eastAsia="宋体"/>
          <w:sz w:val="24"/>
        </w:rPr>
      </w:pPr>
      <w:r>
        <w:rPr>
          <w:rFonts w:hint="eastAsia" w:ascii="宋体" w:hAnsi="宋体" w:eastAsia="宋体"/>
          <w:sz w:val="24"/>
        </w:rPr>
        <w:t>法院本地可用业务资源主要包括科技法庭庭审系统、互联网庭审直播系统及办公OA系统等产生的数据和系统业务资源，省高院可用业务资源主要包括执行管理系统、IT运维综合管理系统、绩效考核系统等系统各业务资源。</w:t>
      </w:r>
      <w:bookmarkStart w:id="46" w:name="_Toc29324"/>
    </w:p>
    <w:p w14:paraId="6942354A">
      <w:pPr>
        <w:pStyle w:val="19"/>
        <w:spacing w:line="288" w:lineRule="auto"/>
        <w:ind w:firstLine="0" w:firstLineChars="0"/>
        <w:rPr>
          <w:rFonts w:hint="eastAsia" w:ascii="宋体" w:hAnsi="宋体" w:eastAsia="宋体"/>
          <w:sz w:val="24"/>
        </w:rPr>
      </w:pPr>
      <w:r>
        <w:rPr>
          <w:rFonts w:hint="eastAsia" w:ascii="宋体" w:hAnsi="宋体" w:eastAsia="宋体"/>
          <w:sz w:val="24"/>
        </w:rPr>
        <w:t>2.1.3业务应用系统现状分析</w:t>
      </w:r>
      <w:bookmarkEnd w:id="44"/>
      <w:bookmarkEnd w:id="45"/>
      <w:bookmarkEnd w:id="46"/>
    </w:p>
    <w:p w14:paraId="2C03534B">
      <w:pPr>
        <w:pStyle w:val="19"/>
        <w:spacing w:line="288" w:lineRule="auto"/>
        <w:ind w:firstLine="480"/>
        <w:rPr>
          <w:rFonts w:hint="eastAsia" w:ascii="宋体" w:hAnsi="宋体" w:eastAsia="宋体"/>
          <w:sz w:val="24"/>
        </w:rPr>
      </w:pPr>
      <w:r>
        <w:rPr>
          <w:rFonts w:hint="eastAsia" w:ascii="宋体" w:hAnsi="宋体" w:eastAsia="宋体"/>
          <w:sz w:val="24"/>
        </w:rPr>
        <w:t>业务应用系统是法院的核心系统，主要负责法院庭审业务的支撑，琼海市人民法院现有应用系统现状如下：</w:t>
      </w:r>
      <w:bookmarkStart w:id="47" w:name="_Toc80193726"/>
      <w:bookmarkStart w:id="48" w:name="_Toc27777"/>
    </w:p>
    <w:p w14:paraId="169F1DF2">
      <w:pPr>
        <w:pStyle w:val="19"/>
        <w:spacing w:line="288" w:lineRule="auto"/>
        <w:ind w:firstLine="0" w:firstLineChars="0"/>
        <w:rPr>
          <w:rFonts w:hint="eastAsia" w:ascii="宋体" w:hAnsi="宋体" w:eastAsia="宋体"/>
          <w:sz w:val="24"/>
        </w:rPr>
      </w:pPr>
      <w:r>
        <w:rPr>
          <w:rFonts w:hint="eastAsia" w:ascii="宋体" w:hAnsi="宋体" w:eastAsia="宋体"/>
          <w:sz w:val="24"/>
        </w:rPr>
        <w:t>2.1.4智慧审判系统</w:t>
      </w:r>
      <w:bookmarkEnd w:id="47"/>
      <w:bookmarkEnd w:id="48"/>
    </w:p>
    <w:p w14:paraId="714C7B24">
      <w:pPr>
        <w:pStyle w:val="19"/>
        <w:spacing w:line="288" w:lineRule="auto"/>
        <w:ind w:firstLine="480"/>
        <w:rPr>
          <w:rFonts w:hint="eastAsia" w:ascii="宋体" w:hAnsi="宋体" w:eastAsia="宋体"/>
          <w:sz w:val="24"/>
        </w:rPr>
      </w:pPr>
      <w:r>
        <w:rPr>
          <w:rFonts w:hint="eastAsia" w:ascii="宋体" w:hAnsi="宋体" w:eastAsia="宋体"/>
          <w:sz w:val="24"/>
        </w:rPr>
        <w:t>用于审判业务的开展。审判系统用于案件立案、审理、结案、归档的各个阶段。审判系统的应用，加快法院办案信息化进程，确保加强各类案件审判案件的审限监督管理，提高办案效率，实现案件的线上溯源，案件数据的快速统计。2020年5月1日新版智慧审判系统正式上线。网络环境：法院办公专网。该系统目前正常使用，服务器部署在高院，由华宇公司统一运维。</w:t>
      </w:r>
      <w:bookmarkStart w:id="49" w:name="_Toc80193727"/>
      <w:bookmarkStart w:id="50" w:name="_Toc22070"/>
    </w:p>
    <w:p w14:paraId="1E1D170E">
      <w:pPr>
        <w:pStyle w:val="19"/>
        <w:spacing w:line="288" w:lineRule="auto"/>
        <w:ind w:firstLine="0" w:firstLineChars="0"/>
        <w:rPr>
          <w:rFonts w:hint="eastAsia" w:ascii="宋体" w:hAnsi="宋体" w:eastAsia="宋体"/>
          <w:sz w:val="24"/>
        </w:rPr>
      </w:pPr>
      <w:r>
        <w:rPr>
          <w:rFonts w:hint="eastAsia" w:ascii="宋体" w:hAnsi="宋体" w:eastAsia="宋体"/>
          <w:sz w:val="24"/>
        </w:rPr>
        <w:t>2.1.5智慧执行系统</w:t>
      </w:r>
      <w:bookmarkEnd w:id="49"/>
      <w:bookmarkEnd w:id="50"/>
    </w:p>
    <w:p w14:paraId="5D0A3B0B">
      <w:pPr>
        <w:pStyle w:val="19"/>
        <w:spacing w:line="288" w:lineRule="auto"/>
        <w:ind w:firstLine="480"/>
        <w:rPr>
          <w:rFonts w:hint="eastAsia" w:ascii="宋体" w:hAnsi="宋体" w:eastAsia="宋体"/>
          <w:sz w:val="24"/>
        </w:rPr>
      </w:pPr>
      <w:r>
        <w:rPr>
          <w:rFonts w:hint="eastAsia" w:ascii="宋体" w:hAnsi="宋体" w:eastAsia="宋体"/>
          <w:sz w:val="24"/>
        </w:rPr>
        <w:t>用于执行案件信息的在线操作。应用于案件执行过程中的账户冻结、划款、评估拍卖等各个环节。通过借力网络、利用大数据，开始迈入互联网+法院的执行新时代，让数据代替法官跑路，避免人工一趟趟往银行、房管局跑。2015年7月执行系统正式上线，网络环境：法院办公专网。该系统正在正常使用，该系统目前正常使用，服务器部署在高院，由通达海公司统一运维。</w:t>
      </w:r>
      <w:bookmarkStart w:id="51" w:name="_Toc80193728"/>
      <w:bookmarkStart w:id="52" w:name="_Toc22535"/>
    </w:p>
    <w:p w14:paraId="6C87EF5B">
      <w:pPr>
        <w:pStyle w:val="19"/>
        <w:spacing w:line="288" w:lineRule="auto"/>
        <w:ind w:firstLine="0" w:firstLineChars="0"/>
        <w:rPr>
          <w:rFonts w:hint="eastAsia" w:ascii="宋体" w:hAnsi="宋体" w:eastAsia="宋体"/>
          <w:sz w:val="24"/>
        </w:rPr>
      </w:pPr>
      <w:r>
        <w:rPr>
          <w:rFonts w:hint="eastAsia" w:ascii="宋体" w:hAnsi="宋体" w:eastAsia="宋体"/>
          <w:sz w:val="24"/>
        </w:rPr>
        <w:t>2.1.6代管款系统</w:t>
      </w:r>
      <w:bookmarkEnd w:id="51"/>
      <w:bookmarkEnd w:id="52"/>
    </w:p>
    <w:p w14:paraId="35F67882">
      <w:pPr>
        <w:pStyle w:val="19"/>
        <w:spacing w:line="288" w:lineRule="auto"/>
        <w:ind w:firstLine="480"/>
        <w:rPr>
          <w:rFonts w:hint="eastAsia" w:ascii="宋体" w:hAnsi="宋体" w:eastAsia="宋体"/>
          <w:sz w:val="24"/>
        </w:rPr>
      </w:pPr>
      <w:r>
        <w:rPr>
          <w:rFonts w:hint="eastAsia" w:ascii="宋体" w:hAnsi="宋体" w:eastAsia="宋体"/>
          <w:sz w:val="24"/>
        </w:rPr>
        <w:t>用于执行案款管理。随着案件量增长，法院各类案件的执行案款、赔偿款、拍卖保证金、拍卖款等代管款项业务逐年增多，传统的代管款管理模式已无法满足新时期人民法院业务增长的需求，管理方法的滞后，使得传统代管款管理存在代管款信息不全导致“案”“款”分离；代管款管理系统以“一案一人一户”大集中部署的全新模式，通过分步建设，实现全省三级法院代管款管理工作的统一规划、统一建设、统一管理。网络环境：法院办公专网。自2016年11月1日起全省法院代管款管理系统开始运行。</w:t>
      </w:r>
      <w:bookmarkStart w:id="53" w:name="_Toc80193729"/>
      <w:bookmarkStart w:id="54" w:name="_Toc1207"/>
    </w:p>
    <w:p w14:paraId="4B79F635">
      <w:pPr>
        <w:pStyle w:val="19"/>
        <w:spacing w:line="288" w:lineRule="auto"/>
        <w:ind w:firstLine="0" w:firstLineChars="0"/>
        <w:rPr>
          <w:rFonts w:hint="eastAsia" w:ascii="宋体" w:hAnsi="宋体" w:eastAsia="宋体"/>
          <w:sz w:val="24"/>
        </w:rPr>
      </w:pPr>
      <w:r>
        <w:rPr>
          <w:rFonts w:hint="eastAsia" w:ascii="宋体" w:hAnsi="宋体" w:eastAsia="宋体"/>
          <w:sz w:val="24"/>
        </w:rPr>
        <w:t>2.1.7互联网庭审视频平台</w:t>
      </w:r>
      <w:bookmarkEnd w:id="53"/>
      <w:bookmarkEnd w:id="54"/>
    </w:p>
    <w:p w14:paraId="20E72712">
      <w:pPr>
        <w:pStyle w:val="19"/>
        <w:spacing w:line="288" w:lineRule="auto"/>
        <w:ind w:firstLine="480"/>
        <w:rPr>
          <w:rFonts w:hint="eastAsia" w:ascii="宋体" w:hAnsi="宋体" w:eastAsia="宋体"/>
          <w:sz w:val="24"/>
        </w:rPr>
      </w:pPr>
      <w:r>
        <w:rPr>
          <w:rFonts w:hint="eastAsia" w:ascii="宋体" w:hAnsi="宋体" w:eastAsia="宋体"/>
          <w:sz w:val="24"/>
        </w:rPr>
        <w:t>用于庭审网上直播。庭审公开是最高院要求的四大公开平台的其中之一，法官在庭审过程中，除了法定不能公开的庭审过程外，无特殊理由，必须将庭审过程网上直播，司法的公开能够促进公正。程序公正是保证实体公正的基础。 将庭审过程采用网络形式公开，置于群众的监督下，有利于审判的公平公正。网络环境：互联网。自2018年3月1日，互联网庭审视频平台开始运行。</w:t>
      </w:r>
      <w:bookmarkStart w:id="55" w:name="_Toc23407"/>
      <w:bookmarkStart w:id="56" w:name="_Toc80193730"/>
    </w:p>
    <w:p w14:paraId="5ED2B2E1">
      <w:pPr>
        <w:pStyle w:val="19"/>
        <w:spacing w:line="288" w:lineRule="auto"/>
        <w:ind w:firstLine="0" w:firstLineChars="0"/>
        <w:rPr>
          <w:rFonts w:hint="eastAsia" w:ascii="宋体" w:hAnsi="宋体" w:eastAsia="宋体"/>
          <w:sz w:val="24"/>
        </w:rPr>
      </w:pPr>
      <w:r>
        <w:rPr>
          <w:rFonts w:hint="eastAsia" w:ascii="宋体" w:hAnsi="宋体" w:eastAsia="宋体"/>
          <w:sz w:val="24"/>
        </w:rPr>
        <w:t>2.1.8电子阅卷系统</w:t>
      </w:r>
      <w:bookmarkEnd w:id="55"/>
      <w:bookmarkEnd w:id="56"/>
    </w:p>
    <w:p w14:paraId="54255DAB">
      <w:pPr>
        <w:pStyle w:val="19"/>
        <w:spacing w:line="288" w:lineRule="auto"/>
        <w:ind w:firstLine="480"/>
        <w:rPr>
          <w:rFonts w:hint="eastAsia" w:ascii="宋体" w:hAnsi="宋体" w:eastAsia="宋体"/>
          <w:sz w:val="24"/>
        </w:rPr>
      </w:pPr>
      <w:r>
        <w:rPr>
          <w:rFonts w:hint="eastAsia" w:ascii="宋体" w:hAnsi="宋体" w:eastAsia="宋体"/>
          <w:sz w:val="24"/>
        </w:rPr>
        <w:t>用于琼海法院归档卷宗的查看、借阅登记等电子档案管理。通过电子阅卷系统，避免纸质卷宗的重复借阅，在一定程度上延长卷宗保存年限。网络环境：法院办公专网。2015年7月12日电子阅卷系统上线使用。</w:t>
      </w:r>
    </w:p>
    <w:p w14:paraId="38875398">
      <w:pPr>
        <w:rPr>
          <w:rFonts w:hint="eastAsia" w:ascii="宋体" w:hAnsi="宋体" w:eastAsia="宋体" w:cs="宋体"/>
          <w:sz w:val="24"/>
        </w:rPr>
      </w:pPr>
      <w:bookmarkStart w:id="57" w:name="_Toc493702773"/>
      <w:bookmarkStart w:id="58" w:name="_Toc85443501"/>
      <w:bookmarkStart w:id="59" w:name="_Toc10081"/>
      <w:r>
        <w:rPr>
          <w:rFonts w:hint="eastAsia" w:ascii="宋体" w:hAnsi="宋体" w:eastAsia="宋体" w:cs="宋体"/>
          <w:sz w:val="24"/>
        </w:rPr>
        <w:t>2.1.9信息化基础设施和能力现状</w:t>
      </w:r>
      <w:bookmarkEnd w:id="57"/>
      <w:r>
        <w:rPr>
          <w:rFonts w:hint="eastAsia" w:ascii="宋体" w:hAnsi="宋体" w:eastAsia="宋体" w:cs="宋体"/>
          <w:sz w:val="24"/>
        </w:rPr>
        <w:t>分析</w:t>
      </w:r>
      <w:bookmarkEnd w:id="58"/>
      <w:bookmarkEnd w:id="59"/>
      <w:bookmarkStart w:id="60" w:name="_Toc24554"/>
      <w:bookmarkStart w:id="61" w:name="_Toc85443502"/>
    </w:p>
    <w:p w14:paraId="3A9ECC54">
      <w:pPr>
        <w:ind w:firstLine="480" w:firstLineChars="200"/>
        <w:rPr>
          <w:rFonts w:hint="eastAsia" w:ascii="宋体" w:hAnsi="宋体" w:eastAsia="宋体" w:cs="宋体"/>
          <w:sz w:val="24"/>
        </w:rPr>
      </w:pPr>
      <w:r>
        <w:rPr>
          <w:rFonts w:hint="eastAsia" w:ascii="宋体" w:hAnsi="宋体" w:eastAsia="宋体" w:cs="宋体"/>
          <w:sz w:val="24"/>
        </w:rPr>
        <w:t>机房现状</w:t>
      </w:r>
      <w:bookmarkEnd w:id="60"/>
      <w:bookmarkEnd w:id="61"/>
    </w:p>
    <w:p w14:paraId="791191BF">
      <w:pPr>
        <w:pStyle w:val="19"/>
        <w:spacing w:line="288" w:lineRule="auto"/>
        <w:ind w:firstLine="480"/>
        <w:rPr>
          <w:rFonts w:hint="eastAsia" w:ascii="宋体" w:hAnsi="宋体" w:eastAsia="宋体"/>
          <w:sz w:val="24"/>
        </w:rPr>
      </w:pPr>
      <w:r>
        <w:rPr>
          <w:rFonts w:hint="eastAsia" w:ascii="宋体" w:hAnsi="宋体" w:eastAsia="宋体"/>
          <w:sz w:val="24"/>
        </w:rPr>
        <w:t>原机房现状：</w:t>
      </w:r>
    </w:p>
    <w:p w14:paraId="3211476C">
      <w:pPr>
        <w:pStyle w:val="19"/>
        <w:spacing w:line="288" w:lineRule="auto"/>
        <w:ind w:firstLine="480"/>
        <w:rPr>
          <w:rFonts w:hint="eastAsia" w:ascii="宋体" w:hAnsi="宋体" w:eastAsia="宋体"/>
          <w:sz w:val="24"/>
        </w:rPr>
      </w:pPr>
      <w:r>
        <w:rPr>
          <w:rFonts w:hint="eastAsia" w:ascii="宋体" w:hAnsi="宋体" w:eastAsia="宋体"/>
          <w:sz w:val="24"/>
        </w:rPr>
        <w:t>琼海市人民法院原有机房位于审判大楼六楼，建筑面积约25平方米，具有防震、防风和防雨等能力。机房内部署了专人值守的视频监控系统，且视频监控系统正常运行、画面清晰。防雷击方面，机房内机柜、设施和设备均已采取接地措施。机房内配备机柜5个（设备机柜3个、网络机柜2个），且各机柜空间接近饱和，无法容纳更多设备。机房采用市电+UPS双路供电方式，UPS供电设备主要由一台山特3K的UPS不间断电源、32节后备UPS电池构成。机房内消防灭火系统采用七氟丙烷气体灭火装置。机房内配有独立的单冷3P壁挂式空调。</w:t>
      </w:r>
    </w:p>
    <w:p w14:paraId="5BEDB799">
      <w:pPr>
        <w:pStyle w:val="19"/>
        <w:spacing w:line="288" w:lineRule="auto"/>
        <w:ind w:firstLine="480"/>
        <w:rPr>
          <w:rFonts w:hint="eastAsia" w:ascii="宋体" w:hAnsi="宋体" w:eastAsia="宋体"/>
          <w:sz w:val="24"/>
        </w:rPr>
      </w:pPr>
      <w:r>
        <w:rPr>
          <w:rFonts w:hint="eastAsia" w:ascii="宋体" w:hAnsi="宋体" w:eastAsia="宋体"/>
          <w:sz w:val="24"/>
        </w:rPr>
        <w:t>新机房现状：</w:t>
      </w:r>
    </w:p>
    <w:p w14:paraId="49A95FB8">
      <w:pPr>
        <w:pStyle w:val="19"/>
        <w:spacing w:line="288" w:lineRule="auto"/>
        <w:ind w:firstLine="480"/>
        <w:rPr>
          <w:rFonts w:hint="eastAsia" w:ascii="宋体" w:hAnsi="宋体" w:eastAsia="宋体"/>
          <w:sz w:val="24"/>
        </w:rPr>
      </w:pPr>
      <w:r>
        <w:rPr>
          <w:rFonts w:hint="eastAsia" w:ascii="宋体" w:hAnsi="宋体" w:eastAsia="宋体"/>
          <w:sz w:val="24"/>
        </w:rPr>
        <w:t>但目前新建的两栋大楼楼层弱电井未部署网络设备机柜，无法部署楼层网络设备，不能满足各个楼层的网络汇聚和网络互通；2号楼三楼新建的信息机房长约6米，宽约6米，面积约36平方米，层高约3.6米，目前只有基础建筑，机房活荷载设计标准值为7.0KN/m²，参照《数据中心设计规范》（GB50174-2017）C级机房要求，满足机房承重要求，还缺少装修工程、消防工程、空调系统、供配电工程、防雷接地系统、机房布线工程等。</w:t>
      </w:r>
      <w:bookmarkStart w:id="62" w:name="_Toc85443503"/>
      <w:bookmarkStart w:id="63" w:name="_Toc31526"/>
    </w:p>
    <w:p w14:paraId="01C9E858">
      <w:pPr>
        <w:pStyle w:val="19"/>
        <w:spacing w:line="288" w:lineRule="auto"/>
        <w:ind w:firstLine="0" w:firstLineChars="0"/>
        <w:rPr>
          <w:rFonts w:hint="eastAsia" w:ascii="宋体" w:hAnsi="宋体" w:eastAsia="宋体"/>
          <w:sz w:val="24"/>
        </w:rPr>
      </w:pPr>
      <w:r>
        <w:rPr>
          <w:rFonts w:hint="eastAsia" w:ascii="宋体" w:hAnsi="宋体" w:eastAsia="宋体"/>
          <w:sz w:val="24"/>
        </w:rPr>
        <w:t>2.1.10服务器现状</w:t>
      </w:r>
      <w:bookmarkEnd w:id="62"/>
      <w:bookmarkEnd w:id="63"/>
    </w:p>
    <w:p w14:paraId="39E32AEC">
      <w:pPr>
        <w:pStyle w:val="19"/>
        <w:spacing w:line="288" w:lineRule="auto"/>
        <w:ind w:firstLine="480"/>
        <w:rPr>
          <w:rFonts w:hint="eastAsia" w:ascii="宋体" w:hAnsi="宋体" w:eastAsia="宋体"/>
          <w:sz w:val="24"/>
        </w:rPr>
      </w:pPr>
      <w:r>
        <w:rPr>
          <w:rFonts w:hint="eastAsia" w:ascii="宋体" w:hAnsi="宋体" w:eastAsia="宋体"/>
          <w:sz w:val="24"/>
        </w:rPr>
        <w:t>目前法院共有4台服务器，包括1台科技法庭服务器、1台内网安全管理系统服务器、1台门禁系统服务器和1台终端杀毒系统服务器。</w:t>
      </w:r>
      <w:bookmarkStart w:id="64" w:name="_Toc85443504"/>
      <w:bookmarkStart w:id="65" w:name="_Toc19741"/>
    </w:p>
    <w:p w14:paraId="5AF266FE">
      <w:pPr>
        <w:pStyle w:val="19"/>
        <w:spacing w:line="288" w:lineRule="auto"/>
        <w:ind w:firstLine="0" w:firstLineChars="0"/>
        <w:rPr>
          <w:rFonts w:hint="eastAsia" w:ascii="宋体" w:hAnsi="宋体" w:eastAsia="宋体"/>
          <w:sz w:val="24"/>
        </w:rPr>
      </w:pPr>
      <w:r>
        <w:rPr>
          <w:rFonts w:hint="eastAsia" w:ascii="宋体" w:hAnsi="宋体" w:eastAsia="宋体"/>
          <w:sz w:val="24"/>
        </w:rPr>
        <w:t>2.1.11存储备份现状</w:t>
      </w:r>
      <w:bookmarkEnd w:id="64"/>
      <w:bookmarkEnd w:id="65"/>
    </w:p>
    <w:p w14:paraId="20660527">
      <w:pPr>
        <w:pStyle w:val="19"/>
        <w:spacing w:line="288" w:lineRule="auto"/>
        <w:ind w:firstLine="480"/>
        <w:rPr>
          <w:rFonts w:hint="eastAsia" w:ascii="宋体" w:hAnsi="宋体" w:eastAsia="宋体"/>
          <w:sz w:val="24"/>
        </w:rPr>
      </w:pPr>
      <w:r>
        <w:rPr>
          <w:rFonts w:hint="eastAsia" w:ascii="宋体" w:hAnsi="宋体" w:eastAsia="宋体"/>
          <w:sz w:val="24"/>
        </w:rPr>
        <w:t>目前法院共有1台存储设备，用于日常业务的存储。</w:t>
      </w:r>
      <w:bookmarkStart w:id="66" w:name="_Toc85443505"/>
      <w:bookmarkStart w:id="67" w:name="_Toc21926"/>
    </w:p>
    <w:p w14:paraId="04E06BB5">
      <w:pPr>
        <w:pStyle w:val="19"/>
        <w:spacing w:line="288" w:lineRule="auto"/>
        <w:ind w:firstLine="0" w:firstLineChars="0"/>
        <w:rPr>
          <w:rFonts w:hint="eastAsia" w:ascii="宋体" w:hAnsi="宋体" w:eastAsia="宋体"/>
          <w:sz w:val="24"/>
        </w:rPr>
      </w:pPr>
      <w:r>
        <w:rPr>
          <w:rFonts w:hint="eastAsia" w:ascii="宋体" w:hAnsi="宋体" w:eastAsia="宋体"/>
          <w:sz w:val="24"/>
        </w:rPr>
        <w:t>2.1.12系统及工具软件现状</w:t>
      </w:r>
      <w:bookmarkEnd w:id="66"/>
      <w:bookmarkEnd w:id="67"/>
    </w:p>
    <w:p w14:paraId="3090BD9F">
      <w:pPr>
        <w:pStyle w:val="19"/>
        <w:spacing w:line="288" w:lineRule="auto"/>
        <w:ind w:firstLine="480"/>
        <w:rPr>
          <w:rFonts w:hint="eastAsia" w:ascii="宋体" w:hAnsi="宋体" w:eastAsia="宋体"/>
          <w:sz w:val="24"/>
        </w:rPr>
      </w:pPr>
      <w:r>
        <w:rPr>
          <w:rFonts w:hint="eastAsia" w:ascii="宋体" w:hAnsi="宋体" w:eastAsia="宋体"/>
          <w:sz w:val="24"/>
        </w:rPr>
        <w:t>系统及工具软件现状如下表：</w:t>
      </w:r>
    </w:p>
    <w:p w14:paraId="3BC73F73">
      <w:pPr>
        <w:pStyle w:val="13"/>
        <w:spacing w:line="288" w:lineRule="auto"/>
        <w:rPr>
          <w:rFonts w:hint="eastAsia" w:ascii="宋体" w:hAnsi="宋体" w:eastAsia="宋体" w:cs="宋体"/>
          <w:sz w:val="24"/>
        </w:rPr>
      </w:pPr>
      <w:r>
        <w:rPr>
          <w:rFonts w:hint="eastAsia" w:ascii="宋体" w:hAnsi="宋体" w:eastAsia="宋体" w:cs="宋体"/>
          <w:sz w:val="24"/>
        </w:rPr>
        <w:t>系统及工具软件现状表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2225"/>
        <w:gridCol w:w="1354"/>
        <w:gridCol w:w="2236"/>
        <w:gridCol w:w="1351"/>
      </w:tblGrid>
      <w:tr w14:paraId="0CE4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94" w:type="pct"/>
            <w:shd w:val="clear" w:color="auto" w:fill="auto"/>
            <w:vAlign w:val="center"/>
          </w:tcPr>
          <w:p w14:paraId="65D9EB94">
            <w:pPr>
              <w:widowControl/>
              <w:spacing w:line="288" w:lineRule="auto"/>
              <w:jc w:val="center"/>
              <w:rPr>
                <w:rFonts w:hint="eastAsia" w:ascii="宋体" w:hAnsi="宋体" w:eastAsia="宋体" w:cs="宋体"/>
                <w:b/>
                <w:bCs/>
                <w:kern w:val="0"/>
                <w:sz w:val="24"/>
              </w:rPr>
            </w:pPr>
            <w:bookmarkStart w:id="68" w:name="_Toc85443506"/>
            <w:r>
              <w:rPr>
                <w:rFonts w:hint="eastAsia" w:ascii="宋体" w:hAnsi="宋体" w:eastAsia="宋体" w:cs="宋体"/>
                <w:b/>
                <w:bCs/>
                <w:kern w:val="0"/>
                <w:sz w:val="24"/>
              </w:rPr>
              <w:t>序号</w:t>
            </w:r>
          </w:p>
        </w:tc>
        <w:tc>
          <w:tcPr>
            <w:tcW w:w="1305" w:type="pct"/>
            <w:shd w:val="clear" w:color="auto" w:fill="auto"/>
            <w:vAlign w:val="center"/>
          </w:tcPr>
          <w:p w14:paraId="742F6D92">
            <w:pPr>
              <w:widowControl/>
              <w:spacing w:line="288" w:lineRule="auto"/>
              <w:jc w:val="center"/>
              <w:rPr>
                <w:rFonts w:hint="eastAsia" w:ascii="宋体" w:hAnsi="宋体" w:eastAsia="宋体" w:cs="宋体"/>
                <w:b/>
                <w:bCs/>
                <w:kern w:val="0"/>
                <w:sz w:val="24"/>
              </w:rPr>
            </w:pPr>
            <w:r>
              <w:rPr>
                <w:rFonts w:hint="eastAsia" w:ascii="宋体" w:hAnsi="宋体" w:eastAsia="宋体" w:cs="宋体"/>
                <w:b/>
                <w:bCs/>
                <w:kern w:val="0"/>
                <w:sz w:val="24"/>
              </w:rPr>
              <w:t>种类</w:t>
            </w:r>
          </w:p>
        </w:tc>
        <w:tc>
          <w:tcPr>
            <w:tcW w:w="794" w:type="pct"/>
            <w:shd w:val="clear" w:color="auto" w:fill="auto"/>
            <w:vAlign w:val="center"/>
          </w:tcPr>
          <w:p w14:paraId="5A8B6DF4">
            <w:pPr>
              <w:widowControl/>
              <w:spacing w:line="288" w:lineRule="auto"/>
              <w:jc w:val="center"/>
              <w:rPr>
                <w:rFonts w:hint="eastAsia" w:ascii="宋体" w:hAnsi="宋体" w:eastAsia="宋体" w:cs="宋体"/>
                <w:b/>
                <w:bCs/>
                <w:kern w:val="0"/>
                <w:sz w:val="24"/>
              </w:rPr>
            </w:pPr>
            <w:r>
              <w:rPr>
                <w:rFonts w:hint="eastAsia" w:ascii="宋体" w:hAnsi="宋体" w:eastAsia="宋体" w:cs="宋体"/>
                <w:b/>
                <w:bCs/>
                <w:kern w:val="0"/>
                <w:sz w:val="24"/>
              </w:rPr>
              <w:t>数量</w:t>
            </w:r>
          </w:p>
        </w:tc>
        <w:tc>
          <w:tcPr>
            <w:tcW w:w="1311" w:type="pct"/>
            <w:shd w:val="clear" w:color="auto" w:fill="auto"/>
            <w:vAlign w:val="center"/>
          </w:tcPr>
          <w:p w14:paraId="3206037B">
            <w:pPr>
              <w:widowControl/>
              <w:spacing w:line="288" w:lineRule="auto"/>
              <w:jc w:val="center"/>
              <w:rPr>
                <w:rFonts w:hint="eastAsia" w:ascii="宋体" w:hAnsi="宋体" w:eastAsia="宋体" w:cs="宋体"/>
                <w:b/>
                <w:bCs/>
                <w:kern w:val="0"/>
                <w:sz w:val="24"/>
              </w:rPr>
            </w:pPr>
            <w:r>
              <w:rPr>
                <w:rFonts w:hint="eastAsia" w:ascii="宋体" w:hAnsi="宋体" w:eastAsia="宋体" w:cs="宋体"/>
                <w:b/>
                <w:bCs/>
                <w:kern w:val="0"/>
                <w:sz w:val="24"/>
              </w:rPr>
              <w:t>使用情况</w:t>
            </w:r>
          </w:p>
        </w:tc>
        <w:tc>
          <w:tcPr>
            <w:tcW w:w="792" w:type="pct"/>
            <w:shd w:val="clear" w:color="auto" w:fill="auto"/>
            <w:vAlign w:val="center"/>
          </w:tcPr>
          <w:p w14:paraId="2BC0575B">
            <w:pPr>
              <w:widowControl/>
              <w:spacing w:line="288" w:lineRule="auto"/>
              <w:jc w:val="center"/>
              <w:rPr>
                <w:rFonts w:hint="eastAsia" w:ascii="宋体" w:hAnsi="宋体" w:eastAsia="宋体" w:cs="宋体"/>
                <w:b/>
                <w:bCs/>
                <w:kern w:val="0"/>
                <w:sz w:val="24"/>
              </w:rPr>
            </w:pPr>
            <w:r>
              <w:rPr>
                <w:rFonts w:hint="eastAsia" w:ascii="宋体" w:hAnsi="宋体" w:eastAsia="宋体" w:cs="宋体"/>
                <w:b/>
                <w:bCs/>
                <w:kern w:val="0"/>
                <w:sz w:val="24"/>
              </w:rPr>
              <w:t>备注</w:t>
            </w:r>
          </w:p>
        </w:tc>
      </w:tr>
      <w:tr w14:paraId="1185B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94" w:type="pct"/>
            <w:shd w:val="clear" w:color="auto" w:fill="auto"/>
            <w:vAlign w:val="center"/>
          </w:tcPr>
          <w:p w14:paraId="25646501">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1305" w:type="pct"/>
            <w:shd w:val="clear" w:color="auto" w:fill="auto"/>
            <w:vAlign w:val="center"/>
          </w:tcPr>
          <w:p w14:paraId="1783A31E">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工具软件</w:t>
            </w:r>
          </w:p>
        </w:tc>
        <w:tc>
          <w:tcPr>
            <w:tcW w:w="794" w:type="pct"/>
            <w:shd w:val="clear" w:color="auto" w:fill="auto"/>
            <w:vAlign w:val="center"/>
          </w:tcPr>
          <w:p w14:paraId="301581E1">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1311" w:type="pct"/>
            <w:shd w:val="clear" w:color="auto" w:fill="auto"/>
            <w:vAlign w:val="center"/>
          </w:tcPr>
          <w:p w14:paraId="44244F42">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正常使用</w:t>
            </w:r>
          </w:p>
        </w:tc>
        <w:tc>
          <w:tcPr>
            <w:tcW w:w="792" w:type="pct"/>
            <w:shd w:val="clear" w:color="auto" w:fill="auto"/>
            <w:vAlign w:val="center"/>
          </w:tcPr>
          <w:p w14:paraId="40016B7F">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利旧</w:t>
            </w:r>
          </w:p>
        </w:tc>
      </w:tr>
      <w:tr w14:paraId="1C05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94" w:type="pct"/>
            <w:shd w:val="clear" w:color="auto" w:fill="auto"/>
            <w:vAlign w:val="center"/>
          </w:tcPr>
          <w:p w14:paraId="52A80FBC">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2</w:t>
            </w:r>
          </w:p>
        </w:tc>
        <w:tc>
          <w:tcPr>
            <w:tcW w:w="1305" w:type="pct"/>
            <w:shd w:val="clear" w:color="auto" w:fill="auto"/>
            <w:vAlign w:val="center"/>
          </w:tcPr>
          <w:p w14:paraId="1470794A">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工具软件</w:t>
            </w:r>
          </w:p>
        </w:tc>
        <w:tc>
          <w:tcPr>
            <w:tcW w:w="794" w:type="pct"/>
            <w:shd w:val="clear" w:color="auto" w:fill="auto"/>
            <w:vAlign w:val="center"/>
          </w:tcPr>
          <w:p w14:paraId="39E9C521">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1</w:t>
            </w:r>
          </w:p>
        </w:tc>
        <w:tc>
          <w:tcPr>
            <w:tcW w:w="1311" w:type="pct"/>
            <w:shd w:val="clear" w:color="auto" w:fill="auto"/>
            <w:vAlign w:val="center"/>
          </w:tcPr>
          <w:p w14:paraId="583C5422">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正常使用</w:t>
            </w:r>
          </w:p>
        </w:tc>
        <w:tc>
          <w:tcPr>
            <w:tcW w:w="792" w:type="pct"/>
            <w:shd w:val="clear" w:color="auto" w:fill="auto"/>
            <w:vAlign w:val="center"/>
          </w:tcPr>
          <w:p w14:paraId="1D7491B1">
            <w:pPr>
              <w:widowControl/>
              <w:spacing w:line="288" w:lineRule="auto"/>
              <w:jc w:val="center"/>
              <w:rPr>
                <w:rFonts w:hint="eastAsia" w:ascii="宋体" w:hAnsi="宋体" w:eastAsia="宋体" w:cs="宋体"/>
                <w:kern w:val="0"/>
                <w:sz w:val="24"/>
              </w:rPr>
            </w:pPr>
            <w:r>
              <w:rPr>
                <w:rFonts w:hint="eastAsia" w:ascii="宋体" w:hAnsi="宋体" w:eastAsia="宋体" w:cs="宋体"/>
                <w:kern w:val="0"/>
                <w:sz w:val="24"/>
              </w:rPr>
              <w:t>利旧</w:t>
            </w:r>
          </w:p>
        </w:tc>
      </w:tr>
    </w:tbl>
    <w:p w14:paraId="2C085439">
      <w:pPr>
        <w:pStyle w:val="9"/>
        <w:numPr>
          <w:ilvl w:val="2"/>
          <w:numId w:val="0"/>
        </w:numPr>
        <w:tabs>
          <w:tab w:val="left" w:pos="560"/>
        </w:tabs>
        <w:spacing w:line="288" w:lineRule="auto"/>
        <w:rPr>
          <w:rFonts w:hint="eastAsia" w:ascii="宋体" w:hAnsi="宋体" w:eastAsia="宋体" w:cs="宋体"/>
          <w:sz w:val="24"/>
        </w:rPr>
      </w:pPr>
      <w:bookmarkStart w:id="69" w:name="_Toc17522"/>
      <w:r>
        <w:rPr>
          <w:rFonts w:hint="eastAsia" w:ascii="宋体" w:hAnsi="宋体" w:eastAsia="宋体" w:cs="宋体"/>
          <w:sz w:val="24"/>
        </w:rPr>
        <w:t>2.1.13网络现状</w:t>
      </w:r>
      <w:bookmarkEnd w:id="68"/>
      <w:bookmarkEnd w:id="69"/>
    </w:p>
    <w:p w14:paraId="5693CCF9">
      <w:pPr>
        <w:pStyle w:val="19"/>
        <w:spacing w:line="288" w:lineRule="auto"/>
        <w:ind w:firstLine="480"/>
        <w:rPr>
          <w:rFonts w:hint="eastAsia" w:ascii="宋体" w:hAnsi="宋体" w:eastAsia="宋体"/>
          <w:sz w:val="24"/>
        </w:rPr>
      </w:pPr>
      <w:r>
        <w:rPr>
          <w:rFonts w:hint="eastAsia" w:ascii="宋体" w:hAnsi="宋体" w:eastAsia="宋体"/>
          <w:sz w:val="24"/>
        </w:rPr>
        <w:t>法院内目前共有两张网络，法院专网和互联网。其中法院专网分为服务器区、安全管理区、办公接入区、监控接入区等，互联网分为服务器区和办公接入区，并按照方便管理和控制的原则为各网络区域分配地址。在两张网络边界分别处部署有路由器进行数据转发，其内存和CPU的使用率均小于70%，满足业务高峰期需要，无拥堵、阻断等情况。网络拓扑与实际网络运行环境一致，重要网络区域未部署在网络边界处，重要网络区域与其他网络区域之间通过防火墙进行防护。</w:t>
      </w:r>
    </w:p>
    <w:p w14:paraId="7F2B441F">
      <w:pPr>
        <w:pStyle w:val="19"/>
        <w:spacing w:line="288" w:lineRule="auto"/>
        <w:ind w:firstLine="480"/>
        <w:rPr>
          <w:rFonts w:hint="eastAsia" w:ascii="宋体" w:hAnsi="宋体" w:eastAsia="宋体"/>
          <w:sz w:val="24"/>
        </w:rPr>
      </w:pPr>
      <w:r>
        <w:rPr>
          <w:rFonts w:hint="eastAsia" w:ascii="宋体" w:hAnsi="宋体" w:eastAsia="宋体"/>
          <w:sz w:val="24"/>
        </w:rPr>
        <w:t>法院目前原有审判大楼在用的网络设备主要是路由器和交换机，但新建的两栋大楼无网络设备。</w:t>
      </w:r>
      <w:bookmarkStart w:id="70" w:name="_Toc85443507"/>
      <w:bookmarkStart w:id="71" w:name="_Toc5062"/>
    </w:p>
    <w:p w14:paraId="39E14708">
      <w:pPr>
        <w:pStyle w:val="19"/>
        <w:spacing w:line="288" w:lineRule="auto"/>
        <w:ind w:firstLine="0" w:firstLineChars="0"/>
        <w:rPr>
          <w:rFonts w:hint="eastAsia" w:ascii="宋体" w:hAnsi="宋体" w:eastAsia="宋体"/>
          <w:sz w:val="24"/>
        </w:rPr>
      </w:pPr>
      <w:r>
        <w:rPr>
          <w:rFonts w:hint="eastAsia" w:ascii="宋体" w:hAnsi="宋体" w:eastAsia="宋体"/>
          <w:sz w:val="24"/>
        </w:rPr>
        <w:t>2.1.14信息交换与共享现状</w:t>
      </w:r>
      <w:bookmarkEnd w:id="70"/>
      <w:bookmarkEnd w:id="71"/>
    </w:p>
    <w:p w14:paraId="126EDBCB">
      <w:pPr>
        <w:pStyle w:val="19"/>
        <w:spacing w:line="288" w:lineRule="auto"/>
        <w:ind w:firstLine="480"/>
        <w:rPr>
          <w:rFonts w:hint="eastAsia" w:ascii="宋体" w:hAnsi="宋体" w:eastAsia="宋体"/>
          <w:sz w:val="24"/>
        </w:rPr>
      </w:pPr>
      <w:r>
        <w:rPr>
          <w:rFonts w:hint="eastAsia" w:ascii="宋体" w:hAnsi="宋体" w:eastAsia="宋体"/>
          <w:sz w:val="24"/>
        </w:rPr>
        <w:t>琼海市人民法院通过法院专网可与博鳌法庭、中原法庭、塔洋法庭等相互之间进行信息交换和共享。法院原有的审判大楼无法与新建的两栋大楼进行信息交换和业务共享。</w:t>
      </w:r>
      <w:bookmarkStart w:id="72" w:name="_Toc85443508"/>
      <w:bookmarkStart w:id="73" w:name="_Toc29654"/>
      <w:bookmarkStart w:id="74" w:name="_Hlk489805165"/>
      <w:bookmarkStart w:id="75" w:name="_Hlk489808855"/>
    </w:p>
    <w:p w14:paraId="41F2C513">
      <w:pPr>
        <w:pStyle w:val="19"/>
        <w:spacing w:line="288" w:lineRule="auto"/>
        <w:ind w:firstLine="0" w:firstLineChars="0"/>
        <w:rPr>
          <w:rFonts w:hint="eastAsia" w:ascii="宋体" w:hAnsi="宋体" w:eastAsia="宋体"/>
          <w:sz w:val="24"/>
        </w:rPr>
      </w:pPr>
      <w:r>
        <w:rPr>
          <w:rFonts w:hint="eastAsia" w:ascii="宋体" w:hAnsi="宋体" w:eastAsia="宋体"/>
          <w:sz w:val="24"/>
        </w:rPr>
        <w:t>2.1.15数据资源与开放能力现状</w:t>
      </w:r>
      <w:bookmarkEnd w:id="72"/>
      <w:bookmarkEnd w:id="73"/>
    </w:p>
    <w:bookmarkEnd w:id="74"/>
    <w:bookmarkEnd w:id="75"/>
    <w:p w14:paraId="197F4AF0">
      <w:pPr>
        <w:pStyle w:val="19"/>
        <w:spacing w:line="288" w:lineRule="auto"/>
        <w:ind w:firstLine="480"/>
        <w:rPr>
          <w:rFonts w:hint="eastAsia" w:ascii="宋体" w:hAnsi="宋体" w:eastAsia="宋体"/>
          <w:sz w:val="24"/>
        </w:rPr>
      </w:pPr>
      <w:r>
        <w:rPr>
          <w:rFonts w:hint="eastAsia" w:ascii="宋体" w:hAnsi="宋体" w:eastAsia="宋体"/>
          <w:sz w:val="24"/>
        </w:rPr>
        <w:t>本项目不涉及。</w:t>
      </w:r>
      <w:bookmarkStart w:id="76" w:name="_Toc17904"/>
      <w:bookmarkStart w:id="77" w:name="_Toc85443509"/>
    </w:p>
    <w:p w14:paraId="436A9548">
      <w:pPr>
        <w:pStyle w:val="19"/>
        <w:spacing w:line="288" w:lineRule="auto"/>
        <w:ind w:firstLine="0" w:firstLineChars="0"/>
        <w:rPr>
          <w:rFonts w:hint="eastAsia" w:ascii="宋体" w:hAnsi="宋体" w:eastAsia="宋体"/>
          <w:sz w:val="24"/>
        </w:rPr>
      </w:pPr>
      <w:r>
        <w:rPr>
          <w:rFonts w:hint="eastAsia" w:ascii="宋体" w:hAnsi="宋体" w:eastAsia="宋体"/>
          <w:sz w:val="24"/>
        </w:rPr>
        <w:t>2.1.16云服务现状</w:t>
      </w:r>
      <w:bookmarkEnd w:id="76"/>
      <w:bookmarkEnd w:id="77"/>
    </w:p>
    <w:p w14:paraId="6AEDB88E">
      <w:pPr>
        <w:pStyle w:val="19"/>
        <w:spacing w:line="288" w:lineRule="auto"/>
        <w:ind w:firstLine="480"/>
        <w:rPr>
          <w:rFonts w:hint="eastAsia" w:ascii="宋体" w:hAnsi="宋体" w:eastAsia="宋体"/>
          <w:sz w:val="24"/>
        </w:rPr>
      </w:pPr>
      <w:r>
        <w:rPr>
          <w:rFonts w:hint="eastAsia" w:ascii="宋体" w:hAnsi="宋体" w:eastAsia="宋体"/>
          <w:sz w:val="24"/>
        </w:rPr>
        <w:t>本项目不涉及。</w:t>
      </w:r>
      <w:bookmarkStart w:id="78" w:name="_Toc85443510"/>
      <w:bookmarkStart w:id="79" w:name="_Toc9074"/>
    </w:p>
    <w:p w14:paraId="3CCE11C7">
      <w:pPr>
        <w:pStyle w:val="19"/>
        <w:spacing w:line="288" w:lineRule="auto"/>
        <w:ind w:firstLine="0" w:firstLineChars="0"/>
        <w:rPr>
          <w:rFonts w:hint="eastAsia" w:ascii="宋体" w:hAnsi="宋体" w:eastAsia="宋体"/>
          <w:sz w:val="24"/>
        </w:rPr>
      </w:pPr>
      <w:r>
        <w:rPr>
          <w:rFonts w:hint="eastAsia" w:ascii="宋体" w:hAnsi="宋体" w:eastAsia="宋体"/>
          <w:sz w:val="24"/>
        </w:rPr>
        <w:t>2.1.17建设单位信息化基础能力现状</w:t>
      </w:r>
      <w:bookmarkEnd w:id="78"/>
      <w:bookmarkEnd w:id="79"/>
    </w:p>
    <w:p w14:paraId="488CD23D">
      <w:pPr>
        <w:pStyle w:val="13"/>
        <w:spacing w:line="288" w:lineRule="auto"/>
        <w:rPr>
          <w:rFonts w:hint="eastAsia" w:ascii="宋体" w:hAnsi="宋体" w:eastAsia="宋体" w:cs="宋体"/>
          <w:sz w:val="24"/>
        </w:rPr>
      </w:pPr>
      <w:r>
        <w:rPr>
          <w:rFonts w:hint="eastAsia" w:ascii="宋体" w:hAnsi="宋体" w:eastAsia="宋体" w:cs="宋体"/>
          <w:sz w:val="24"/>
        </w:rPr>
        <w:t>建设单位信息化基础能力现状</w:t>
      </w:r>
    </w:p>
    <w:tbl>
      <w:tblPr>
        <w:tblStyle w:val="1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9"/>
        <w:gridCol w:w="897"/>
        <w:gridCol w:w="878"/>
        <w:gridCol w:w="868"/>
        <w:gridCol w:w="1273"/>
        <w:gridCol w:w="878"/>
        <w:gridCol w:w="1125"/>
        <w:gridCol w:w="859"/>
        <w:gridCol w:w="683"/>
      </w:tblGrid>
      <w:tr w14:paraId="2A293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622" w:type="pct"/>
            <w:vMerge w:val="restart"/>
            <w:vAlign w:val="center"/>
          </w:tcPr>
          <w:p w14:paraId="5D6A4AEB">
            <w:pPr>
              <w:spacing w:line="288" w:lineRule="auto"/>
              <w:jc w:val="center"/>
              <w:rPr>
                <w:rFonts w:hint="eastAsia" w:ascii="宋体" w:hAnsi="宋体" w:eastAsia="宋体" w:cs="宋体"/>
                <w:b/>
                <w:bCs/>
                <w:szCs w:val="21"/>
              </w:rPr>
            </w:pPr>
            <w:bookmarkStart w:id="80" w:name="_Toc66227649"/>
            <w:bookmarkStart w:id="81" w:name="_Toc70001937"/>
            <w:bookmarkStart w:id="82" w:name="_Toc85443511"/>
            <w:r>
              <w:rPr>
                <w:rFonts w:hint="eastAsia" w:ascii="宋体" w:hAnsi="宋体" w:eastAsia="宋体" w:cs="宋体"/>
                <w:b/>
                <w:bCs/>
                <w:szCs w:val="21"/>
              </w:rPr>
              <w:t>基础服务类型</w:t>
            </w:r>
          </w:p>
        </w:tc>
        <w:tc>
          <w:tcPr>
            <w:tcW w:w="4377" w:type="pct"/>
            <w:gridSpan w:val="8"/>
            <w:vAlign w:val="center"/>
          </w:tcPr>
          <w:p w14:paraId="51C914A1">
            <w:pPr>
              <w:spacing w:line="288" w:lineRule="auto"/>
              <w:jc w:val="center"/>
              <w:rPr>
                <w:rFonts w:hint="eastAsia" w:ascii="宋体" w:hAnsi="宋体" w:eastAsia="宋体" w:cs="宋体"/>
                <w:b/>
                <w:bCs/>
                <w:szCs w:val="21"/>
              </w:rPr>
            </w:pPr>
            <w:r>
              <w:rPr>
                <w:rFonts w:hint="eastAsia" w:ascii="宋体" w:hAnsi="宋体" w:eastAsia="宋体" w:cs="宋体"/>
                <w:b/>
                <w:bCs/>
                <w:szCs w:val="21"/>
              </w:rPr>
              <w:t>海南省政务信息化统一资源项</w:t>
            </w:r>
          </w:p>
        </w:tc>
      </w:tr>
      <w:tr w14:paraId="15EEC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622" w:type="pct"/>
            <w:vMerge w:val="continue"/>
            <w:vAlign w:val="center"/>
          </w:tcPr>
          <w:p w14:paraId="0A20DB83">
            <w:pPr>
              <w:spacing w:line="288" w:lineRule="auto"/>
              <w:jc w:val="center"/>
              <w:rPr>
                <w:rFonts w:hint="eastAsia" w:ascii="宋体" w:hAnsi="宋体" w:eastAsia="宋体" w:cs="宋体"/>
                <w:b/>
                <w:bCs/>
                <w:szCs w:val="21"/>
              </w:rPr>
            </w:pPr>
          </w:p>
        </w:tc>
        <w:tc>
          <w:tcPr>
            <w:tcW w:w="526" w:type="pct"/>
            <w:vAlign w:val="center"/>
          </w:tcPr>
          <w:p w14:paraId="2991E617">
            <w:pPr>
              <w:spacing w:line="288" w:lineRule="auto"/>
              <w:jc w:val="center"/>
              <w:rPr>
                <w:rFonts w:hint="eastAsia" w:ascii="宋体" w:hAnsi="宋体" w:eastAsia="宋体" w:cs="宋体"/>
                <w:b/>
                <w:bCs/>
                <w:szCs w:val="21"/>
              </w:rPr>
            </w:pPr>
            <w:r>
              <w:rPr>
                <w:rFonts w:hint="eastAsia" w:ascii="宋体" w:hAnsi="宋体" w:eastAsia="宋体" w:cs="宋体"/>
                <w:b/>
                <w:bCs/>
                <w:szCs w:val="21"/>
              </w:rPr>
              <w:t>网络</w:t>
            </w:r>
          </w:p>
        </w:tc>
        <w:tc>
          <w:tcPr>
            <w:tcW w:w="515" w:type="pct"/>
            <w:vAlign w:val="center"/>
          </w:tcPr>
          <w:p w14:paraId="5D34CE5B">
            <w:pPr>
              <w:spacing w:line="288" w:lineRule="auto"/>
              <w:jc w:val="center"/>
              <w:rPr>
                <w:rFonts w:hint="eastAsia" w:ascii="宋体" w:hAnsi="宋体" w:eastAsia="宋体" w:cs="宋体"/>
                <w:b/>
                <w:bCs/>
                <w:szCs w:val="21"/>
              </w:rPr>
            </w:pPr>
            <w:r>
              <w:rPr>
                <w:rFonts w:hint="eastAsia" w:ascii="宋体" w:hAnsi="宋体" w:eastAsia="宋体" w:cs="宋体"/>
                <w:b/>
                <w:bCs/>
                <w:szCs w:val="21"/>
              </w:rPr>
              <w:t>政务云</w:t>
            </w:r>
          </w:p>
        </w:tc>
        <w:tc>
          <w:tcPr>
            <w:tcW w:w="509" w:type="pct"/>
            <w:vAlign w:val="center"/>
          </w:tcPr>
          <w:p w14:paraId="4DDD5645">
            <w:pPr>
              <w:spacing w:line="288" w:lineRule="auto"/>
              <w:jc w:val="center"/>
              <w:rPr>
                <w:rFonts w:hint="eastAsia" w:ascii="宋体" w:hAnsi="宋体" w:eastAsia="宋体" w:cs="宋体"/>
                <w:b/>
                <w:bCs/>
                <w:szCs w:val="21"/>
              </w:rPr>
            </w:pPr>
            <w:r>
              <w:rPr>
                <w:rFonts w:hint="eastAsia" w:ascii="宋体" w:hAnsi="宋体" w:eastAsia="宋体" w:cs="宋体"/>
                <w:b/>
                <w:bCs/>
                <w:szCs w:val="21"/>
              </w:rPr>
              <w:t>数据中心</w:t>
            </w:r>
          </w:p>
        </w:tc>
        <w:tc>
          <w:tcPr>
            <w:tcW w:w="747" w:type="pct"/>
            <w:vAlign w:val="center"/>
          </w:tcPr>
          <w:p w14:paraId="3F436D68">
            <w:pPr>
              <w:spacing w:line="288" w:lineRule="auto"/>
              <w:jc w:val="center"/>
              <w:rPr>
                <w:rFonts w:hint="eastAsia" w:ascii="宋体" w:hAnsi="宋体" w:eastAsia="宋体" w:cs="宋体"/>
                <w:b/>
                <w:bCs/>
                <w:szCs w:val="21"/>
              </w:rPr>
            </w:pPr>
            <w:r>
              <w:rPr>
                <w:rFonts w:hint="eastAsia" w:ascii="宋体" w:hAnsi="宋体" w:eastAsia="宋体" w:cs="宋体"/>
                <w:b/>
                <w:bCs/>
                <w:szCs w:val="21"/>
              </w:rPr>
              <w:t>中台（业务、数据）</w:t>
            </w:r>
          </w:p>
        </w:tc>
        <w:tc>
          <w:tcPr>
            <w:tcW w:w="515" w:type="pct"/>
            <w:vAlign w:val="center"/>
          </w:tcPr>
          <w:p w14:paraId="18C90E8B">
            <w:pPr>
              <w:spacing w:line="288" w:lineRule="auto"/>
              <w:jc w:val="center"/>
              <w:rPr>
                <w:rFonts w:hint="eastAsia" w:ascii="宋体" w:hAnsi="宋体" w:eastAsia="宋体" w:cs="宋体"/>
                <w:b/>
                <w:bCs/>
                <w:szCs w:val="21"/>
              </w:rPr>
            </w:pPr>
            <w:r>
              <w:rPr>
                <w:rFonts w:hint="eastAsia" w:ascii="宋体" w:hAnsi="宋体" w:eastAsia="宋体" w:cs="宋体"/>
                <w:b/>
                <w:bCs/>
                <w:szCs w:val="21"/>
              </w:rPr>
              <w:t>区块链</w:t>
            </w:r>
          </w:p>
        </w:tc>
        <w:tc>
          <w:tcPr>
            <w:tcW w:w="660" w:type="pct"/>
            <w:vAlign w:val="center"/>
          </w:tcPr>
          <w:p w14:paraId="743FA337">
            <w:pPr>
              <w:spacing w:line="288" w:lineRule="auto"/>
              <w:jc w:val="center"/>
              <w:rPr>
                <w:rFonts w:hint="eastAsia" w:ascii="宋体" w:hAnsi="宋体" w:eastAsia="宋体" w:cs="宋体"/>
                <w:b/>
                <w:bCs/>
                <w:szCs w:val="21"/>
              </w:rPr>
            </w:pPr>
            <w:r>
              <w:rPr>
                <w:rFonts w:hint="eastAsia" w:ascii="宋体" w:hAnsi="宋体" w:eastAsia="宋体" w:cs="宋体"/>
                <w:b/>
                <w:bCs/>
                <w:szCs w:val="21"/>
              </w:rPr>
              <w:t>数据共享交换平台</w:t>
            </w:r>
          </w:p>
        </w:tc>
        <w:tc>
          <w:tcPr>
            <w:tcW w:w="504" w:type="pct"/>
            <w:vAlign w:val="center"/>
          </w:tcPr>
          <w:p w14:paraId="48656213">
            <w:pPr>
              <w:spacing w:line="288" w:lineRule="auto"/>
              <w:jc w:val="center"/>
              <w:rPr>
                <w:rFonts w:hint="eastAsia" w:ascii="宋体" w:hAnsi="宋体" w:eastAsia="宋体" w:cs="宋体"/>
                <w:b/>
                <w:bCs/>
                <w:szCs w:val="21"/>
              </w:rPr>
            </w:pPr>
            <w:r>
              <w:rPr>
                <w:rFonts w:hint="eastAsia" w:ascii="宋体" w:hAnsi="宋体" w:eastAsia="宋体" w:cs="宋体"/>
                <w:b/>
                <w:bCs/>
                <w:szCs w:val="21"/>
              </w:rPr>
              <w:t>数据开放能力</w:t>
            </w:r>
          </w:p>
        </w:tc>
        <w:tc>
          <w:tcPr>
            <w:tcW w:w="396" w:type="pct"/>
            <w:vAlign w:val="center"/>
          </w:tcPr>
          <w:p w14:paraId="74705EB9">
            <w:pPr>
              <w:spacing w:line="288" w:lineRule="auto"/>
              <w:jc w:val="center"/>
              <w:rPr>
                <w:rFonts w:hint="eastAsia" w:ascii="宋体" w:hAnsi="宋体" w:eastAsia="宋体" w:cs="宋体"/>
                <w:b/>
                <w:bCs/>
                <w:szCs w:val="21"/>
              </w:rPr>
            </w:pPr>
            <w:r>
              <w:rPr>
                <w:rFonts w:hint="eastAsia" w:ascii="宋体" w:hAnsi="宋体" w:eastAsia="宋体" w:cs="宋体"/>
                <w:b/>
                <w:bCs/>
                <w:szCs w:val="21"/>
              </w:rPr>
              <w:t>其他</w:t>
            </w:r>
          </w:p>
        </w:tc>
      </w:tr>
      <w:tr w14:paraId="7ADE1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046E59F7">
            <w:pPr>
              <w:spacing w:line="288" w:lineRule="auto"/>
              <w:jc w:val="center"/>
              <w:rPr>
                <w:rFonts w:hint="eastAsia" w:ascii="宋体" w:hAnsi="宋体" w:eastAsia="宋体" w:cs="宋体"/>
                <w:szCs w:val="21"/>
              </w:rPr>
            </w:pPr>
            <w:r>
              <w:rPr>
                <w:rFonts w:hint="eastAsia" w:ascii="宋体" w:hAnsi="宋体" w:eastAsia="宋体" w:cs="宋体"/>
                <w:szCs w:val="21"/>
              </w:rPr>
              <w:t>系统</w:t>
            </w:r>
          </w:p>
        </w:tc>
        <w:tc>
          <w:tcPr>
            <w:tcW w:w="526" w:type="pct"/>
            <w:vAlign w:val="center"/>
          </w:tcPr>
          <w:p w14:paraId="187E1BB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38FA242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6F49E2DA">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0090BA9D">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4B53BE6D">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66BD2793">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01A41EC1">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103C7841">
            <w:pPr>
              <w:spacing w:line="288" w:lineRule="auto"/>
              <w:jc w:val="center"/>
              <w:rPr>
                <w:rFonts w:hint="eastAsia" w:ascii="宋体" w:hAnsi="宋体" w:eastAsia="宋体" w:cs="宋体"/>
                <w:szCs w:val="21"/>
              </w:rPr>
            </w:pPr>
          </w:p>
        </w:tc>
      </w:tr>
      <w:tr w14:paraId="6D905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35AD5666">
            <w:pPr>
              <w:spacing w:line="288" w:lineRule="auto"/>
              <w:jc w:val="center"/>
              <w:rPr>
                <w:rFonts w:hint="eastAsia" w:ascii="宋体" w:hAnsi="宋体" w:eastAsia="宋体" w:cs="宋体"/>
                <w:szCs w:val="21"/>
              </w:rPr>
            </w:pPr>
            <w:r>
              <w:rPr>
                <w:rFonts w:hint="eastAsia" w:ascii="宋体" w:hAnsi="宋体" w:eastAsia="宋体" w:cs="宋体"/>
                <w:szCs w:val="21"/>
              </w:rPr>
              <w:t>应用</w:t>
            </w:r>
          </w:p>
        </w:tc>
        <w:tc>
          <w:tcPr>
            <w:tcW w:w="526" w:type="pct"/>
            <w:vAlign w:val="center"/>
          </w:tcPr>
          <w:p w14:paraId="55D847B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65442E51">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03B1B66A">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53AFC3F1">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18FCE0AD">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38440472">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246B5AB7">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4583D507">
            <w:pPr>
              <w:spacing w:line="288" w:lineRule="auto"/>
              <w:jc w:val="center"/>
              <w:rPr>
                <w:rFonts w:hint="eastAsia" w:ascii="宋体" w:hAnsi="宋体" w:eastAsia="宋体" w:cs="宋体"/>
                <w:szCs w:val="21"/>
              </w:rPr>
            </w:pPr>
          </w:p>
        </w:tc>
      </w:tr>
      <w:tr w14:paraId="4190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54683CC1">
            <w:pPr>
              <w:spacing w:line="288" w:lineRule="auto"/>
              <w:jc w:val="center"/>
              <w:rPr>
                <w:rFonts w:hint="eastAsia" w:ascii="宋体" w:hAnsi="宋体" w:eastAsia="宋体" w:cs="宋体"/>
                <w:szCs w:val="21"/>
              </w:rPr>
            </w:pPr>
            <w:r>
              <w:rPr>
                <w:rFonts w:hint="eastAsia" w:ascii="宋体" w:hAnsi="宋体" w:eastAsia="宋体" w:cs="宋体"/>
                <w:szCs w:val="21"/>
              </w:rPr>
              <w:t>网络</w:t>
            </w:r>
          </w:p>
        </w:tc>
        <w:tc>
          <w:tcPr>
            <w:tcW w:w="526" w:type="pct"/>
            <w:vAlign w:val="center"/>
          </w:tcPr>
          <w:p w14:paraId="3DEF95D9">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2B548897">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6508CBC4">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1D7DFFE9">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05CF621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7FF2DB07">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22C9911C">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29D09280">
            <w:pPr>
              <w:spacing w:line="288" w:lineRule="auto"/>
              <w:jc w:val="center"/>
              <w:rPr>
                <w:rFonts w:hint="eastAsia" w:ascii="宋体" w:hAnsi="宋体" w:eastAsia="宋体" w:cs="宋体"/>
                <w:szCs w:val="21"/>
              </w:rPr>
            </w:pPr>
          </w:p>
        </w:tc>
      </w:tr>
      <w:tr w14:paraId="53D3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72296B6D">
            <w:pPr>
              <w:spacing w:line="288" w:lineRule="auto"/>
              <w:jc w:val="center"/>
              <w:rPr>
                <w:rFonts w:hint="eastAsia" w:ascii="宋体" w:hAnsi="宋体" w:eastAsia="宋体" w:cs="宋体"/>
                <w:szCs w:val="21"/>
              </w:rPr>
            </w:pPr>
            <w:r>
              <w:rPr>
                <w:rFonts w:hint="eastAsia" w:ascii="宋体" w:hAnsi="宋体" w:eastAsia="宋体" w:cs="宋体"/>
                <w:szCs w:val="21"/>
              </w:rPr>
              <w:t>技术支撑</w:t>
            </w:r>
          </w:p>
        </w:tc>
        <w:tc>
          <w:tcPr>
            <w:tcW w:w="526" w:type="pct"/>
            <w:vAlign w:val="center"/>
          </w:tcPr>
          <w:p w14:paraId="3A0B2870">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591B23A2">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0132DA9E">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16F98DEF">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7EC6B594">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2830FD7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7A78A8DA">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01F29F3F">
            <w:pPr>
              <w:spacing w:line="288" w:lineRule="auto"/>
              <w:jc w:val="center"/>
              <w:rPr>
                <w:rFonts w:hint="eastAsia" w:ascii="宋体" w:hAnsi="宋体" w:eastAsia="宋体" w:cs="宋体"/>
                <w:szCs w:val="21"/>
              </w:rPr>
            </w:pPr>
          </w:p>
        </w:tc>
      </w:tr>
      <w:tr w14:paraId="6F0F6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02F8311E">
            <w:pPr>
              <w:spacing w:line="288" w:lineRule="auto"/>
              <w:jc w:val="center"/>
              <w:rPr>
                <w:rFonts w:hint="eastAsia" w:ascii="宋体" w:hAnsi="宋体" w:eastAsia="宋体" w:cs="宋体"/>
                <w:szCs w:val="21"/>
              </w:rPr>
            </w:pPr>
            <w:r>
              <w:rPr>
                <w:rFonts w:hint="eastAsia" w:ascii="宋体" w:hAnsi="宋体" w:eastAsia="宋体" w:cs="宋体"/>
                <w:szCs w:val="21"/>
              </w:rPr>
              <w:t>资源共享交换</w:t>
            </w:r>
          </w:p>
        </w:tc>
        <w:tc>
          <w:tcPr>
            <w:tcW w:w="526" w:type="pct"/>
            <w:vAlign w:val="center"/>
          </w:tcPr>
          <w:p w14:paraId="068110D6">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206F996B">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745D66C4">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3E3C540B">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2B70FC5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288D8759">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588E30D4">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61F42A80">
            <w:pPr>
              <w:spacing w:line="288" w:lineRule="auto"/>
              <w:jc w:val="center"/>
              <w:rPr>
                <w:rFonts w:hint="eastAsia" w:ascii="宋体" w:hAnsi="宋体" w:eastAsia="宋体" w:cs="宋体"/>
                <w:szCs w:val="21"/>
              </w:rPr>
            </w:pPr>
          </w:p>
        </w:tc>
      </w:tr>
      <w:tr w14:paraId="02D89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3D4F877A">
            <w:pPr>
              <w:spacing w:line="288" w:lineRule="auto"/>
              <w:jc w:val="center"/>
              <w:rPr>
                <w:rFonts w:hint="eastAsia" w:ascii="宋体" w:hAnsi="宋体" w:eastAsia="宋体" w:cs="宋体"/>
                <w:szCs w:val="21"/>
              </w:rPr>
            </w:pPr>
            <w:r>
              <w:rPr>
                <w:rFonts w:hint="eastAsia" w:ascii="宋体" w:hAnsi="宋体" w:eastAsia="宋体" w:cs="宋体"/>
                <w:szCs w:val="21"/>
              </w:rPr>
              <w:t>云服务</w:t>
            </w:r>
          </w:p>
        </w:tc>
        <w:tc>
          <w:tcPr>
            <w:tcW w:w="526" w:type="pct"/>
            <w:vAlign w:val="center"/>
          </w:tcPr>
          <w:p w14:paraId="2F0D38D9">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294ABB65">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3303CE03">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34030509">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72E4E9BB">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52E7A55E">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1BBFD97F">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2A07A884">
            <w:pPr>
              <w:spacing w:line="288" w:lineRule="auto"/>
              <w:jc w:val="center"/>
              <w:rPr>
                <w:rFonts w:hint="eastAsia" w:ascii="宋体" w:hAnsi="宋体" w:eastAsia="宋体" w:cs="宋体"/>
                <w:szCs w:val="21"/>
              </w:rPr>
            </w:pPr>
          </w:p>
        </w:tc>
      </w:tr>
      <w:tr w14:paraId="00530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2" w:type="pct"/>
            <w:vAlign w:val="center"/>
          </w:tcPr>
          <w:p w14:paraId="4B69F444">
            <w:pPr>
              <w:spacing w:line="288" w:lineRule="auto"/>
              <w:jc w:val="center"/>
              <w:rPr>
                <w:rFonts w:hint="eastAsia" w:ascii="宋体" w:hAnsi="宋体" w:eastAsia="宋体" w:cs="宋体"/>
                <w:szCs w:val="21"/>
              </w:rPr>
            </w:pPr>
            <w:r>
              <w:rPr>
                <w:rFonts w:hint="eastAsia" w:ascii="宋体" w:hAnsi="宋体" w:eastAsia="宋体" w:cs="宋体"/>
                <w:szCs w:val="21"/>
              </w:rPr>
              <w:t>其他</w:t>
            </w:r>
          </w:p>
        </w:tc>
        <w:tc>
          <w:tcPr>
            <w:tcW w:w="526" w:type="pct"/>
            <w:vAlign w:val="center"/>
          </w:tcPr>
          <w:p w14:paraId="3ACCA75A">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583CFF96">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9" w:type="pct"/>
            <w:vAlign w:val="center"/>
          </w:tcPr>
          <w:p w14:paraId="3725F9CE">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747" w:type="pct"/>
            <w:vAlign w:val="center"/>
          </w:tcPr>
          <w:p w14:paraId="46ED2548">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15" w:type="pct"/>
            <w:vAlign w:val="center"/>
          </w:tcPr>
          <w:p w14:paraId="12BC2602">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660" w:type="pct"/>
            <w:vAlign w:val="center"/>
          </w:tcPr>
          <w:p w14:paraId="570ACEF3">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504" w:type="pct"/>
            <w:vAlign w:val="center"/>
          </w:tcPr>
          <w:p w14:paraId="54B23145">
            <w:pPr>
              <w:spacing w:line="288" w:lineRule="auto"/>
              <w:jc w:val="center"/>
              <w:rPr>
                <w:rFonts w:hint="eastAsia" w:ascii="宋体" w:hAnsi="宋体" w:eastAsia="宋体" w:cs="宋体"/>
                <w:szCs w:val="21"/>
              </w:rPr>
            </w:pPr>
            <w:r>
              <w:rPr>
                <w:rFonts w:hint="eastAsia" w:ascii="宋体" w:hAnsi="宋体" w:eastAsia="宋体" w:cs="宋体"/>
                <w:szCs w:val="21"/>
              </w:rPr>
              <w:t>不涉及</w:t>
            </w:r>
          </w:p>
        </w:tc>
        <w:tc>
          <w:tcPr>
            <w:tcW w:w="396" w:type="pct"/>
            <w:vAlign w:val="center"/>
          </w:tcPr>
          <w:p w14:paraId="5318FA9C">
            <w:pPr>
              <w:spacing w:line="288" w:lineRule="auto"/>
              <w:jc w:val="center"/>
              <w:rPr>
                <w:rFonts w:hint="eastAsia" w:ascii="宋体" w:hAnsi="宋体" w:eastAsia="宋体" w:cs="宋体"/>
                <w:szCs w:val="21"/>
              </w:rPr>
            </w:pPr>
          </w:p>
        </w:tc>
      </w:tr>
    </w:tbl>
    <w:p w14:paraId="0BE5FCD8">
      <w:pPr>
        <w:rPr>
          <w:rFonts w:hint="eastAsia" w:ascii="宋体" w:hAnsi="宋体" w:eastAsia="宋体" w:cs="宋体"/>
          <w:sz w:val="24"/>
        </w:rPr>
      </w:pPr>
      <w:bookmarkStart w:id="83" w:name="_Toc20335"/>
      <w:r>
        <w:rPr>
          <w:rFonts w:hint="eastAsia" w:ascii="宋体" w:hAnsi="宋体" w:eastAsia="宋体" w:cs="宋体"/>
          <w:sz w:val="24"/>
        </w:rPr>
        <w:t>2.1.18网络安全现状</w:t>
      </w:r>
      <w:bookmarkEnd w:id="80"/>
      <w:bookmarkEnd w:id="81"/>
      <w:r>
        <w:rPr>
          <w:rFonts w:hint="eastAsia" w:ascii="宋体" w:hAnsi="宋体" w:eastAsia="宋体" w:cs="宋体"/>
          <w:sz w:val="24"/>
        </w:rPr>
        <w:t>分析</w:t>
      </w:r>
      <w:bookmarkEnd w:id="82"/>
      <w:bookmarkEnd w:id="83"/>
      <w:bookmarkStart w:id="84" w:name="_Toc136469748"/>
      <w:bookmarkStart w:id="85" w:name="_Hlk135577850"/>
      <w:bookmarkStart w:id="86" w:name="_Toc32289"/>
    </w:p>
    <w:p w14:paraId="1121A837">
      <w:pPr>
        <w:ind w:firstLine="480" w:firstLineChars="200"/>
        <w:rPr>
          <w:rFonts w:hint="eastAsia" w:ascii="宋体" w:hAnsi="宋体" w:eastAsia="宋体" w:cs="宋体"/>
          <w:sz w:val="24"/>
        </w:rPr>
      </w:pPr>
      <w:r>
        <w:rPr>
          <w:rFonts w:hint="eastAsia" w:ascii="宋体" w:hAnsi="宋体" w:eastAsia="宋体" w:cs="宋体"/>
          <w:sz w:val="24"/>
        </w:rPr>
        <w:t>2.1.18.1网络安全基础设施建设现状</w:t>
      </w:r>
      <w:bookmarkEnd w:id="84"/>
      <w:bookmarkEnd w:id="85"/>
      <w:bookmarkEnd w:id="86"/>
    </w:p>
    <w:p w14:paraId="533EFB3F">
      <w:pPr>
        <w:pStyle w:val="19"/>
        <w:spacing w:line="288" w:lineRule="auto"/>
        <w:ind w:firstLine="480"/>
        <w:rPr>
          <w:rFonts w:hint="eastAsia" w:ascii="宋体" w:hAnsi="宋体" w:eastAsia="宋体"/>
          <w:sz w:val="24"/>
        </w:rPr>
      </w:pPr>
      <w:r>
        <w:rPr>
          <w:rFonts w:hint="eastAsia" w:ascii="宋体" w:hAnsi="宋体" w:eastAsia="宋体"/>
          <w:sz w:val="24"/>
        </w:rPr>
        <w:t>目前院内办公专网系统经过2021年的安全等保测评改造后，补充了相应的网络安全设备，如防火墙、杀毒软件、桌面管理软件等，完善加固了网络系统的防护能力。网络设备和安全设备层面，安全设备均通过账号+密码的方式对登录用户进行身份鉴别，采用HTTPS进行远程登录管理，网络设备本地登录管理，能够防止鉴别信息在网络传输过程中被窃听。网络设备和安全设备均已启用了安全审计功能，安全审计记录了重要的用户行为和重要安全事件，审计记录本地保存6个月以上，同时，根据网络安全等保测评的要求，成立了网络与信息商密安全工作领导小组，遵守保密纪律，依照密码保密程序办事，及时消除密码保密安全隐患，减少安全风险。</w:t>
      </w:r>
    </w:p>
    <w:p w14:paraId="32397019">
      <w:pPr>
        <w:pStyle w:val="19"/>
        <w:spacing w:line="288" w:lineRule="auto"/>
        <w:ind w:firstLine="480"/>
        <w:jc w:val="center"/>
        <w:rPr>
          <w:rFonts w:hint="eastAsia" w:ascii="宋体" w:hAnsi="宋体" w:eastAsia="宋体"/>
          <w:sz w:val="24"/>
        </w:rPr>
      </w:pPr>
    </w:p>
    <w:bookmarkEnd w:id="41"/>
    <w:p w14:paraId="608E46E5">
      <w:pPr>
        <w:pStyle w:val="10"/>
        <w:numPr>
          <w:ilvl w:val="3"/>
          <w:numId w:val="0"/>
        </w:numPr>
        <w:tabs>
          <w:tab w:val="clear" w:pos="425"/>
        </w:tabs>
        <w:spacing w:line="288" w:lineRule="auto"/>
        <w:rPr>
          <w:rFonts w:hint="eastAsia" w:ascii="宋体" w:hAnsi="宋体" w:eastAsia="宋体" w:cs="宋体"/>
          <w:b w:val="0"/>
          <w:bCs/>
          <w:sz w:val="24"/>
        </w:rPr>
      </w:pPr>
      <w:bookmarkStart w:id="87" w:name="_Toc342070861"/>
      <w:bookmarkEnd w:id="87"/>
      <w:bookmarkStart w:id="88" w:name="_Toc342070859"/>
      <w:bookmarkEnd w:id="88"/>
      <w:bookmarkStart w:id="89" w:name="_Toc342070863"/>
      <w:bookmarkEnd w:id="89"/>
      <w:bookmarkStart w:id="90" w:name="_Toc342070864"/>
      <w:bookmarkEnd w:id="90"/>
      <w:bookmarkStart w:id="91" w:name="_Toc342070862"/>
      <w:bookmarkEnd w:id="91"/>
      <w:bookmarkStart w:id="92" w:name="_Toc342070857"/>
      <w:bookmarkEnd w:id="92"/>
      <w:bookmarkStart w:id="93" w:name="_Toc342070858"/>
      <w:bookmarkEnd w:id="93"/>
      <w:bookmarkStart w:id="94" w:name="_Toc342070860"/>
      <w:bookmarkEnd w:id="94"/>
      <w:bookmarkStart w:id="95" w:name="_Toc332971286"/>
      <w:bookmarkStart w:id="96" w:name="_Toc493702774"/>
      <w:bookmarkStart w:id="97" w:name="_Toc85443512"/>
      <w:r>
        <w:rPr>
          <w:rFonts w:hint="eastAsia" w:ascii="宋体" w:hAnsi="宋体" w:eastAsia="宋体" w:cs="宋体"/>
          <w:b w:val="0"/>
          <w:bCs/>
          <w:sz w:val="24"/>
        </w:rPr>
        <w:t>2.1.18.2安全物理环境现状</w:t>
      </w:r>
    </w:p>
    <w:p w14:paraId="4D42BAE6">
      <w:pPr>
        <w:pStyle w:val="19"/>
        <w:spacing w:line="288" w:lineRule="auto"/>
        <w:ind w:firstLine="480"/>
        <w:rPr>
          <w:rFonts w:hint="eastAsia" w:ascii="宋体" w:hAnsi="宋体" w:eastAsia="宋体"/>
          <w:sz w:val="24"/>
        </w:rPr>
      </w:pPr>
      <w:r>
        <w:rPr>
          <w:rFonts w:hint="eastAsia" w:ascii="宋体" w:hAnsi="宋体" w:eastAsia="宋体"/>
          <w:sz w:val="24"/>
        </w:rPr>
        <w:t>目前法院机房位于审判大楼六楼，面积约25平方。机房内配备机柜5个（设备机柜3个、网络机柜2个），配有40KVAUPS一套，配置100AH电池的32节。壁挂式空调1台，配有气体消防、视频监控、门禁系统；机房各类物理条件满足原有审判大楼内的网络和业务需求，各类服务器、存储设备等有充足的空余，相关在用的业务系统可通过已接入的法院专网和互联网网络进行访问。</w:t>
      </w:r>
    </w:p>
    <w:p w14:paraId="1408DF20">
      <w:pPr>
        <w:pStyle w:val="10"/>
        <w:numPr>
          <w:ilvl w:val="3"/>
          <w:numId w:val="0"/>
        </w:numPr>
        <w:tabs>
          <w:tab w:val="clear" w:pos="425"/>
        </w:tabs>
        <w:spacing w:line="288" w:lineRule="auto"/>
        <w:rPr>
          <w:rFonts w:hint="eastAsia" w:ascii="宋体" w:hAnsi="宋体" w:eastAsia="宋体" w:cs="宋体"/>
          <w:b w:val="0"/>
          <w:bCs/>
          <w:sz w:val="24"/>
        </w:rPr>
      </w:pPr>
      <w:r>
        <w:rPr>
          <w:rFonts w:hint="eastAsia" w:ascii="宋体" w:hAnsi="宋体" w:eastAsia="宋体" w:cs="宋体"/>
          <w:b w:val="0"/>
          <w:bCs/>
          <w:sz w:val="24"/>
        </w:rPr>
        <w:t>2.1.18.3安全通信网络现状</w:t>
      </w:r>
    </w:p>
    <w:p w14:paraId="336492BC">
      <w:pPr>
        <w:pStyle w:val="19"/>
        <w:spacing w:line="288" w:lineRule="auto"/>
        <w:ind w:firstLine="480"/>
        <w:rPr>
          <w:rFonts w:hint="eastAsia" w:ascii="宋体" w:hAnsi="宋体" w:eastAsia="宋体"/>
          <w:sz w:val="24"/>
        </w:rPr>
      </w:pPr>
      <w:r>
        <w:rPr>
          <w:rFonts w:hint="eastAsia" w:ascii="宋体" w:hAnsi="宋体" w:eastAsia="宋体"/>
          <w:sz w:val="24"/>
        </w:rPr>
        <w:t>法院专网的网络关键核心架构和传输线路采用双冗余架构设计，具有可靠性、稳定性。其网络通信主要依托公安信息网部署，核心设备已具备性能冗余空间，可满足业务高峰期需求；重要链路设备进行冗余部署，包括核心交换机、服务器汇聚交换机，以达到设备冗余，避免单点故障。同时已根据业务属性划分不同网段和VLAN。</w:t>
      </w:r>
    </w:p>
    <w:p w14:paraId="345E1468">
      <w:pPr>
        <w:pStyle w:val="19"/>
        <w:spacing w:line="288" w:lineRule="auto"/>
        <w:ind w:firstLine="480"/>
        <w:rPr>
          <w:rFonts w:hint="eastAsia" w:ascii="宋体" w:hAnsi="宋体" w:eastAsia="宋体"/>
          <w:sz w:val="24"/>
        </w:rPr>
      </w:pPr>
      <w:r>
        <w:rPr>
          <w:rFonts w:hint="eastAsia" w:ascii="宋体" w:hAnsi="宋体" w:eastAsia="宋体"/>
          <w:sz w:val="24"/>
        </w:rPr>
        <w:t>互联网采用单核心二层网络架构。</w:t>
      </w:r>
    </w:p>
    <w:p w14:paraId="1841B905">
      <w:pPr>
        <w:pStyle w:val="10"/>
        <w:numPr>
          <w:ilvl w:val="3"/>
          <w:numId w:val="0"/>
        </w:numPr>
        <w:tabs>
          <w:tab w:val="clear" w:pos="425"/>
        </w:tabs>
        <w:spacing w:line="288" w:lineRule="auto"/>
        <w:rPr>
          <w:rFonts w:hint="eastAsia" w:ascii="宋体" w:hAnsi="宋体" w:eastAsia="宋体" w:cs="宋体"/>
          <w:sz w:val="24"/>
        </w:rPr>
      </w:pPr>
      <w:r>
        <w:rPr>
          <w:rFonts w:hint="eastAsia" w:ascii="宋体" w:hAnsi="宋体" w:eastAsia="宋体" w:cs="宋体"/>
          <w:b w:val="0"/>
          <w:bCs/>
          <w:sz w:val="24"/>
        </w:rPr>
        <w:t>2.1.18.4安全区域边界现状</w:t>
      </w:r>
    </w:p>
    <w:p w14:paraId="2C63A320">
      <w:pPr>
        <w:pStyle w:val="19"/>
        <w:spacing w:line="288" w:lineRule="auto"/>
        <w:ind w:firstLine="480"/>
        <w:rPr>
          <w:rFonts w:hint="eastAsia" w:ascii="宋体" w:hAnsi="宋体" w:eastAsia="宋体"/>
          <w:sz w:val="24"/>
        </w:rPr>
      </w:pPr>
      <w:r>
        <w:rPr>
          <w:rFonts w:hint="eastAsia" w:ascii="宋体" w:hAnsi="宋体" w:eastAsia="宋体"/>
          <w:sz w:val="24"/>
        </w:rPr>
        <w:t>法院办公专网络部署于属于法院办公专网，已在上联边界处部署一台防火墙，并根据应用系统实际需求配置安全访问控制策略。同时在防火墙中开启了入侵防御和防病毒功能授权，并定期更新恶意代码库使其保持最新，实现对网络入侵行为的防护以及网络病毒查杀。当检测到攻击时可进行记录并发生告警。但目前未采取技术措施对网络行为进行分析，不能对未知的新型网络攻击的检测和分析（如APT攻击）。</w:t>
      </w:r>
    </w:p>
    <w:p w14:paraId="0575BFD8">
      <w:pPr>
        <w:pStyle w:val="10"/>
        <w:numPr>
          <w:ilvl w:val="3"/>
          <w:numId w:val="0"/>
        </w:numPr>
        <w:tabs>
          <w:tab w:val="clear" w:pos="425"/>
        </w:tabs>
        <w:spacing w:line="288" w:lineRule="auto"/>
        <w:rPr>
          <w:rFonts w:hint="eastAsia" w:ascii="宋体" w:hAnsi="宋体" w:eastAsia="宋体" w:cs="宋体"/>
          <w:sz w:val="24"/>
        </w:rPr>
      </w:pPr>
      <w:r>
        <w:rPr>
          <w:rFonts w:hint="eastAsia" w:ascii="宋体" w:hAnsi="宋体" w:eastAsia="宋体" w:cs="宋体"/>
          <w:b w:val="0"/>
          <w:bCs/>
          <w:sz w:val="24"/>
        </w:rPr>
        <w:t>2.1.18.5安全计算环境现状</w:t>
      </w:r>
    </w:p>
    <w:p w14:paraId="114D844F">
      <w:pPr>
        <w:pStyle w:val="19"/>
        <w:spacing w:line="288" w:lineRule="auto"/>
        <w:ind w:firstLine="480"/>
        <w:rPr>
          <w:rFonts w:hint="eastAsia" w:ascii="宋体" w:hAnsi="宋体" w:eastAsia="宋体"/>
          <w:sz w:val="24"/>
        </w:rPr>
      </w:pPr>
      <w:r>
        <w:rPr>
          <w:rFonts w:hint="eastAsia" w:ascii="宋体" w:hAnsi="宋体" w:eastAsia="宋体"/>
          <w:sz w:val="24"/>
        </w:rPr>
        <w:t>琼海市法院办公网络部署于属于法院办公网，其计算环境安全主要包括对主机和应用系统用户进行身份鉴别和访问控制、安全审计、对主机和各类终端的入侵防范和恶意代码防护、数据保密性和完整性保护、数据备份与恢复、剩余信息和个人信息保护。</w:t>
      </w:r>
    </w:p>
    <w:p w14:paraId="65D97F12">
      <w:pPr>
        <w:pStyle w:val="19"/>
        <w:spacing w:line="288" w:lineRule="auto"/>
        <w:ind w:firstLine="480"/>
        <w:rPr>
          <w:rFonts w:hint="eastAsia" w:ascii="宋体" w:hAnsi="宋体" w:eastAsia="宋体"/>
          <w:sz w:val="24"/>
        </w:rPr>
      </w:pPr>
      <w:r>
        <w:rPr>
          <w:rFonts w:hint="eastAsia" w:ascii="宋体" w:hAnsi="宋体" w:eastAsia="宋体"/>
          <w:sz w:val="24"/>
        </w:rPr>
        <w:t>在防恶意代码层面，已在安全管理区部署终端防病毒系统，可对病毒、蠕虫等恶意代码进行查杀。但缺少服务器安全防护能力，无法实现服务器端的黑客入侵、病毒防护、微隔离、账号风险检测、入侵防御、失陷检测等能力。</w:t>
      </w:r>
    </w:p>
    <w:p w14:paraId="63ECD477">
      <w:pPr>
        <w:pStyle w:val="19"/>
        <w:spacing w:line="288" w:lineRule="auto"/>
        <w:ind w:firstLine="480"/>
        <w:rPr>
          <w:rFonts w:hint="eastAsia" w:ascii="宋体" w:hAnsi="宋体" w:eastAsia="宋体"/>
          <w:sz w:val="24"/>
        </w:rPr>
      </w:pPr>
      <w:r>
        <w:rPr>
          <w:rFonts w:hint="eastAsia" w:ascii="宋体" w:hAnsi="宋体" w:eastAsia="宋体"/>
          <w:sz w:val="24"/>
        </w:rPr>
        <w:t>在数据安全层面，应用系统均为省高院机房建设部署，但需采用校验码技术或密码技术保证重要数据在传输和存储过程中的完整性，包括但不限于鉴别数据、重要业务数据、重要审计数据、重要配置数据、重要视频数据和重要个人信息等；需采用密码技术保证重要数据在传输和存储过程中的保密性，包括但不限于鉴别数据、重要业务数据和重要个人信息。</w:t>
      </w:r>
    </w:p>
    <w:p w14:paraId="0F9FCDE6">
      <w:pPr>
        <w:pStyle w:val="10"/>
        <w:numPr>
          <w:ilvl w:val="3"/>
          <w:numId w:val="0"/>
        </w:numPr>
        <w:tabs>
          <w:tab w:val="clear" w:pos="425"/>
        </w:tabs>
        <w:spacing w:line="288" w:lineRule="auto"/>
        <w:rPr>
          <w:rFonts w:hint="eastAsia" w:ascii="宋体" w:hAnsi="宋体" w:eastAsia="宋体" w:cs="宋体"/>
          <w:sz w:val="24"/>
        </w:rPr>
      </w:pPr>
      <w:r>
        <w:rPr>
          <w:rFonts w:hint="eastAsia" w:ascii="宋体" w:hAnsi="宋体" w:eastAsia="宋体" w:cs="宋体"/>
          <w:b w:val="0"/>
          <w:bCs/>
          <w:sz w:val="24"/>
        </w:rPr>
        <w:t>2.1.18.6安全管理中心现状</w:t>
      </w:r>
    </w:p>
    <w:p w14:paraId="00AA9CEB">
      <w:pPr>
        <w:pStyle w:val="19"/>
        <w:spacing w:line="288" w:lineRule="auto"/>
        <w:ind w:firstLine="480"/>
        <w:rPr>
          <w:rFonts w:hint="eastAsia" w:ascii="宋体" w:hAnsi="宋体" w:eastAsia="宋体"/>
          <w:sz w:val="24"/>
        </w:rPr>
      </w:pPr>
      <w:r>
        <w:rPr>
          <w:rFonts w:hint="eastAsia" w:ascii="宋体" w:hAnsi="宋体" w:eastAsia="宋体"/>
          <w:sz w:val="24"/>
        </w:rPr>
        <w:t>琼海市法院办公网部署于属于法院办公专网，在安全监测层面已在安全管理区尚未部署安全管理系统。</w:t>
      </w:r>
    </w:p>
    <w:p w14:paraId="2C5284DE">
      <w:pPr>
        <w:pStyle w:val="19"/>
        <w:spacing w:line="288" w:lineRule="auto"/>
        <w:ind w:firstLine="480"/>
        <w:rPr>
          <w:rFonts w:hint="eastAsia" w:ascii="宋体" w:hAnsi="宋体" w:eastAsia="宋体"/>
          <w:sz w:val="24"/>
        </w:rPr>
      </w:pPr>
      <w:r>
        <w:rPr>
          <w:rFonts w:hint="eastAsia" w:ascii="宋体" w:hAnsi="宋体" w:eastAsia="宋体"/>
          <w:sz w:val="24"/>
        </w:rPr>
        <w:t>安全管理系统通过安全管理中心可实现对网络中的链路、网络设备、安全设备、服务器设备的运行情况进行监视，当发生资源使用异常或安全事件时能发生识别、报警和分析。</w:t>
      </w:r>
    </w:p>
    <w:p w14:paraId="74BFF38A">
      <w:pPr>
        <w:pStyle w:val="19"/>
        <w:spacing w:line="288" w:lineRule="auto"/>
        <w:ind w:firstLine="480"/>
        <w:rPr>
          <w:rFonts w:hint="eastAsia" w:ascii="宋体" w:hAnsi="宋体" w:eastAsia="宋体"/>
          <w:sz w:val="24"/>
        </w:rPr>
      </w:pPr>
      <w:r>
        <w:rPr>
          <w:rFonts w:hint="eastAsia" w:ascii="宋体" w:hAnsi="宋体" w:eastAsia="宋体"/>
          <w:sz w:val="24"/>
        </w:rPr>
        <w:t xml:space="preserve">在安全管理层面，通过安全管理制度配合堡垒机实现统一安全运维管理，设立三员账户，通过对三员（系统管理员、审计管理员、安全管理员）进行分离，并结合堡垒机能对三员进行身份鉴别和操作审计，实现统一安全运维管理。系统管理员主要负责系统的日常运行维护工作。包括网络设备、服务器和用户终端、操作系统数据库、业务系统的安装、配置、升级、维护、运行管理；网络和系统的用户增加或删除；网络和系统的数据备份、运行日志审查和运行情况监控；应急条件下的安全恢复等。审计管理员：主要负责系统管理员、安全管理员、用户等行为进行审计跟踪、分析和监督检查，根据分析结果进行处理，包括根据安全审计策略对审计记录进行存储、管理和查询等，及时发现违规行为等。安全管理员：主要负责网络资产的安全管理工作，包括安全防护体系的建立、各系统的日常安全运维保障、安全设备的管理、安全策略的配置、网络安全事件的处置和响应；应急条件下的安全恢复等。 </w:t>
      </w:r>
    </w:p>
    <w:p w14:paraId="02EEF800">
      <w:pPr>
        <w:pStyle w:val="19"/>
        <w:spacing w:line="288" w:lineRule="auto"/>
        <w:ind w:firstLine="480"/>
        <w:rPr>
          <w:rFonts w:hint="eastAsia" w:ascii="宋体" w:hAnsi="宋体" w:eastAsia="宋体"/>
          <w:sz w:val="24"/>
        </w:rPr>
      </w:pPr>
      <w:r>
        <w:rPr>
          <w:rFonts w:hint="eastAsia" w:ascii="宋体" w:hAnsi="宋体" w:eastAsia="宋体"/>
          <w:sz w:val="24"/>
        </w:rPr>
        <w:t>在安全运营层面，通过安全管理中心、日志审计系统对全网资产、日志、事件信息进行监测、检测、响应和分析，掌握全网的信息资产安全状况，及时发现和处置安全事件。</w:t>
      </w:r>
    </w:p>
    <w:p w14:paraId="24ACC170">
      <w:pPr>
        <w:pStyle w:val="10"/>
        <w:numPr>
          <w:ilvl w:val="3"/>
          <w:numId w:val="0"/>
        </w:numPr>
        <w:tabs>
          <w:tab w:val="clear" w:pos="425"/>
        </w:tabs>
        <w:spacing w:line="288" w:lineRule="auto"/>
        <w:rPr>
          <w:rFonts w:hint="eastAsia" w:ascii="宋体" w:hAnsi="宋体" w:eastAsia="宋体" w:cs="宋体"/>
          <w:b w:val="0"/>
          <w:bCs/>
          <w:sz w:val="24"/>
        </w:rPr>
      </w:pPr>
      <w:r>
        <w:rPr>
          <w:rFonts w:hint="eastAsia" w:ascii="宋体" w:hAnsi="宋体" w:eastAsia="宋体" w:cs="宋体"/>
          <w:b w:val="0"/>
          <w:bCs/>
          <w:sz w:val="24"/>
        </w:rPr>
        <w:t>2.1.18.7安全设备现状</w:t>
      </w:r>
    </w:p>
    <w:p w14:paraId="1285AA54">
      <w:pPr>
        <w:pStyle w:val="19"/>
        <w:spacing w:line="288" w:lineRule="auto"/>
        <w:ind w:firstLine="480"/>
        <w:rPr>
          <w:rFonts w:hint="eastAsia" w:ascii="宋体" w:hAnsi="宋体" w:eastAsia="宋体"/>
          <w:sz w:val="24"/>
        </w:rPr>
      </w:pPr>
      <w:r>
        <w:rPr>
          <w:rFonts w:hint="eastAsia" w:ascii="宋体" w:hAnsi="宋体" w:eastAsia="宋体"/>
          <w:sz w:val="24"/>
        </w:rPr>
        <w:t>现有网络安全设备如下表：</w:t>
      </w:r>
    </w:p>
    <w:p w14:paraId="2CE40B52">
      <w:pPr>
        <w:pStyle w:val="13"/>
        <w:spacing w:line="288" w:lineRule="auto"/>
        <w:rPr>
          <w:rFonts w:hint="eastAsia" w:ascii="宋体" w:hAnsi="宋体" w:eastAsia="宋体" w:cs="宋体"/>
          <w:sz w:val="24"/>
        </w:rPr>
      </w:pPr>
      <w:r>
        <w:rPr>
          <w:rFonts w:hint="eastAsia" w:ascii="宋体" w:hAnsi="宋体" w:eastAsia="宋体" w:cs="宋体"/>
          <w:sz w:val="24"/>
        </w:rPr>
        <w:t xml:space="preserve">表 </w:t>
      </w:r>
      <w:r>
        <w:rPr>
          <w:rFonts w:hint="eastAsia" w:ascii="宋体" w:hAnsi="宋体" w:eastAsia="宋体" w:cs="宋体"/>
          <w:sz w:val="24"/>
        </w:rPr>
        <w:fldChar w:fldCharType="begin"/>
      </w:r>
      <w:r>
        <w:rPr>
          <w:rFonts w:hint="eastAsia" w:ascii="宋体" w:hAnsi="宋体" w:eastAsia="宋体" w:cs="宋体"/>
          <w:sz w:val="24"/>
        </w:rPr>
        <w:instrText xml:space="preserve"> STYLEREF 1 \s </w:instrText>
      </w:r>
      <w:r>
        <w:rPr>
          <w:rFonts w:hint="eastAsia" w:ascii="宋体" w:hAnsi="宋体" w:eastAsia="宋体" w:cs="宋体"/>
          <w:sz w:val="24"/>
        </w:rPr>
        <w:fldChar w:fldCharType="separate"/>
      </w:r>
      <w:r>
        <w:rPr>
          <w:rFonts w:hint="eastAsia" w:ascii="宋体" w:hAnsi="宋体" w:eastAsia="宋体" w:cs="宋体"/>
          <w:sz w:val="24"/>
        </w:rPr>
        <w:t>3</w:t>
      </w:r>
      <w:r>
        <w:rPr>
          <w:rFonts w:hint="eastAsia" w:ascii="宋体" w:hAnsi="宋体" w:eastAsia="宋体" w:cs="宋体"/>
          <w:sz w:val="24"/>
        </w:rPr>
        <w:fldChar w:fldCharType="end"/>
      </w:r>
      <w:r>
        <w:rPr>
          <w:rFonts w:hint="eastAsia" w:ascii="宋体" w:hAnsi="宋体" w:eastAsia="宋体" w:cs="宋体"/>
          <w:sz w:val="24"/>
        </w:rPr>
        <w:noBreakHyphen/>
      </w:r>
      <w:r>
        <w:rPr>
          <w:rFonts w:hint="eastAsia" w:ascii="宋体" w:hAnsi="宋体" w:eastAsia="宋体" w:cs="宋体"/>
          <w:sz w:val="24"/>
        </w:rPr>
        <w:fldChar w:fldCharType="begin"/>
      </w:r>
      <w:r>
        <w:rPr>
          <w:rFonts w:hint="eastAsia" w:ascii="宋体" w:hAnsi="宋体" w:eastAsia="宋体" w:cs="宋体"/>
          <w:sz w:val="24"/>
        </w:rPr>
        <w:instrText xml:space="preserve"> SEQ 表 \* ARABIC \s 1 </w:instrText>
      </w:r>
      <w:r>
        <w:rPr>
          <w:rFonts w:hint="eastAsia" w:ascii="宋体" w:hAnsi="宋体" w:eastAsia="宋体" w:cs="宋体"/>
          <w:sz w:val="24"/>
        </w:rPr>
        <w:fldChar w:fldCharType="separate"/>
      </w:r>
      <w:r>
        <w:rPr>
          <w:rFonts w:hint="eastAsia" w:ascii="宋体" w:hAnsi="宋体" w:eastAsia="宋体" w:cs="宋体"/>
          <w:sz w:val="24"/>
        </w:rPr>
        <w:t>8</w:t>
      </w:r>
      <w:r>
        <w:rPr>
          <w:rFonts w:hint="eastAsia" w:ascii="宋体" w:hAnsi="宋体" w:eastAsia="宋体" w:cs="宋体"/>
          <w:sz w:val="24"/>
        </w:rPr>
        <w:fldChar w:fldCharType="end"/>
      </w:r>
      <w:r>
        <w:rPr>
          <w:rFonts w:hint="eastAsia" w:ascii="宋体" w:hAnsi="宋体" w:eastAsia="宋体" w:cs="宋体"/>
          <w:sz w:val="24"/>
        </w:rPr>
        <w:t xml:space="preserve"> 现有安全设备表</w:t>
      </w:r>
    </w:p>
    <w:tbl>
      <w:tblPr>
        <w:tblStyle w:val="17"/>
        <w:tblW w:w="4999" w:type="pct"/>
        <w:tblInd w:w="0" w:type="dxa"/>
        <w:tblLayout w:type="autofit"/>
        <w:tblCellMar>
          <w:top w:w="0" w:type="dxa"/>
          <w:left w:w="108" w:type="dxa"/>
          <w:bottom w:w="0" w:type="dxa"/>
          <w:right w:w="108" w:type="dxa"/>
        </w:tblCellMar>
      </w:tblPr>
      <w:tblGrid>
        <w:gridCol w:w="2074"/>
        <w:gridCol w:w="4547"/>
        <w:gridCol w:w="1899"/>
      </w:tblGrid>
      <w:tr w14:paraId="1A6DB8D2">
        <w:tblPrEx>
          <w:tblCellMar>
            <w:top w:w="0" w:type="dxa"/>
            <w:left w:w="108" w:type="dxa"/>
            <w:bottom w:w="0" w:type="dxa"/>
            <w:right w:w="108" w:type="dxa"/>
          </w:tblCellMar>
        </w:tblPrEx>
        <w:trPr>
          <w:trHeight w:val="624" w:hRule="atLeast"/>
          <w:tblHeader/>
        </w:trPr>
        <w:tc>
          <w:tcPr>
            <w:tcW w:w="1217" w:type="pct"/>
            <w:tcBorders>
              <w:top w:val="single" w:color="000000" w:sz="4" w:space="0"/>
              <w:left w:val="single" w:color="000000" w:sz="4" w:space="0"/>
              <w:bottom w:val="single" w:color="000000" w:sz="4" w:space="0"/>
              <w:right w:val="single" w:color="000000" w:sz="4" w:space="0"/>
            </w:tcBorders>
            <w:noWrap/>
            <w:vAlign w:val="center"/>
          </w:tcPr>
          <w:p w14:paraId="4393021C">
            <w:pPr>
              <w:widowControl/>
              <w:spacing w:line="288" w:lineRule="auto"/>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序号</w:t>
            </w:r>
          </w:p>
        </w:tc>
        <w:tc>
          <w:tcPr>
            <w:tcW w:w="2668" w:type="pct"/>
            <w:tcBorders>
              <w:top w:val="single" w:color="000000" w:sz="4" w:space="0"/>
              <w:left w:val="single" w:color="000000" w:sz="4" w:space="0"/>
              <w:bottom w:val="single" w:color="000000" w:sz="4" w:space="0"/>
              <w:right w:val="single" w:color="000000" w:sz="4" w:space="0"/>
            </w:tcBorders>
            <w:noWrap/>
            <w:vAlign w:val="center"/>
          </w:tcPr>
          <w:p w14:paraId="79C4C449">
            <w:pPr>
              <w:widowControl/>
              <w:spacing w:line="288" w:lineRule="auto"/>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0CAB15BD">
            <w:pPr>
              <w:widowControl/>
              <w:spacing w:line="288" w:lineRule="auto"/>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数量</w:t>
            </w:r>
          </w:p>
        </w:tc>
      </w:tr>
      <w:tr w14:paraId="2C42423A">
        <w:tblPrEx>
          <w:tblCellMar>
            <w:top w:w="0" w:type="dxa"/>
            <w:left w:w="108" w:type="dxa"/>
            <w:bottom w:w="0" w:type="dxa"/>
            <w:right w:w="108" w:type="dxa"/>
          </w:tblCellMar>
        </w:tblPrEx>
        <w:trPr>
          <w:trHeight w:val="454" w:hRule="atLeast"/>
        </w:trPr>
        <w:tc>
          <w:tcPr>
            <w:tcW w:w="1217" w:type="pct"/>
            <w:tcBorders>
              <w:top w:val="single" w:color="000000" w:sz="4" w:space="0"/>
              <w:left w:val="single" w:color="000000" w:sz="4" w:space="0"/>
              <w:bottom w:val="single" w:color="000000" w:sz="4" w:space="0"/>
              <w:right w:val="single" w:color="000000" w:sz="4" w:space="0"/>
            </w:tcBorders>
            <w:noWrap/>
            <w:vAlign w:val="center"/>
          </w:tcPr>
          <w:p w14:paraId="7E581CDD">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1</w:t>
            </w:r>
          </w:p>
        </w:tc>
        <w:tc>
          <w:tcPr>
            <w:tcW w:w="2668" w:type="pct"/>
            <w:tcBorders>
              <w:top w:val="single" w:color="000000" w:sz="4" w:space="0"/>
              <w:left w:val="single" w:color="000000" w:sz="4" w:space="0"/>
              <w:bottom w:val="single" w:color="000000" w:sz="4" w:space="0"/>
              <w:right w:val="single" w:color="000000" w:sz="4" w:space="0"/>
            </w:tcBorders>
            <w:noWrap/>
            <w:vAlign w:val="center"/>
          </w:tcPr>
          <w:p w14:paraId="15583C8E">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防火墙</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7517C735">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1</w:t>
            </w:r>
          </w:p>
        </w:tc>
      </w:tr>
      <w:tr w14:paraId="283B84A2">
        <w:tblPrEx>
          <w:tblCellMar>
            <w:top w:w="0" w:type="dxa"/>
            <w:left w:w="108" w:type="dxa"/>
            <w:bottom w:w="0" w:type="dxa"/>
            <w:right w:w="108" w:type="dxa"/>
          </w:tblCellMar>
        </w:tblPrEx>
        <w:trPr>
          <w:trHeight w:val="454" w:hRule="atLeast"/>
        </w:trPr>
        <w:tc>
          <w:tcPr>
            <w:tcW w:w="1217" w:type="pct"/>
            <w:tcBorders>
              <w:top w:val="single" w:color="000000" w:sz="4" w:space="0"/>
              <w:left w:val="single" w:color="000000" w:sz="4" w:space="0"/>
              <w:bottom w:val="single" w:color="000000" w:sz="4" w:space="0"/>
              <w:right w:val="single" w:color="000000" w:sz="4" w:space="0"/>
            </w:tcBorders>
            <w:noWrap/>
            <w:vAlign w:val="center"/>
          </w:tcPr>
          <w:p w14:paraId="04F37C39">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2</w:t>
            </w:r>
          </w:p>
        </w:tc>
        <w:tc>
          <w:tcPr>
            <w:tcW w:w="2668" w:type="pct"/>
            <w:tcBorders>
              <w:top w:val="single" w:color="000000" w:sz="4" w:space="0"/>
              <w:left w:val="single" w:color="000000" w:sz="4" w:space="0"/>
              <w:bottom w:val="single" w:color="000000" w:sz="4" w:space="0"/>
              <w:right w:val="single" w:color="000000" w:sz="4" w:space="0"/>
            </w:tcBorders>
            <w:noWrap/>
            <w:vAlign w:val="center"/>
          </w:tcPr>
          <w:p w14:paraId="0BF13F52">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桌管系统</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4116F180">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200</w:t>
            </w:r>
          </w:p>
        </w:tc>
      </w:tr>
      <w:tr w14:paraId="2A53A084">
        <w:tblPrEx>
          <w:tblCellMar>
            <w:top w:w="0" w:type="dxa"/>
            <w:left w:w="108" w:type="dxa"/>
            <w:bottom w:w="0" w:type="dxa"/>
            <w:right w:w="108" w:type="dxa"/>
          </w:tblCellMar>
        </w:tblPrEx>
        <w:trPr>
          <w:trHeight w:val="454" w:hRule="atLeast"/>
        </w:trPr>
        <w:tc>
          <w:tcPr>
            <w:tcW w:w="1217" w:type="pct"/>
            <w:tcBorders>
              <w:top w:val="single" w:color="000000" w:sz="4" w:space="0"/>
              <w:left w:val="single" w:color="000000" w:sz="4" w:space="0"/>
              <w:bottom w:val="single" w:color="000000" w:sz="4" w:space="0"/>
              <w:right w:val="single" w:color="000000" w:sz="4" w:space="0"/>
            </w:tcBorders>
            <w:noWrap/>
            <w:vAlign w:val="center"/>
          </w:tcPr>
          <w:p w14:paraId="0E5BF91F">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3</w:t>
            </w:r>
          </w:p>
        </w:tc>
        <w:tc>
          <w:tcPr>
            <w:tcW w:w="2668" w:type="pct"/>
            <w:tcBorders>
              <w:top w:val="single" w:color="000000" w:sz="4" w:space="0"/>
              <w:left w:val="single" w:color="000000" w:sz="4" w:space="0"/>
              <w:bottom w:val="single" w:color="000000" w:sz="4" w:space="0"/>
              <w:right w:val="single" w:color="000000" w:sz="4" w:space="0"/>
            </w:tcBorders>
            <w:noWrap/>
            <w:vAlign w:val="center"/>
          </w:tcPr>
          <w:p w14:paraId="7970CB90">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杀毒软件</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773E4114">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200</w:t>
            </w:r>
          </w:p>
        </w:tc>
      </w:tr>
      <w:tr w14:paraId="46C512CC">
        <w:tblPrEx>
          <w:tblCellMar>
            <w:top w:w="0" w:type="dxa"/>
            <w:left w:w="108" w:type="dxa"/>
            <w:bottom w:w="0" w:type="dxa"/>
            <w:right w:w="108" w:type="dxa"/>
          </w:tblCellMar>
        </w:tblPrEx>
        <w:trPr>
          <w:trHeight w:val="454" w:hRule="atLeast"/>
        </w:trPr>
        <w:tc>
          <w:tcPr>
            <w:tcW w:w="1217" w:type="pct"/>
            <w:tcBorders>
              <w:top w:val="single" w:color="000000" w:sz="4" w:space="0"/>
              <w:left w:val="single" w:color="000000" w:sz="4" w:space="0"/>
              <w:bottom w:val="single" w:color="000000" w:sz="4" w:space="0"/>
              <w:right w:val="single" w:color="000000" w:sz="4" w:space="0"/>
            </w:tcBorders>
            <w:noWrap/>
            <w:vAlign w:val="center"/>
          </w:tcPr>
          <w:p w14:paraId="6541B25B">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4</w:t>
            </w:r>
          </w:p>
        </w:tc>
        <w:tc>
          <w:tcPr>
            <w:tcW w:w="2668" w:type="pct"/>
            <w:tcBorders>
              <w:top w:val="single" w:color="000000" w:sz="4" w:space="0"/>
              <w:left w:val="single" w:color="000000" w:sz="4" w:space="0"/>
              <w:bottom w:val="single" w:color="000000" w:sz="4" w:space="0"/>
              <w:right w:val="single" w:color="000000" w:sz="4" w:space="0"/>
            </w:tcBorders>
            <w:noWrap/>
            <w:vAlign w:val="center"/>
          </w:tcPr>
          <w:p w14:paraId="24643510">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防外联软件</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33545EC9">
            <w:pPr>
              <w:widowControl/>
              <w:spacing w:line="288"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rPr>
              <w:t>13</w:t>
            </w:r>
          </w:p>
        </w:tc>
      </w:tr>
    </w:tbl>
    <w:p w14:paraId="116EE46B">
      <w:pPr>
        <w:pStyle w:val="9"/>
        <w:numPr>
          <w:ilvl w:val="2"/>
          <w:numId w:val="0"/>
        </w:numPr>
        <w:spacing w:line="288" w:lineRule="auto"/>
        <w:rPr>
          <w:rFonts w:hint="eastAsia" w:ascii="宋体" w:hAnsi="宋体" w:eastAsia="宋体" w:cs="宋体"/>
          <w:sz w:val="24"/>
        </w:rPr>
      </w:pPr>
      <w:bookmarkStart w:id="98" w:name="_Toc6527"/>
      <w:r>
        <w:rPr>
          <w:rFonts w:hint="eastAsia" w:ascii="宋体" w:hAnsi="宋体" w:eastAsia="宋体" w:cs="宋体"/>
          <w:bCs/>
          <w:sz w:val="24"/>
        </w:rPr>
        <w:t>2.1.18.8</w:t>
      </w:r>
      <w:r>
        <w:rPr>
          <w:rFonts w:hint="eastAsia" w:ascii="宋体" w:hAnsi="宋体" w:eastAsia="宋体" w:cs="宋体"/>
          <w:sz w:val="24"/>
        </w:rPr>
        <w:t>安全管理保障体系</w:t>
      </w:r>
      <w:bookmarkEnd w:id="98"/>
    </w:p>
    <w:p w14:paraId="663D9B36">
      <w:pPr>
        <w:pStyle w:val="19"/>
        <w:spacing w:line="288" w:lineRule="auto"/>
        <w:ind w:firstLine="480"/>
        <w:rPr>
          <w:rFonts w:hint="eastAsia" w:ascii="宋体" w:hAnsi="宋体" w:eastAsia="宋体"/>
          <w:sz w:val="24"/>
        </w:rPr>
      </w:pPr>
      <w:r>
        <w:rPr>
          <w:rFonts w:hint="eastAsia" w:ascii="宋体" w:hAnsi="宋体" w:eastAsia="宋体"/>
          <w:sz w:val="24"/>
        </w:rPr>
        <w:t>安全策略方面，单位建有《琼海市人民法院信息安全管理制度》，制度中具有安全总体方针和安全策略文件，明确了网络安全工作的目标、范围、原则和安全策略等内容。管理制度方面，单位的《琼海市人民法院信息安全管理制度》包含物理环境、网络、机构、人员、建设和系统运维等方面内容，且明确日常管理操作规程。制定和发布方面，由电脑办公室负责管理制度的制定，且制度都是通过正式有效的方式发布，并定期对管理制度进行修订。</w:t>
      </w:r>
    </w:p>
    <w:p w14:paraId="64784540">
      <w:pPr>
        <w:pStyle w:val="9"/>
        <w:numPr>
          <w:ilvl w:val="2"/>
          <w:numId w:val="0"/>
        </w:numPr>
        <w:spacing w:line="288" w:lineRule="auto"/>
        <w:rPr>
          <w:rFonts w:hint="eastAsia" w:ascii="宋体" w:hAnsi="宋体" w:eastAsia="宋体" w:cs="宋体"/>
          <w:b/>
          <w:bCs/>
          <w:sz w:val="24"/>
        </w:rPr>
      </w:pPr>
      <w:bookmarkStart w:id="99" w:name="_Toc15438"/>
      <w:r>
        <w:rPr>
          <w:rFonts w:hint="eastAsia" w:ascii="宋体" w:hAnsi="宋体" w:eastAsia="宋体" w:cs="宋体"/>
          <w:b/>
          <w:bCs/>
          <w:sz w:val="24"/>
        </w:rPr>
        <w:t>2.2网络安全服务现状</w:t>
      </w:r>
      <w:bookmarkEnd w:id="99"/>
    </w:p>
    <w:p w14:paraId="750591E5">
      <w:pPr>
        <w:rPr>
          <w:rFonts w:hint="eastAsia" w:ascii="宋体" w:hAnsi="宋体" w:eastAsia="宋体" w:cs="宋体"/>
          <w:sz w:val="24"/>
        </w:rPr>
      </w:pPr>
      <w:r>
        <w:rPr>
          <w:rFonts w:hint="eastAsia" w:ascii="宋体" w:hAnsi="宋体" w:eastAsia="宋体" w:cs="宋体"/>
          <w:sz w:val="24"/>
        </w:rPr>
        <w:t>2.2.1安全管理制度</w:t>
      </w:r>
    </w:p>
    <w:p w14:paraId="71BB02BD">
      <w:pPr>
        <w:pStyle w:val="19"/>
        <w:spacing w:line="288" w:lineRule="auto"/>
        <w:ind w:firstLine="480"/>
        <w:rPr>
          <w:rFonts w:hint="eastAsia" w:ascii="宋体" w:hAnsi="宋体" w:eastAsia="宋体"/>
          <w:sz w:val="24"/>
        </w:rPr>
      </w:pPr>
      <w:r>
        <w:rPr>
          <w:rFonts w:hint="eastAsia" w:ascii="宋体" w:hAnsi="宋体" w:eastAsia="宋体"/>
          <w:sz w:val="24"/>
        </w:rPr>
        <w:t>单位已建立较为完善的信息安全保障制度体系。具有网络安全方针和策略文件《信息安全工作总体方针》《信息安全工作安全策略》，文件明确了机构网络安全工作的安全目标、适用范围、安全策略和原则等内容；建立安全管理制度《安全管理制度》，制度覆盖物理环境、机构、人员、网络、安全运维和安全系统建设等层面的管理内容；具有《日常管理操作的操作规程》，操作规程覆盖了网络、设备、应用和数据层面的重要操作规程，规定管理人员或操作人员执行的日常管理操作，已制定了信息安全工作的总体方针和安全策略、安全管理制度、操作规程、软件开发管理等制度，形成了网络安全管理制度体系。具有制度制定和发布要求的管理文档，文档内容覆盖安全管理制度制定和程序，规定定期对制度进行修订，有利于保障信息系统的有效运转和信息安全管理工作的开展。</w:t>
      </w:r>
    </w:p>
    <w:p w14:paraId="2E64F2F0">
      <w:pPr>
        <w:rPr>
          <w:rFonts w:hint="eastAsia" w:ascii="宋体" w:hAnsi="宋体" w:eastAsia="宋体" w:cs="宋体"/>
          <w:sz w:val="24"/>
        </w:rPr>
      </w:pPr>
      <w:r>
        <w:rPr>
          <w:rFonts w:hint="eastAsia" w:ascii="宋体" w:hAnsi="宋体" w:eastAsia="宋体" w:cs="宋体"/>
          <w:sz w:val="24"/>
        </w:rPr>
        <w:t>2.2.2安全管理机构</w:t>
      </w:r>
    </w:p>
    <w:p w14:paraId="71C8B8C7">
      <w:pPr>
        <w:pStyle w:val="19"/>
        <w:spacing w:line="288" w:lineRule="auto"/>
        <w:ind w:firstLine="480"/>
        <w:rPr>
          <w:rFonts w:hint="eastAsia" w:ascii="宋体" w:hAnsi="宋体" w:eastAsia="宋体"/>
          <w:sz w:val="24"/>
        </w:rPr>
      </w:pPr>
      <w:r>
        <w:rPr>
          <w:rFonts w:hint="eastAsia" w:ascii="宋体" w:hAnsi="宋体" w:eastAsia="宋体"/>
          <w:sz w:val="24"/>
        </w:rPr>
        <w:t>安全管理机构较为完善，成立了信息安全领导小组；制定文件设立了系统管理员、审计管理员和安全管理员等岗位，并明确各工作岗位的职责；在授权和审批方面，明确规定各个部门和岗位授权审批事项、审批部门和批准人等，明确了信息系统开发、系统变更、安全访问等重要操作的审批流程；在沟通和合作方面已做到内部机构之间建立相关沟通交流机制，与网络安全管理部门、运维单位、各类供应商保持沟通和联系，具有外联单位联系列表，内容包括外联单位名称、联系人、合作内容和联系方式等信息；在审核和检查方面，定期进行全面安全工作检查，检查内容包括物理环境、设备、系统、应用、数据备份等情况，安全管理员定期开展全面安全检查，检查内容包括系统日常运行、系统漏洞和数据备份等情况。</w:t>
      </w:r>
    </w:p>
    <w:p w14:paraId="3C659118">
      <w:pPr>
        <w:rPr>
          <w:rFonts w:hint="eastAsia" w:ascii="宋体" w:hAnsi="宋体" w:eastAsia="宋体" w:cs="宋体"/>
          <w:sz w:val="24"/>
        </w:rPr>
      </w:pPr>
      <w:r>
        <w:rPr>
          <w:rFonts w:hint="eastAsia" w:ascii="宋体" w:hAnsi="宋体" w:eastAsia="宋体" w:cs="宋体"/>
          <w:sz w:val="24"/>
        </w:rPr>
        <w:t>2.2.3安全管理人员</w:t>
      </w:r>
    </w:p>
    <w:p w14:paraId="1F7C27A7">
      <w:pPr>
        <w:pStyle w:val="19"/>
        <w:spacing w:line="288" w:lineRule="auto"/>
        <w:ind w:firstLine="480"/>
        <w:rPr>
          <w:rFonts w:hint="eastAsia" w:ascii="宋体" w:hAnsi="宋体" w:eastAsia="宋体"/>
          <w:sz w:val="24"/>
        </w:rPr>
      </w:pPr>
      <w:r>
        <w:rPr>
          <w:rFonts w:hint="eastAsia" w:ascii="宋体" w:hAnsi="宋体" w:eastAsia="宋体"/>
          <w:sz w:val="24"/>
        </w:rPr>
        <w:t>在人员录用方面，指定人事部门、信息中心主要负责人员录用工作，并制定人员录用的相关制度；在人员离岗方面，工作人员离岗离职时，需填写调离手续并对离岗员进行审定、及时撤销访问权限和信息资产归还审定，及时取回即将离岗员工各种胸卡、钥匙、徽章等以及机构提供的软硬件设备；在安全意识教育和培训方面，具有《人员安全教育和培训管理文档》明确培训周期、培训方式、培训内容等相关内容，明确安全责任和惩戒措施，制定不同岗位的培训计划包括信息安全基础知识、岗位操作规程等；外部人员物理访问受控区域需填写进出登记表，访问受控区域需先提出书面申请、签署保密协议，并由专人全程陪同，外部人员离场后清除其权限。</w:t>
      </w:r>
    </w:p>
    <w:p w14:paraId="7909F4A7">
      <w:pPr>
        <w:rPr>
          <w:rFonts w:hint="eastAsia" w:ascii="宋体" w:hAnsi="宋体" w:eastAsia="宋体" w:cs="宋体"/>
          <w:sz w:val="24"/>
        </w:rPr>
      </w:pPr>
      <w:r>
        <w:rPr>
          <w:rFonts w:hint="eastAsia" w:ascii="宋体" w:hAnsi="宋体" w:eastAsia="宋体" w:cs="宋体"/>
          <w:sz w:val="24"/>
        </w:rPr>
        <w:t>2.2.4安全运维管理</w:t>
      </w:r>
    </w:p>
    <w:p w14:paraId="0DFB9359">
      <w:pPr>
        <w:pStyle w:val="19"/>
        <w:spacing w:line="288" w:lineRule="auto"/>
        <w:ind w:firstLine="480"/>
        <w:rPr>
          <w:rFonts w:hint="eastAsia" w:ascii="宋体" w:hAnsi="宋体" w:eastAsia="宋体"/>
          <w:sz w:val="24"/>
        </w:rPr>
      </w:pPr>
      <w:r>
        <w:rPr>
          <w:rFonts w:hint="eastAsia" w:ascii="宋体" w:hAnsi="宋体" w:eastAsia="宋体"/>
          <w:sz w:val="24"/>
        </w:rPr>
        <w:t>有专人定期负责维护机房基本设施，对设备日常补丁升级、漏洞检查、安全审计记录进行有效监管；机房环境由琼海市人民法院进行管理，具有制度文档《机房安全管理制度》明确机房物理访问、物品进出机房、机房环境安全等方面内容。《办公环境管理文档》明确了来访人员的接待区域及时间，员工的办公桌面物品排放，工作文稿放置，严防遗失、泄密等。在资产管理、介质管理、设备维护管理、漏洞和风险管理、网络和系统安全管理方面管理较为到位；在恶意代码防范管理、配置管理、变更管理、备份与恢复管理、外包运维管理方面均做了规范管理。在整体安全方面有相应的安全事件处置，同时也制定了相应的安全事件处置，以应对各种突发安全事件。</w:t>
      </w:r>
    </w:p>
    <w:p w14:paraId="0750675F">
      <w:pPr>
        <w:rPr>
          <w:rFonts w:hint="eastAsia" w:ascii="宋体" w:hAnsi="宋体" w:eastAsia="宋体" w:cs="宋体"/>
          <w:b/>
          <w:bCs/>
          <w:sz w:val="24"/>
        </w:rPr>
      </w:pPr>
      <w:bookmarkStart w:id="100" w:name="_Toc3376"/>
      <w:r>
        <w:rPr>
          <w:rFonts w:hint="eastAsia" w:ascii="宋体" w:hAnsi="宋体" w:eastAsia="宋体" w:cs="宋体"/>
          <w:b/>
          <w:bCs/>
          <w:sz w:val="24"/>
        </w:rPr>
        <w:t>2.3信息化基础设施和能力的差距</w:t>
      </w:r>
      <w:bookmarkEnd w:id="95"/>
      <w:r>
        <w:rPr>
          <w:rFonts w:hint="eastAsia" w:ascii="宋体" w:hAnsi="宋体" w:eastAsia="宋体" w:cs="宋体"/>
          <w:b/>
          <w:bCs/>
          <w:sz w:val="24"/>
        </w:rPr>
        <w:t>与不足</w:t>
      </w:r>
      <w:bookmarkEnd w:id="96"/>
      <w:bookmarkEnd w:id="97"/>
      <w:bookmarkEnd w:id="100"/>
    </w:p>
    <w:p w14:paraId="329A572B">
      <w:pPr>
        <w:pStyle w:val="19"/>
        <w:spacing w:line="288" w:lineRule="auto"/>
        <w:ind w:firstLine="480"/>
        <w:rPr>
          <w:rFonts w:hint="eastAsia" w:ascii="宋体" w:hAnsi="宋体" w:eastAsia="宋体"/>
          <w:sz w:val="24"/>
        </w:rPr>
      </w:pPr>
      <w:r>
        <w:rPr>
          <w:rFonts w:hint="eastAsia" w:ascii="宋体" w:hAnsi="宋体" w:eastAsia="宋体"/>
          <w:sz w:val="24"/>
        </w:rPr>
        <w:t>本项目信息化基础设施和能力的差距与不足主要涉及院内新建的1号楼和2号楼两栋大楼，目前两栋新建大楼只有基础的土建工程，无法接入法院专网和互联网，无法与原有办公大楼进行网络的互通，无法对大楼进行安全防护，无法顺利开展诉讼立案、执行、视频会商、指挥等业务。从机房、服务器、存储备份、系统及工具软件、网络等方面进行差距与不足的分析。</w:t>
      </w:r>
    </w:p>
    <w:p w14:paraId="660ED42D">
      <w:pPr>
        <w:rPr>
          <w:rFonts w:hint="eastAsia" w:ascii="宋体" w:hAnsi="宋体" w:eastAsia="宋体" w:cs="宋体"/>
          <w:sz w:val="24"/>
        </w:rPr>
      </w:pPr>
      <w:bookmarkStart w:id="101" w:name="_Toc21050"/>
      <w:bookmarkStart w:id="102" w:name="_Toc85443513"/>
      <w:r>
        <w:rPr>
          <w:rFonts w:hint="eastAsia" w:ascii="宋体" w:hAnsi="宋体" w:eastAsia="宋体" w:cs="宋体"/>
          <w:sz w:val="24"/>
        </w:rPr>
        <w:t>2.3.1机房差距</w:t>
      </w:r>
      <w:bookmarkEnd w:id="101"/>
      <w:bookmarkEnd w:id="102"/>
    </w:p>
    <w:p w14:paraId="61EEAE18">
      <w:pPr>
        <w:pStyle w:val="19"/>
        <w:spacing w:line="288" w:lineRule="auto"/>
        <w:ind w:firstLine="480"/>
        <w:rPr>
          <w:rFonts w:hint="eastAsia" w:ascii="宋体" w:hAnsi="宋体" w:eastAsia="宋体"/>
          <w:sz w:val="24"/>
        </w:rPr>
      </w:pPr>
      <w:r>
        <w:rPr>
          <w:rFonts w:hint="eastAsia" w:ascii="宋体" w:hAnsi="宋体" w:eastAsia="宋体"/>
          <w:sz w:val="24"/>
        </w:rPr>
        <w:t>原有机房满足业务使用需求，但目前新建的两栋大楼弱电井未部署放置网络设备的机柜，需在两栋大楼各个楼层根据弱电井实际空间情况部署一台网络机柜，用于放置各楼层的网络设备；2号楼三楼拟新建的信息机房宽6米，长6米，层高3.6米，面积约36平方米，目前只有基础建筑，机房活荷载设计标准值为7.0KN/m²，参照《数据中心设计规范》（GB50174-2017）C级机房要求，满足机房承重要求，还缺少装修工程、消防工程、空调系统、供配电工程、防雷接地系统、机房布线工程等。</w:t>
      </w:r>
      <w:bookmarkStart w:id="103" w:name="_Toc493702776"/>
      <w:bookmarkStart w:id="104" w:name="_Toc507"/>
      <w:bookmarkStart w:id="105" w:name="_Toc85443514"/>
    </w:p>
    <w:p w14:paraId="1C99B034">
      <w:pPr>
        <w:pStyle w:val="19"/>
        <w:spacing w:line="288" w:lineRule="auto"/>
        <w:ind w:firstLine="0" w:firstLineChars="0"/>
        <w:rPr>
          <w:rFonts w:hint="eastAsia" w:ascii="宋体" w:hAnsi="宋体" w:eastAsia="宋体"/>
          <w:sz w:val="24"/>
        </w:rPr>
      </w:pPr>
      <w:r>
        <w:rPr>
          <w:rFonts w:hint="eastAsia" w:ascii="宋体" w:hAnsi="宋体" w:eastAsia="宋体"/>
          <w:sz w:val="24"/>
        </w:rPr>
        <w:t>2.3.2服务器</w:t>
      </w:r>
      <w:bookmarkEnd w:id="103"/>
      <w:r>
        <w:rPr>
          <w:rFonts w:hint="eastAsia" w:ascii="宋体" w:hAnsi="宋体" w:eastAsia="宋体"/>
          <w:sz w:val="24"/>
        </w:rPr>
        <w:t>差距</w:t>
      </w:r>
      <w:bookmarkEnd w:id="104"/>
      <w:bookmarkEnd w:id="105"/>
    </w:p>
    <w:p w14:paraId="4F097A6E">
      <w:pPr>
        <w:pStyle w:val="19"/>
        <w:spacing w:line="288" w:lineRule="auto"/>
        <w:ind w:firstLine="480"/>
        <w:rPr>
          <w:rFonts w:hint="eastAsia" w:ascii="宋体" w:hAnsi="宋体" w:eastAsia="宋体"/>
          <w:sz w:val="24"/>
        </w:rPr>
      </w:pPr>
      <w:r>
        <w:rPr>
          <w:rFonts w:hint="eastAsia" w:ascii="宋体" w:hAnsi="宋体" w:eastAsia="宋体"/>
          <w:sz w:val="24"/>
        </w:rPr>
        <w:t>法院原有服务器利用率均未超过50%，且各台服务器均能正常使用，本项目将充分利旧原有服务器。本项目新增的智慧法庭、安防系统等服务器根据需要进行相应配置。</w:t>
      </w:r>
      <w:bookmarkStart w:id="106" w:name="_Toc493702777"/>
      <w:bookmarkStart w:id="107" w:name="_Toc85443515"/>
      <w:bookmarkStart w:id="108" w:name="_Toc17487"/>
    </w:p>
    <w:p w14:paraId="39AAA900">
      <w:pPr>
        <w:pStyle w:val="19"/>
        <w:spacing w:line="288" w:lineRule="auto"/>
        <w:ind w:firstLine="0" w:firstLineChars="0"/>
        <w:rPr>
          <w:rFonts w:hint="eastAsia" w:ascii="宋体" w:hAnsi="宋体" w:eastAsia="宋体"/>
          <w:sz w:val="24"/>
        </w:rPr>
      </w:pPr>
      <w:r>
        <w:rPr>
          <w:rFonts w:hint="eastAsia" w:ascii="宋体" w:hAnsi="宋体" w:eastAsia="宋体"/>
          <w:sz w:val="24"/>
        </w:rPr>
        <w:t>2.3.3存储备份</w:t>
      </w:r>
      <w:bookmarkEnd w:id="106"/>
      <w:r>
        <w:rPr>
          <w:rFonts w:hint="eastAsia" w:ascii="宋体" w:hAnsi="宋体" w:eastAsia="宋体"/>
          <w:sz w:val="24"/>
        </w:rPr>
        <w:t>差距</w:t>
      </w:r>
      <w:bookmarkEnd w:id="107"/>
      <w:bookmarkEnd w:id="108"/>
    </w:p>
    <w:p w14:paraId="63223313">
      <w:pPr>
        <w:pStyle w:val="19"/>
        <w:spacing w:line="288" w:lineRule="auto"/>
        <w:ind w:firstLine="480"/>
        <w:rPr>
          <w:rFonts w:hint="eastAsia" w:ascii="宋体" w:hAnsi="宋体" w:eastAsia="宋体"/>
          <w:sz w:val="24"/>
        </w:rPr>
      </w:pPr>
      <w:r>
        <w:rPr>
          <w:rFonts w:hint="eastAsia" w:ascii="宋体" w:hAnsi="宋体" w:eastAsia="宋体"/>
          <w:sz w:val="24"/>
        </w:rPr>
        <w:t>法院原有存储设备利用率未超过30%，且存储设备能正常使用，本项目在充分利旧原有存储设备的基础上，根据需要新增存储空间。</w:t>
      </w:r>
      <w:bookmarkStart w:id="109" w:name="_Toc493702778"/>
      <w:bookmarkStart w:id="110" w:name="_Toc24063"/>
      <w:bookmarkStart w:id="111" w:name="_Toc85443516"/>
    </w:p>
    <w:p w14:paraId="320E4415">
      <w:pPr>
        <w:pStyle w:val="19"/>
        <w:spacing w:line="288" w:lineRule="auto"/>
        <w:ind w:firstLine="0" w:firstLineChars="0"/>
        <w:rPr>
          <w:rFonts w:hint="eastAsia" w:ascii="宋体" w:hAnsi="宋体" w:eastAsia="宋体"/>
          <w:sz w:val="24"/>
        </w:rPr>
      </w:pPr>
      <w:r>
        <w:rPr>
          <w:rFonts w:hint="eastAsia" w:ascii="宋体" w:hAnsi="宋体" w:eastAsia="宋体"/>
          <w:sz w:val="24"/>
        </w:rPr>
        <w:t>2.3.4系统及工具软件</w:t>
      </w:r>
      <w:bookmarkEnd w:id="109"/>
      <w:r>
        <w:rPr>
          <w:rFonts w:hint="eastAsia" w:ascii="宋体" w:hAnsi="宋体" w:eastAsia="宋体"/>
          <w:sz w:val="24"/>
        </w:rPr>
        <w:t>差距</w:t>
      </w:r>
      <w:bookmarkEnd w:id="110"/>
      <w:bookmarkEnd w:id="111"/>
    </w:p>
    <w:p w14:paraId="6856ADD9">
      <w:pPr>
        <w:pStyle w:val="19"/>
        <w:spacing w:line="288" w:lineRule="auto"/>
        <w:ind w:firstLine="480"/>
        <w:rPr>
          <w:rFonts w:hint="eastAsia" w:ascii="宋体" w:hAnsi="宋体" w:eastAsia="宋体"/>
          <w:sz w:val="24"/>
        </w:rPr>
      </w:pPr>
      <w:r>
        <w:rPr>
          <w:rFonts w:hint="eastAsia" w:ascii="宋体" w:hAnsi="宋体" w:eastAsia="宋体"/>
          <w:sz w:val="24"/>
        </w:rPr>
        <w:t>本项目终端、服务器等硬件设备需配置相关的配套软件。</w:t>
      </w:r>
      <w:bookmarkStart w:id="112" w:name="_Toc493702779"/>
      <w:bookmarkStart w:id="113" w:name="_Toc11930"/>
      <w:bookmarkStart w:id="114" w:name="_Toc85443517"/>
    </w:p>
    <w:p w14:paraId="60583DF7">
      <w:pPr>
        <w:pStyle w:val="19"/>
        <w:spacing w:line="288" w:lineRule="auto"/>
        <w:ind w:firstLine="0" w:firstLineChars="0"/>
        <w:rPr>
          <w:rFonts w:hint="eastAsia" w:ascii="宋体" w:hAnsi="宋体" w:eastAsia="宋体"/>
          <w:sz w:val="24"/>
        </w:rPr>
      </w:pPr>
      <w:r>
        <w:rPr>
          <w:rFonts w:hint="eastAsia" w:ascii="宋体" w:hAnsi="宋体" w:eastAsia="宋体"/>
          <w:sz w:val="24"/>
        </w:rPr>
        <w:t>2.3.5网络</w:t>
      </w:r>
      <w:bookmarkEnd w:id="112"/>
      <w:r>
        <w:rPr>
          <w:rFonts w:hint="eastAsia" w:ascii="宋体" w:hAnsi="宋体" w:eastAsia="宋体"/>
          <w:sz w:val="24"/>
        </w:rPr>
        <w:t>差距</w:t>
      </w:r>
      <w:bookmarkEnd w:id="113"/>
      <w:bookmarkEnd w:id="114"/>
    </w:p>
    <w:p w14:paraId="344E084B">
      <w:pPr>
        <w:pStyle w:val="19"/>
        <w:spacing w:line="288" w:lineRule="auto"/>
        <w:ind w:firstLine="480"/>
        <w:rPr>
          <w:rFonts w:hint="eastAsia" w:ascii="宋体" w:hAnsi="宋体" w:eastAsia="宋体"/>
          <w:sz w:val="24"/>
        </w:rPr>
      </w:pPr>
      <w:r>
        <w:rPr>
          <w:rFonts w:hint="eastAsia" w:ascii="宋体" w:hAnsi="宋体" w:eastAsia="宋体"/>
          <w:sz w:val="24"/>
        </w:rPr>
        <w:t>法院内现有的法院专网和互联网仅覆盖原有审判大楼，但新建的两栋大楼还未接入法院专网和互联网，需新增2套网络的综合布线，包括网络面板、网络线缆、网络接入设备等。</w:t>
      </w:r>
      <w:bookmarkStart w:id="115" w:name="_Toc493702781"/>
      <w:bookmarkStart w:id="116" w:name="_Toc85443518"/>
      <w:bookmarkStart w:id="117" w:name="_Toc25782"/>
    </w:p>
    <w:p w14:paraId="30A0FDBD">
      <w:pPr>
        <w:pStyle w:val="19"/>
        <w:spacing w:line="288" w:lineRule="auto"/>
        <w:ind w:firstLine="0" w:firstLineChars="0"/>
        <w:rPr>
          <w:rFonts w:hint="eastAsia" w:ascii="宋体" w:hAnsi="宋体" w:eastAsia="宋体"/>
          <w:sz w:val="24"/>
        </w:rPr>
      </w:pPr>
      <w:r>
        <w:rPr>
          <w:rFonts w:hint="eastAsia" w:ascii="宋体" w:hAnsi="宋体" w:eastAsia="宋体"/>
          <w:sz w:val="24"/>
        </w:rPr>
        <w:t>2.3.6信息交换与共享</w:t>
      </w:r>
      <w:bookmarkEnd w:id="115"/>
      <w:r>
        <w:rPr>
          <w:rFonts w:hint="eastAsia" w:ascii="宋体" w:hAnsi="宋体" w:eastAsia="宋体"/>
          <w:sz w:val="24"/>
        </w:rPr>
        <w:t>差距</w:t>
      </w:r>
      <w:bookmarkEnd w:id="116"/>
      <w:bookmarkEnd w:id="117"/>
    </w:p>
    <w:p w14:paraId="2B3302FE">
      <w:pPr>
        <w:pStyle w:val="19"/>
        <w:spacing w:line="288" w:lineRule="auto"/>
        <w:ind w:firstLine="480"/>
        <w:rPr>
          <w:rFonts w:hint="eastAsia" w:ascii="宋体" w:hAnsi="宋体" w:eastAsia="宋体"/>
          <w:sz w:val="24"/>
        </w:rPr>
      </w:pPr>
      <w:r>
        <w:rPr>
          <w:rFonts w:hint="eastAsia" w:ascii="宋体" w:hAnsi="宋体" w:eastAsia="宋体"/>
          <w:sz w:val="24"/>
        </w:rPr>
        <w:t>新建的两栋大楼网络未接入原有审判大楼机房，不能通过法院专网和互联网进行信息交换和共享，需将新建大楼网络接入原有审判大楼机房，实现与原有审判大楼和其他法庭的信息交换和共享。</w:t>
      </w:r>
      <w:bookmarkStart w:id="118" w:name="_Toc493702782"/>
      <w:bookmarkStart w:id="119" w:name="_Toc85443519"/>
      <w:bookmarkStart w:id="120" w:name="_Toc1993"/>
    </w:p>
    <w:p w14:paraId="5F06A11D">
      <w:pPr>
        <w:pStyle w:val="19"/>
        <w:spacing w:line="288" w:lineRule="auto"/>
        <w:ind w:firstLine="0" w:firstLineChars="0"/>
        <w:rPr>
          <w:rFonts w:hint="eastAsia" w:ascii="宋体" w:hAnsi="宋体" w:eastAsia="宋体"/>
          <w:sz w:val="24"/>
        </w:rPr>
      </w:pPr>
      <w:r>
        <w:rPr>
          <w:rFonts w:hint="eastAsia" w:ascii="宋体" w:hAnsi="宋体" w:eastAsia="宋体"/>
          <w:sz w:val="24"/>
        </w:rPr>
        <w:t>2.3.7数据资源</w:t>
      </w:r>
      <w:bookmarkEnd w:id="118"/>
      <w:r>
        <w:rPr>
          <w:rFonts w:hint="eastAsia" w:ascii="宋体" w:hAnsi="宋体" w:eastAsia="宋体"/>
          <w:sz w:val="24"/>
        </w:rPr>
        <w:t>与开放能力差距</w:t>
      </w:r>
      <w:bookmarkEnd w:id="119"/>
      <w:bookmarkEnd w:id="120"/>
    </w:p>
    <w:p w14:paraId="1C5FC362">
      <w:pPr>
        <w:pStyle w:val="19"/>
        <w:spacing w:line="288" w:lineRule="auto"/>
        <w:ind w:firstLine="480"/>
        <w:rPr>
          <w:rFonts w:hint="eastAsia" w:ascii="宋体" w:hAnsi="宋体" w:eastAsia="宋体"/>
          <w:sz w:val="24"/>
        </w:rPr>
      </w:pPr>
      <w:r>
        <w:rPr>
          <w:rFonts w:hint="eastAsia" w:ascii="宋体" w:hAnsi="宋体" w:eastAsia="宋体"/>
          <w:sz w:val="24"/>
        </w:rPr>
        <w:t>本项目不涉及。</w:t>
      </w:r>
      <w:bookmarkStart w:id="121" w:name="_Toc85443520"/>
      <w:bookmarkStart w:id="122" w:name="_Toc493702783"/>
      <w:bookmarkStart w:id="123" w:name="_Toc22218"/>
    </w:p>
    <w:p w14:paraId="20D74505">
      <w:pPr>
        <w:pStyle w:val="19"/>
        <w:spacing w:line="288" w:lineRule="auto"/>
        <w:ind w:firstLine="0" w:firstLineChars="0"/>
        <w:rPr>
          <w:rFonts w:hint="eastAsia" w:ascii="宋体" w:hAnsi="宋体" w:eastAsia="宋体"/>
          <w:sz w:val="24"/>
        </w:rPr>
      </w:pPr>
      <w:r>
        <w:rPr>
          <w:rFonts w:hint="eastAsia" w:ascii="宋体" w:hAnsi="宋体" w:eastAsia="宋体"/>
          <w:sz w:val="24"/>
        </w:rPr>
        <w:t>2.3.8云服务差距</w:t>
      </w:r>
      <w:bookmarkEnd w:id="121"/>
      <w:bookmarkEnd w:id="122"/>
      <w:bookmarkEnd w:id="123"/>
    </w:p>
    <w:p w14:paraId="7D7F900D">
      <w:pPr>
        <w:pStyle w:val="19"/>
        <w:spacing w:line="288" w:lineRule="auto"/>
        <w:ind w:firstLine="480"/>
        <w:rPr>
          <w:rFonts w:hint="eastAsia" w:ascii="宋体" w:hAnsi="宋体" w:eastAsia="宋体"/>
          <w:sz w:val="24"/>
        </w:rPr>
      </w:pPr>
      <w:r>
        <w:rPr>
          <w:rFonts w:hint="eastAsia" w:ascii="宋体" w:hAnsi="宋体" w:eastAsia="宋体"/>
          <w:sz w:val="24"/>
        </w:rPr>
        <w:t>本项目不涉及。</w:t>
      </w:r>
      <w:bookmarkStart w:id="124" w:name="_Toc493702780"/>
      <w:bookmarkStart w:id="125" w:name="_Toc85443521"/>
      <w:bookmarkStart w:id="126" w:name="_Toc26570"/>
    </w:p>
    <w:p w14:paraId="21C64E9E">
      <w:pPr>
        <w:pStyle w:val="19"/>
        <w:spacing w:line="288" w:lineRule="auto"/>
        <w:ind w:firstLine="0" w:firstLineChars="0"/>
        <w:rPr>
          <w:rFonts w:hint="eastAsia" w:ascii="宋体" w:hAnsi="宋体" w:eastAsia="宋体"/>
          <w:sz w:val="24"/>
        </w:rPr>
      </w:pPr>
      <w:r>
        <w:rPr>
          <w:rFonts w:hint="eastAsia" w:ascii="宋体" w:hAnsi="宋体" w:eastAsia="宋体"/>
          <w:sz w:val="24"/>
        </w:rPr>
        <w:t>2.4网络安全</w:t>
      </w:r>
      <w:bookmarkEnd w:id="124"/>
      <w:r>
        <w:rPr>
          <w:rFonts w:hint="eastAsia" w:ascii="宋体" w:hAnsi="宋体" w:eastAsia="宋体"/>
          <w:sz w:val="24"/>
        </w:rPr>
        <w:t>差距</w:t>
      </w:r>
      <w:bookmarkEnd w:id="125"/>
      <w:bookmarkEnd w:id="126"/>
    </w:p>
    <w:p w14:paraId="4FC2BBAB">
      <w:pPr>
        <w:pStyle w:val="19"/>
        <w:spacing w:line="288" w:lineRule="auto"/>
        <w:ind w:firstLine="480"/>
        <w:rPr>
          <w:rFonts w:hint="eastAsia" w:ascii="宋体" w:hAnsi="宋体" w:eastAsia="宋体"/>
          <w:sz w:val="24"/>
        </w:rPr>
      </w:pPr>
      <w:r>
        <w:rPr>
          <w:rFonts w:hint="eastAsia" w:ascii="宋体" w:hAnsi="宋体" w:eastAsia="宋体"/>
          <w:sz w:val="24"/>
        </w:rPr>
        <w:t>结合2019年5月发布的《GB/T22239-2019 信息安全技术 网络安全等级保护基本要求》《关于加强党政部门云计算服务网络安全管理的意见》等文件，法院网络建设需要提供网络安全、主机安全、应用安全、数据安全、虚拟化安全等多种安全措施，保证虚拟机、云平台数据中心、网络边界的安全，同时为将来的业务应用系统发展提供可兼容的空间，最大程度地降低业务应用系统安全风险，确保整体信息安全目标的实现。以“防攻击、防病毒、防入侵”为安全防护目标，确保内部各系统安全稳定运行。</w:t>
      </w:r>
    </w:p>
    <w:p w14:paraId="7CA678C4">
      <w:pPr>
        <w:pStyle w:val="19"/>
        <w:spacing w:line="288" w:lineRule="auto"/>
        <w:ind w:firstLine="480"/>
        <w:rPr>
          <w:rFonts w:hint="eastAsia" w:ascii="宋体" w:hAnsi="宋体" w:eastAsia="宋体"/>
          <w:sz w:val="24"/>
        </w:rPr>
      </w:pPr>
      <w:r>
        <w:rPr>
          <w:rFonts w:hint="eastAsia" w:ascii="宋体" w:hAnsi="宋体" w:eastAsia="宋体"/>
          <w:sz w:val="24"/>
        </w:rPr>
        <w:t>从“网络安全拓扑图”可知，琼海法院当前网络安全防护建设比较薄弱，在法院办公网网络出口仅单点部署深信服下一代防火墙设备及一套终端安全管理系统，无体系化安全防护建设，只能实现外部攻击的防御，无法针对内部威胁及时预警，对于数据库安全和资产弱密码及端口开放等安全问题进行有效防护，且无法满足三级等保建设要求，因此亟需增强法院办公专网安全防护能力。</w:t>
      </w:r>
    </w:p>
    <w:p w14:paraId="1973FBC1">
      <w:pPr>
        <w:pStyle w:val="19"/>
        <w:spacing w:line="288" w:lineRule="auto"/>
        <w:ind w:firstLine="480"/>
        <w:rPr>
          <w:rFonts w:hint="eastAsia" w:ascii="宋体" w:hAnsi="宋体" w:eastAsia="宋体"/>
          <w:sz w:val="24"/>
        </w:rPr>
      </w:pPr>
      <w:r>
        <w:rPr>
          <w:rFonts w:hint="eastAsia" w:ascii="宋体" w:hAnsi="宋体" w:eastAsia="宋体"/>
          <w:sz w:val="24"/>
        </w:rPr>
        <w:t>本项目新增的终端设备等需考虑相关的网络安全防护。</w:t>
      </w:r>
      <w:bookmarkStart w:id="127" w:name="_Toc85443522"/>
      <w:bookmarkStart w:id="128" w:name="_Toc332971287"/>
      <w:bookmarkStart w:id="129" w:name="_Toc493702784"/>
      <w:bookmarkStart w:id="130" w:name="_Toc1715"/>
    </w:p>
    <w:p w14:paraId="118DDB08">
      <w:pPr>
        <w:pStyle w:val="19"/>
        <w:spacing w:line="288" w:lineRule="auto"/>
        <w:ind w:firstLine="0" w:firstLineChars="0"/>
        <w:rPr>
          <w:rFonts w:hint="eastAsia" w:ascii="宋体" w:hAnsi="宋体" w:eastAsia="宋体"/>
          <w:sz w:val="24"/>
        </w:rPr>
      </w:pPr>
      <w:r>
        <w:rPr>
          <w:rFonts w:hint="eastAsia" w:ascii="宋体" w:hAnsi="宋体" w:eastAsia="宋体"/>
          <w:sz w:val="24"/>
        </w:rPr>
        <w:t>2.5项目建设必要性</w:t>
      </w:r>
      <w:bookmarkEnd w:id="127"/>
      <w:bookmarkEnd w:id="128"/>
      <w:bookmarkEnd w:id="129"/>
      <w:bookmarkEnd w:id="130"/>
      <w:bookmarkStart w:id="131" w:name="_Toc15182"/>
      <w:bookmarkStart w:id="132" w:name="_Toc26543"/>
      <w:bookmarkStart w:id="133" w:name="_Toc11387"/>
      <w:bookmarkStart w:id="134" w:name="_Toc4203"/>
    </w:p>
    <w:p w14:paraId="0A187310">
      <w:pPr>
        <w:pStyle w:val="19"/>
        <w:spacing w:line="288" w:lineRule="auto"/>
        <w:ind w:firstLine="0" w:firstLineChars="0"/>
        <w:rPr>
          <w:rFonts w:hint="eastAsia" w:ascii="宋体" w:hAnsi="宋体" w:eastAsia="宋体"/>
          <w:sz w:val="24"/>
        </w:rPr>
      </w:pPr>
      <w:r>
        <w:rPr>
          <w:rFonts w:hint="eastAsia" w:ascii="宋体" w:hAnsi="宋体" w:eastAsia="宋体"/>
          <w:sz w:val="24"/>
        </w:rPr>
        <w:t>2.5.1政策及规划</w:t>
      </w:r>
      <w:bookmarkEnd w:id="131"/>
      <w:bookmarkEnd w:id="132"/>
      <w:bookmarkEnd w:id="133"/>
      <w:r>
        <w:rPr>
          <w:rFonts w:hint="eastAsia" w:ascii="宋体" w:hAnsi="宋体" w:eastAsia="宋体"/>
          <w:sz w:val="24"/>
        </w:rPr>
        <w:t>需要</w:t>
      </w:r>
      <w:bookmarkEnd w:id="134"/>
    </w:p>
    <w:p w14:paraId="6702E648">
      <w:pPr>
        <w:pStyle w:val="19"/>
        <w:spacing w:line="288" w:lineRule="auto"/>
        <w:ind w:firstLine="480"/>
        <w:rPr>
          <w:rFonts w:hint="eastAsia" w:ascii="宋体" w:hAnsi="宋体" w:eastAsia="宋体"/>
          <w:sz w:val="24"/>
        </w:rPr>
      </w:pPr>
      <w:r>
        <w:rPr>
          <w:rFonts w:hint="eastAsia" w:ascii="宋体" w:hAnsi="宋体" w:eastAsia="宋体"/>
          <w:sz w:val="24"/>
        </w:rPr>
        <w:t>为深入贯彻落实党和国家重大战略部署，准确把握国内国际形势，以逢山开路、遇水架桥的勇气全面深化智慧法院建设，为服务全面建设社会主义现代化国家提供有力技术支撑。</w:t>
      </w:r>
    </w:p>
    <w:p w14:paraId="75493E35">
      <w:pPr>
        <w:pStyle w:val="19"/>
        <w:spacing w:line="288" w:lineRule="auto"/>
        <w:ind w:firstLine="480"/>
        <w:rPr>
          <w:rFonts w:hint="eastAsia" w:ascii="宋体" w:hAnsi="宋体" w:eastAsia="宋体"/>
          <w:sz w:val="24"/>
        </w:rPr>
      </w:pPr>
      <w:r>
        <w:rPr>
          <w:rFonts w:hint="eastAsia" w:ascii="宋体" w:hAnsi="宋体" w:eastAsia="宋体"/>
          <w:sz w:val="24"/>
        </w:rPr>
        <w:t>1.提升国家治理效能的需要</w:t>
      </w:r>
    </w:p>
    <w:p w14:paraId="15E4603B">
      <w:pPr>
        <w:pStyle w:val="19"/>
        <w:spacing w:line="288" w:lineRule="auto"/>
        <w:ind w:firstLine="480"/>
        <w:rPr>
          <w:rFonts w:hint="eastAsia" w:ascii="宋体" w:hAnsi="宋体" w:eastAsia="宋体"/>
          <w:sz w:val="24"/>
        </w:rPr>
      </w:pPr>
      <w:r>
        <w:rPr>
          <w:rFonts w:hint="eastAsia" w:ascii="宋体" w:hAnsi="宋体" w:eastAsia="宋体"/>
          <w:sz w:val="24"/>
        </w:rPr>
        <w:t>党的十九届五中全会将“国家治理效能得到新提升”作为“十四五”时期经济社会发展主要目标之一，要求“社会主义民主法治更加健全，社会公平正义进一步彰显”。琼海市人民法院信息化建设要紧紧围绕“努力让人民群众在每一个司法案件中感受到公平正义”的目标，充分发挥信息化支撑作用，满足人民群众在民主、法治、公平、正义、安全、环境等方面日益增长的需要，支撑实现在法治轨道上推进国家治理体系和治理能力现代化。</w:t>
      </w:r>
    </w:p>
    <w:p w14:paraId="754C7D57">
      <w:pPr>
        <w:pStyle w:val="19"/>
        <w:spacing w:line="288" w:lineRule="auto"/>
        <w:ind w:firstLine="480"/>
        <w:rPr>
          <w:rFonts w:hint="eastAsia" w:ascii="宋体" w:hAnsi="宋体" w:eastAsia="宋体"/>
          <w:sz w:val="24"/>
        </w:rPr>
      </w:pPr>
      <w:r>
        <w:rPr>
          <w:rFonts w:hint="eastAsia" w:ascii="宋体" w:hAnsi="宋体" w:eastAsia="宋体"/>
          <w:sz w:val="24"/>
        </w:rPr>
        <w:t>2.助力智慧海南建设需要</w:t>
      </w:r>
    </w:p>
    <w:p w14:paraId="12715E81">
      <w:pPr>
        <w:pStyle w:val="19"/>
        <w:spacing w:line="288" w:lineRule="auto"/>
        <w:ind w:firstLine="480"/>
        <w:rPr>
          <w:rFonts w:hint="eastAsia" w:ascii="宋体" w:hAnsi="宋体" w:eastAsia="宋体"/>
          <w:sz w:val="24"/>
        </w:rPr>
      </w:pPr>
      <w:r>
        <w:rPr>
          <w:rFonts w:hint="eastAsia" w:ascii="宋体" w:hAnsi="宋体" w:eastAsia="宋体"/>
          <w:sz w:val="24"/>
        </w:rPr>
        <w:t>《智慧海南总体方案（2020-2025年）》提到“推动智慧法院、智慧司法等建设升级。全面开展“互联网+法律服务”，推广智慧公证、智慧司鉴、智慧法援、智慧调解等诉调对接新应用模式，形成覆盖城乡、普惠均等、便捷优质、智能精准的现代公共法律服务体系。”</w:t>
      </w:r>
    </w:p>
    <w:p w14:paraId="224343EC">
      <w:pPr>
        <w:pStyle w:val="19"/>
        <w:spacing w:line="288" w:lineRule="auto"/>
        <w:ind w:firstLine="480"/>
        <w:rPr>
          <w:rFonts w:hint="eastAsia" w:ascii="宋体" w:hAnsi="宋体" w:eastAsia="宋体"/>
          <w:sz w:val="24"/>
        </w:rPr>
      </w:pPr>
      <w:r>
        <w:rPr>
          <w:rFonts w:hint="eastAsia" w:ascii="宋体" w:hAnsi="宋体" w:eastAsia="宋体"/>
          <w:sz w:val="24"/>
        </w:rPr>
        <w:t>3.推进依法治市的需要</w:t>
      </w:r>
    </w:p>
    <w:p w14:paraId="09916C09">
      <w:pPr>
        <w:pStyle w:val="19"/>
        <w:spacing w:line="288" w:lineRule="auto"/>
        <w:ind w:firstLine="480"/>
        <w:rPr>
          <w:rFonts w:hint="eastAsia" w:ascii="宋体" w:hAnsi="宋体" w:eastAsia="宋体"/>
          <w:sz w:val="24"/>
        </w:rPr>
      </w:pPr>
      <w:r>
        <w:rPr>
          <w:rFonts w:hint="eastAsia" w:ascii="宋体" w:hAnsi="宋体" w:eastAsia="宋体"/>
          <w:sz w:val="24"/>
        </w:rPr>
        <w:t>在新时代全面推进依法治国新征程上，人民法院作为维护社会公平正义最后一道防线的国家审判机关，责任重大，使命崇高。要健全与经济社会发展新态势相匹配的司法服务保障体系，促进全面依法治市，提升法院服务大局工作实效，推动琼海市人民法院信息化探索创新，提高智慧法院建设水平。</w:t>
      </w:r>
    </w:p>
    <w:p w14:paraId="2AEA4AB2">
      <w:pPr>
        <w:pStyle w:val="19"/>
        <w:spacing w:line="288" w:lineRule="auto"/>
        <w:ind w:firstLine="480"/>
        <w:rPr>
          <w:rFonts w:hint="eastAsia" w:ascii="宋体" w:hAnsi="宋体" w:eastAsia="宋体"/>
          <w:sz w:val="24"/>
        </w:rPr>
      </w:pPr>
      <w:r>
        <w:rPr>
          <w:rFonts w:hint="eastAsia" w:ascii="宋体" w:hAnsi="宋体" w:eastAsia="宋体"/>
          <w:sz w:val="24"/>
        </w:rPr>
        <w:t>4.深化司法体制改革的需要</w:t>
      </w:r>
    </w:p>
    <w:p w14:paraId="794055B1">
      <w:pPr>
        <w:pStyle w:val="19"/>
        <w:spacing w:line="288" w:lineRule="auto"/>
        <w:ind w:firstLine="480"/>
        <w:rPr>
          <w:rFonts w:hint="eastAsia" w:ascii="宋体" w:hAnsi="宋体" w:eastAsia="宋体"/>
          <w:sz w:val="24"/>
        </w:rPr>
      </w:pPr>
      <w:r>
        <w:rPr>
          <w:rFonts w:hint="eastAsia" w:ascii="宋体" w:hAnsi="宋体" w:eastAsia="宋体"/>
          <w:sz w:val="24"/>
        </w:rPr>
        <w:t>作为推动审判体系和审判能力现代化的“车之两轮，鸟之两翼”，人民法院信息化建设与司法体制改革相辅相成。《最高人民法院关于深化人民法院司法体制综合配套改革的意见——人民法院第五个五年改革纲要（2019-2023）》将全面推进智慧法院建设作为改革的一项重要任务，65项司法改革举措中有43项与人民法院信息化建设直接相关。在更高起点上深化司法体制改革和智慧法院建设，以信息化方式支持司法体制改革系统集成、协同高效，必将加快实现司法工作的质量变革、效率变革、动力变革。</w:t>
      </w:r>
    </w:p>
    <w:p w14:paraId="34246EFF">
      <w:pPr>
        <w:pStyle w:val="19"/>
        <w:spacing w:line="288" w:lineRule="auto"/>
        <w:ind w:firstLine="480"/>
        <w:rPr>
          <w:rFonts w:hint="eastAsia" w:ascii="宋体" w:hAnsi="宋体" w:eastAsia="宋体"/>
          <w:sz w:val="24"/>
        </w:rPr>
      </w:pPr>
      <w:r>
        <w:rPr>
          <w:rFonts w:hint="eastAsia" w:ascii="宋体" w:hAnsi="宋体" w:eastAsia="宋体"/>
          <w:sz w:val="24"/>
        </w:rPr>
        <w:t>“十四五”时期，随着现代信息化技术革命的不断深化，国家信息化发展战略的持续推进，智慧法院建设迎来重要战略机遇期，智慧法院建设已经进入从快速发展向高质量发展、从智能化向智慧化转型升级的新阶段。国家“十四五”规划和2035年远景目标纲要中强调“加强智慧法院建设”，人民法院“十四五”规划纲要对“十四五”时期深化智慧法院建设作出了系统谋划部署，为新时期智慧法院建设指明了前进方向。为响应国家信息化发展战略和落实“十四五”关于智慧法院的规划，为新建大楼开展智慧法院业务提供支撑。</w:t>
      </w:r>
      <w:bookmarkStart w:id="135" w:name="_Toc27480"/>
    </w:p>
    <w:p w14:paraId="74C304AD">
      <w:pPr>
        <w:pStyle w:val="19"/>
        <w:spacing w:line="288" w:lineRule="auto"/>
        <w:ind w:firstLine="0" w:firstLineChars="0"/>
        <w:rPr>
          <w:rFonts w:hint="eastAsia" w:ascii="宋体" w:hAnsi="宋体" w:eastAsia="宋体"/>
          <w:sz w:val="24"/>
        </w:rPr>
      </w:pPr>
      <w:r>
        <w:rPr>
          <w:rFonts w:hint="eastAsia" w:ascii="宋体" w:hAnsi="宋体" w:eastAsia="宋体"/>
          <w:sz w:val="24"/>
        </w:rPr>
        <w:t>2.5.2业务发展需要</w:t>
      </w:r>
      <w:bookmarkEnd w:id="135"/>
    </w:p>
    <w:p w14:paraId="78974B18">
      <w:pPr>
        <w:pStyle w:val="19"/>
        <w:spacing w:line="288" w:lineRule="auto"/>
        <w:ind w:firstLine="480"/>
        <w:rPr>
          <w:rFonts w:hint="eastAsia" w:ascii="宋体" w:hAnsi="宋体" w:eastAsia="宋体"/>
          <w:sz w:val="24"/>
        </w:rPr>
      </w:pPr>
      <w:r>
        <w:rPr>
          <w:rFonts w:hint="eastAsia" w:ascii="宋体" w:hAnsi="宋体" w:eastAsia="宋体"/>
          <w:sz w:val="24"/>
        </w:rPr>
        <w:t>坚持政治导向、目标导向、问题导向、法治导向、强基导向，面向各业务的发展诉求，全面实现信息化质效新突破。</w:t>
      </w:r>
    </w:p>
    <w:p w14:paraId="5F28C76F">
      <w:pPr>
        <w:pStyle w:val="19"/>
        <w:spacing w:line="288" w:lineRule="auto"/>
        <w:ind w:firstLine="480"/>
        <w:rPr>
          <w:rFonts w:hint="eastAsia" w:ascii="宋体" w:hAnsi="宋体" w:eastAsia="宋体"/>
          <w:sz w:val="24"/>
        </w:rPr>
      </w:pPr>
      <w:r>
        <w:rPr>
          <w:rFonts w:hint="eastAsia" w:ascii="宋体" w:hAnsi="宋体" w:eastAsia="宋体"/>
          <w:sz w:val="24"/>
        </w:rPr>
        <w:t>1.人民群众的多元司法的需要</w:t>
      </w:r>
    </w:p>
    <w:p w14:paraId="3A77E6EF">
      <w:pPr>
        <w:pStyle w:val="19"/>
        <w:spacing w:line="288" w:lineRule="auto"/>
        <w:ind w:firstLine="480"/>
        <w:rPr>
          <w:rFonts w:hint="eastAsia" w:ascii="宋体" w:hAnsi="宋体" w:eastAsia="宋体"/>
          <w:sz w:val="24"/>
        </w:rPr>
      </w:pPr>
      <w:r>
        <w:rPr>
          <w:rFonts w:hint="eastAsia" w:ascii="宋体" w:hAnsi="宋体" w:eastAsia="宋体"/>
          <w:sz w:val="24"/>
        </w:rPr>
        <w:t>贯彻以人民为中心的发展思想，坚持发展为了人民、发展依靠人民、发展成果由人民共享，需要进一步通过一站式多元解纷和诉讼服务体系建设，构建以人民为中心的诉讼服务制度体系；不断完善诉讼服务中心建设，健全社会矛盾纠纷多元预防调处化解综合机制，满足全市人民群众对司法工作的新期待。</w:t>
      </w:r>
    </w:p>
    <w:p w14:paraId="24E33119">
      <w:pPr>
        <w:pStyle w:val="19"/>
        <w:spacing w:line="288" w:lineRule="auto"/>
        <w:ind w:firstLine="480"/>
        <w:rPr>
          <w:rFonts w:hint="eastAsia" w:ascii="宋体" w:hAnsi="宋体" w:eastAsia="宋体"/>
          <w:sz w:val="24"/>
        </w:rPr>
      </w:pPr>
      <w:r>
        <w:rPr>
          <w:rFonts w:hint="eastAsia" w:ascii="宋体" w:hAnsi="宋体" w:eastAsia="宋体"/>
          <w:sz w:val="24"/>
        </w:rPr>
        <w:t>2.不断提升审判执行质效的需要</w:t>
      </w:r>
    </w:p>
    <w:p w14:paraId="3ADF507E">
      <w:pPr>
        <w:pStyle w:val="19"/>
        <w:spacing w:line="288" w:lineRule="auto"/>
        <w:ind w:firstLine="480"/>
        <w:rPr>
          <w:rFonts w:hint="eastAsia" w:ascii="宋体" w:hAnsi="宋体" w:eastAsia="宋体"/>
          <w:sz w:val="24"/>
        </w:rPr>
      </w:pPr>
      <w:r>
        <w:rPr>
          <w:rFonts w:hint="eastAsia" w:ascii="宋体" w:hAnsi="宋体" w:eastAsia="宋体"/>
          <w:sz w:val="24"/>
        </w:rPr>
        <w:t>全面实现审判智能化辅助。以真正实现“让审理者裁判、由裁判者负责”为目标，在实现事项全程留痕、提示催办、定时提醒、实时预警、及时冻结等自动化、静默化辅助功能的基础上，进一步利用大数据、人工智能、区块链等新技术提供精准智能辅助功能，提高司法公信力；以信息化手段支持法院智能化建设，完善基础设施及专业应用，充分发挥法院在服务经济社会发展中的重要作用。</w:t>
      </w:r>
    </w:p>
    <w:p w14:paraId="241FC565">
      <w:pPr>
        <w:pStyle w:val="19"/>
        <w:spacing w:line="288" w:lineRule="auto"/>
        <w:ind w:firstLine="480"/>
        <w:rPr>
          <w:rFonts w:hint="eastAsia" w:ascii="宋体" w:hAnsi="宋体" w:eastAsia="宋体"/>
          <w:sz w:val="24"/>
        </w:rPr>
      </w:pPr>
      <w:r>
        <w:rPr>
          <w:rFonts w:hint="eastAsia" w:ascii="宋体" w:hAnsi="宋体" w:eastAsia="宋体"/>
          <w:sz w:val="24"/>
        </w:rPr>
        <w:t>3.实现科学管理决策的需要</w:t>
      </w:r>
    </w:p>
    <w:p w14:paraId="71E48270">
      <w:pPr>
        <w:pStyle w:val="19"/>
        <w:spacing w:line="288" w:lineRule="auto"/>
        <w:ind w:firstLine="480"/>
        <w:rPr>
          <w:rFonts w:hint="eastAsia" w:ascii="宋体" w:hAnsi="宋体" w:eastAsia="宋体"/>
          <w:sz w:val="24"/>
        </w:rPr>
      </w:pPr>
      <w:r>
        <w:rPr>
          <w:rFonts w:hint="eastAsia" w:ascii="宋体" w:hAnsi="宋体" w:eastAsia="宋体"/>
          <w:sz w:val="24"/>
        </w:rPr>
        <w:t>健全司法履职保障和违法审判责任追究机制，让法官集中精力尽好责、办好案，明确院长、庭长的权力清单和监督管理职责，健全履职指引和案件监管的全程留痕制度，推动实现有权必有责、用权必担责、失职必问责、滥权必追责，构建以司法责任制为核心的中国特色社会主义审判权力运行体系。</w:t>
      </w:r>
    </w:p>
    <w:p w14:paraId="666CFF37">
      <w:pPr>
        <w:pStyle w:val="19"/>
        <w:spacing w:line="288" w:lineRule="auto"/>
        <w:ind w:firstLine="480"/>
        <w:rPr>
          <w:rFonts w:hint="eastAsia" w:ascii="宋体" w:hAnsi="宋体" w:eastAsia="宋体"/>
          <w:sz w:val="24"/>
        </w:rPr>
      </w:pPr>
      <w:r>
        <w:rPr>
          <w:rFonts w:hint="eastAsia" w:ascii="宋体" w:hAnsi="宋体" w:eastAsia="宋体"/>
          <w:sz w:val="24"/>
        </w:rPr>
        <w:t>4.支撑司法业务运行的需要</w:t>
      </w:r>
    </w:p>
    <w:p w14:paraId="7E87DCFC">
      <w:pPr>
        <w:pStyle w:val="19"/>
        <w:spacing w:line="288" w:lineRule="auto"/>
        <w:ind w:firstLine="480"/>
        <w:rPr>
          <w:rFonts w:hint="eastAsia" w:ascii="宋体" w:hAnsi="宋体" w:eastAsia="宋体"/>
          <w:sz w:val="24"/>
        </w:rPr>
      </w:pPr>
      <w:r>
        <w:rPr>
          <w:rFonts w:hint="eastAsia" w:ascii="宋体" w:hAnsi="宋体" w:eastAsia="宋体"/>
          <w:sz w:val="24"/>
        </w:rPr>
        <w:t>需对新建大楼建设综合布线系统、网络系统、设备间系统、机房等，实现法院内部网络互联互通，视频、图像、业务数据等的高速转发，扩宽法院数据转发通道。需对新建大楼安装视频监控系统、门禁系统等，获得大楼的主要通道、出入口、重要部位及周边的情况和出入控制权限，提高法院重要部位、场所的安全防范能力。需建设立案大厅、执行大厅、智慧法庭、执行指挥中心等场所，全方位立体的提高立案、执行、判决、协同指挥等智能化水平。</w:t>
      </w:r>
      <w:bookmarkStart w:id="136" w:name="_Toc12295"/>
    </w:p>
    <w:p w14:paraId="3D35A0FD">
      <w:pPr>
        <w:pStyle w:val="19"/>
        <w:spacing w:line="288" w:lineRule="auto"/>
        <w:ind w:firstLine="0" w:firstLineChars="0"/>
        <w:rPr>
          <w:rFonts w:hint="eastAsia" w:ascii="宋体" w:hAnsi="宋体" w:eastAsia="宋体"/>
          <w:sz w:val="24"/>
        </w:rPr>
      </w:pPr>
      <w:r>
        <w:rPr>
          <w:rFonts w:hint="eastAsia" w:ascii="宋体" w:hAnsi="宋体" w:eastAsia="宋体"/>
          <w:sz w:val="24"/>
        </w:rPr>
        <w:t>2.5.3技术发展需要</w:t>
      </w:r>
      <w:bookmarkEnd w:id="136"/>
    </w:p>
    <w:p w14:paraId="4D6DE40C">
      <w:pPr>
        <w:pStyle w:val="19"/>
        <w:spacing w:line="288" w:lineRule="auto"/>
        <w:ind w:firstLine="480"/>
        <w:rPr>
          <w:rFonts w:hint="eastAsia" w:ascii="宋体" w:hAnsi="宋体" w:eastAsia="宋体"/>
          <w:sz w:val="24"/>
        </w:rPr>
      </w:pPr>
      <w:r>
        <w:rPr>
          <w:rFonts w:hint="eastAsia" w:ascii="宋体" w:hAnsi="宋体" w:eastAsia="宋体"/>
          <w:sz w:val="24"/>
        </w:rPr>
        <w:t>琼海市人民法院信息化建设要抓住新一轮科技革命和产业变革的历史机遇，面向世界科技前沿，不断向科学技术的深度和广度进军，用科技创新带动琼海市人民法院信息化建设实现新突破。通过信息传感器、射频识别技术、全球定位系统、红外感应器、激光扫描器等各种装置与技术，实时采集需要监控、连接、互动的卷宗等物品或设备以及巡回审判等过程，通过各类网络接入，支持物与物、物与人的泛在连接，实现对物品和过程的智能化感知、识别和管理。</w:t>
      </w:r>
      <w:bookmarkStart w:id="137" w:name="_Toc26762"/>
    </w:p>
    <w:p w14:paraId="0BD28DE8">
      <w:pPr>
        <w:pStyle w:val="19"/>
        <w:spacing w:line="288" w:lineRule="auto"/>
        <w:ind w:firstLine="0" w:firstLineChars="0"/>
        <w:rPr>
          <w:rFonts w:hint="eastAsia" w:ascii="宋体" w:hAnsi="宋体" w:eastAsia="宋体"/>
          <w:sz w:val="24"/>
        </w:rPr>
      </w:pPr>
      <w:r>
        <w:rPr>
          <w:rFonts w:hint="eastAsia" w:ascii="宋体" w:hAnsi="宋体" w:eastAsia="宋体"/>
          <w:sz w:val="24"/>
        </w:rPr>
        <w:t>2.5.4建设发展需要</w:t>
      </w:r>
      <w:bookmarkEnd w:id="137"/>
    </w:p>
    <w:p w14:paraId="279AC630">
      <w:pPr>
        <w:pStyle w:val="19"/>
        <w:spacing w:line="288" w:lineRule="auto"/>
        <w:ind w:firstLine="480"/>
        <w:rPr>
          <w:rFonts w:hint="eastAsia" w:ascii="宋体" w:hAnsi="宋体" w:eastAsia="宋体"/>
          <w:sz w:val="24"/>
        </w:rPr>
      </w:pPr>
      <w:r>
        <w:rPr>
          <w:rFonts w:hint="eastAsia" w:ascii="宋体" w:hAnsi="宋体" w:eastAsia="宋体"/>
          <w:sz w:val="24"/>
        </w:rPr>
        <w:t>坚持系统观念、法治思维、强基导向，针对琼海市人民法院信息化建设存在的深层次问题，加强智能协同应用、数据知识服务、信息基础设施、信息安全保障等各项建设工作，充分发挥信息化对推进审判体系和审判能力现代化的作用。</w:t>
      </w:r>
    </w:p>
    <w:p w14:paraId="77B1EF28">
      <w:pPr>
        <w:pStyle w:val="19"/>
        <w:spacing w:line="288" w:lineRule="auto"/>
        <w:ind w:firstLine="480"/>
        <w:rPr>
          <w:rFonts w:hint="eastAsia" w:ascii="宋体" w:hAnsi="宋体" w:eastAsia="宋体"/>
          <w:sz w:val="24"/>
        </w:rPr>
      </w:pPr>
      <w:r>
        <w:rPr>
          <w:rFonts w:hint="eastAsia" w:ascii="宋体" w:hAnsi="宋体" w:eastAsia="宋体"/>
          <w:sz w:val="24"/>
        </w:rPr>
        <w:t>1.推进智能协同应用转型升级的需要</w:t>
      </w:r>
    </w:p>
    <w:p w14:paraId="0030DBEE">
      <w:pPr>
        <w:pStyle w:val="19"/>
        <w:spacing w:line="288" w:lineRule="auto"/>
        <w:ind w:firstLine="480"/>
        <w:rPr>
          <w:rFonts w:hint="eastAsia" w:ascii="宋体" w:hAnsi="宋体" w:eastAsia="宋体"/>
          <w:sz w:val="24"/>
        </w:rPr>
      </w:pPr>
      <w:r>
        <w:rPr>
          <w:rFonts w:hint="eastAsia" w:ascii="宋体" w:hAnsi="宋体" w:eastAsia="宋体"/>
          <w:sz w:val="24"/>
        </w:rPr>
        <w:t>加强一站式多元解纷和诉讼服务体系建设。进一步提升琼海市人民法院的诉讼服务能力，加强多元解纷和诉讼服务工作的精确指导，强化诉讼服务中心实质化解纠纷能力，统一服务入口，拓展服务功能，实现精准智能服务，推进跨域诉讼服务全面推开，为人民群众提供全流程的“一站式”诉讼服务，让人民群众用得上、用得起、用得好。提升琼海市人民法院在线多元解纷辐射能力，畅通线上线下非诉讼与诉讼平台对接渠道。结合民法典普法等工作，加快构建全媒体网络宣传新格局。</w:t>
      </w:r>
    </w:p>
    <w:p w14:paraId="6D71D974">
      <w:pPr>
        <w:pStyle w:val="19"/>
        <w:spacing w:line="288" w:lineRule="auto"/>
        <w:ind w:firstLine="480"/>
        <w:rPr>
          <w:rFonts w:hint="eastAsia" w:ascii="宋体" w:hAnsi="宋体" w:eastAsia="宋体"/>
          <w:sz w:val="24"/>
        </w:rPr>
      </w:pPr>
      <w:r>
        <w:rPr>
          <w:rFonts w:hint="eastAsia" w:ascii="宋体" w:hAnsi="宋体" w:eastAsia="宋体"/>
          <w:sz w:val="24"/>
        </w:rPr>
        <w:t>2.满足泛在接入和智能管控的需要</w:t>
      </w:r>
    </w:p>
    <w:p w14:paraId="43B0267C">
      <w:pPr>
        <w:pStyle w:val="19"/>
        <w:spacing w:line="288" w:lineRule="auto"/>
        <w:ind w:firstLine="480"/>
        <w:rPr>
          <w:rFonts w:hint="eastAsia" w:ascii="宋体" w:hAnsi="宋体" w:eastAsia="宋体"/>
          <w:sz w:val="24"/>
        </w:rPr>
      </w:pPr>
      <w:r>
        <w:rPr>
          <w:rFonts w:hint="eastAsia" w:ascii="宋体" w:hAnsi="宋体" w:eastAsia="宋体"/>
          <w:sz w:val="24"/>
        </w:rPr>
        <w:t>进一步优化网络结构和性能，提高移动泛在接入能力，满足业务应用和系统用户就近快速接入和访问需求，提升网络扩展性与传输安全性。统筹推进重要业务场所的标准化建设和一体化集成，完善信息化设施设备，丰富智能化支撑功能。</w:t>
      </w:r>
    </w:p>
    <w:p w14:paraId="57C14820">
      <w:pPr>
        <w:pStyle w:val="19"/>
        <w:spacing w:line="288" w:lineRule="auto"/>
        <w:ind w:firstLine="480"/>
        <w:rPr>
          <w:rFonts w:hint="eastAsia" w:ascii="宋体" w:hAnsi="宋体" w:eastAsia="宋体"/>
          <w:sz w:val="24"/>
        </w:rPr>
      </w:pPr>
      <w:r>
        <w:rPr>
          <w:rFonts w:hint="eastAsia" w:ascii="宋体" w:hAnsi="宋体" w:eastAsia="宋体"/>
          <w:sz w:val="24"/>
        </w:rPr>
        <w:t>3.提升综合安全防范管控能力的需要</w:t>
      </w:r>
    </w:p>
    <w:p w14:paraId="2CF8CEBD">
      <w:pPr>
        <w:pStyle w:val="19"/>
        <w:spacing w:line="288" w:lineRule="auto"/>
        <w:ind w:firstLine="480"/>
        <w:rPr>
          <w:rFonts w:hint="eastAsia" w:ascii="宋体" w:hAnsi="宋体" w:eastAsia="宋体"/>
          <w:sz w:val="24"/>
        </w:rPr>
      </w:pPr>
      <w:r>
        <w:rPr>
          <w:rFonts w:hint="eastAsia" w:ascii="宋体" w:hAnsi="宋体" w:eastAsia="宋体"/>
          <w:sz w:val="24"/>
        </w:rPr>
        <w:t>构建全覆盖大楼的安防系统，提升周界实体安全防范等级，充分发挥周界硬质隔离设施的迟滞、阻挡功能，进一步优化完善法院的安全管理能力。</w:t>
      </w:r>
    </w:p>
    <w:p w14:paraId="601FFDB4">
      <w:pPr>
        <w:numPr>
          <w:ilvl w:val="0"/>
          <w:numId w:val="2"/>
        </w:numPr>
        <w:rPr>
          <w:rFonts w:hint="eastAsia" w:ascii="宋体" w:hAnsi="宋体" w:eastAsia="宋体" w:cs="宋体"/>
          <w:b/>
          <w:bCs/>
          <w:sz w:val="24"/>
        </w:rPr>
      </w:pPr>
      <w:bookmarkStart w:id="138" w:name="_Toc493702785"/>
      <w:bookmarkStart w:id="139" w:name="_Toc85443523"/>
      <w:bookmarkStart w:id="140" w:name="_Toc22143"/>
      <w:bookmarkStart w:id="141" w:name="_Toc332971289"/>
      <w:r>
        <w:rPr>
          <w:rFonts w:hint="eastAsia" w:ascii="宋体" w:hAnsi="宋体" w:eastAsia="宋体" w:cs="宋体"/>
          <w:b/>
          <w:bCs/>
          <w:sz w:val="24"/>
        </w:rPr>
        <w:t>需求分析</w:t>
      </w:r>
      <w:bookmarkEnd w:id="138"/>
      <w:bookmarkEnd w:id="139"/>
      <w:bookmarkEnd w:id="140"/>
      <w:bookmarkEnd w:id="141"/>
      <w:bookmarkStart w:id="142" w:name="_Toc85443524"/>
      <w:bookmarkStart w:id="143" w:name="_Toc1177"/>
      <w:bookmarkStart w:id="144" w:name="_Toc493702787"/>
      <w:bookmarkStart w:id="145" w:name="_Toc332971291"/>
    </w:p>
    <w:p w14:paraId="4654C273">
      <w:pPr>
        <w:rPr>
          <w:rFonts w:hint="eastAsia" w:ascii="宋体" w:hAnsi="宋体" w:eastAsia="宋体" w:cs="宋体"/>
          <w:sz w:val="24"/>
        </w:rPr>
      </w:pPr>
      <w:r>
        <w:rPr>
          <w:rFonts w:hint="eastAsia" w:ascii="宋体" w:hAnsi="宋体" w:eastAsia="宋体" w:cs="宋体"/>
          <w:sz w:val="24"/>
        </w:rPr>
        <w:t>3.1业务需求分析</w:t>
      </w:r>
      <w:bookmarkEnd w:id="142"/>
      <w:bookmarkEnd w:id="143"/>
      <w:bookmarkEnd w:id="144"/>
      <w:bookmarkEnd w:id="145"/>
    </w:p>
    <w:p w14:paraId="3CB48A5F">
      <w:pPr>
        <w:pStyle w:val="19"/>
        <w:spacing w:line="288" w:lineRule="auto"/>
        <w:ind w:firstLine="480"/>
        <w:rPr>
          <w:rFonts w:hint="eastAsia" w:ascii="宋体" w:hAnsi="宋体" w:eastAsia="宋体"/>
          <w:sz w:val="24"/>
        </w:rPr>
      </w:pPr>
      <w:r>
        <w:rPr>
          <w:rFonts w:hint="eastAsia" w:ascii="宋体" w:hAnsi="宋体" w:eastAsia="宋体"/>
          <w:sz w:val="24"/>
        </w:rPr>
        <w:t>为提升琼海市人民法院新建的诉讼服务中心和执行指挥中心两栋大楼的智能化水平，需部署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w:t>
      </w:r>
      <w:bookmarkStart w:id="146" w:name="_Toc5901"/>
    </w:p>
    <w:p w14:paraId="752D3B1F">
      <w:pPr>
        <w:pStyle w:val="19"/>
        <w:spacing w:line="288" w:lineRule="auto"/>
        <w:ind w:firstLine="0" w:firstLineChars="0"/>
        <w:rPr>
          <w:rFonts w:hint="eastAsia" w:ascii="宋体" w:hAnsi="宋体" w:eastAsia="宋体"/>
          <w:sz w:val="24"/>
        </w:rPr>
      </w:pPr>
      <w:r>
        <w:rPr>
          <w:rFonts w:hint="eastAsia" w:ascii="宋体" w:hAnsi="宋体" w:eastAsia="宋体"/>
          <w:sz w:val="24"/>
        </w:rPr>
        <w:t>3.1.1基础支撑系统需求分析</w:t>
      </w:r>
      <w:bookmarkEnd w:id="146"/>
    </w:p>
    <w:p w14:paraId="63420195">
      <w:pPr>
        <w:pStyle w:val="19"/>
        <w:spacing w:line="288" w:lineRule="auto"/>
        <w:ind w:firstLine="480"/>
        <w:rPr>
          <w:rFonts w:hint="eastAsia" w:ascii="宋体" w:hAnsi="宋体" w:eastAsia="宋体"/>
          <w:sz w:val="24"/>
        </w:rPr>
      </w:pPr>
      <w:r>
        <w:rPr>
          <w:rFonts w:hint="eastAsia" w:ascii="宋体" w:hAnsi="宋体" w:eastAsia="宋体"/>
          <w:sz w:val="24"/>
        </w:rPr>
        <w:t>目前新建的诉讼服务中心和执行指挥中心两栋大楼内均未建立数据信息的传输通道，语音、数据、图像设备及交换设备等无法与应用系统互联互通，两栋大楼网络也不能与法院原有办公楼进行通信。为实现大楼通信自动化、办公自动化和大楼自动化，需对两栋大楼的综合布线进行规划设计，按照楼栋、楼层、房间的实际需求配置一定数量的数据或语音点位，同时预留充分的扩展空间，同步规划出交换机、设备间等，满足用户的办公、业务、多种通信需求和后期的扩展需求。</w:t>
      </w:r>
    </w:p>
    <w:p w14:paraId="76438B90">
      <w:pPr>
        <w:pStyle w:val="19"/>
        <w:spacing w:line="288" w:lineRule="auto"/>
        <w:ind w:firstLine="480"/>
        <w:rPr>
          <w:rFonts w:hint="eastAsia" w:ascii="宋体" w:hAnsi="宋体" w:eastAsia="宋体"/>
          <w:sz w:val="24"/>
        </w:rPr>
      </w:pPr>
      <w:r>
        <w:rPr>
          <w:rFonts w:hint="eastAsia" w:ascii="宋体" w:hAnsi="宋体" w:eastAsia="宋体"/>
          <w:sz w:val="24"/>
        </w:rPr>
        <w:t>同时为了保证设备稳定可靠运行，设备间必须满足设备对温度、湿度、洁净度、风速度、电磁场强度、电源质量、噪声、照明、振动、防火、防盗、防雷和接地等要求，需要为设备间各系统寻求和建立能够充分发挥其功能、延长设备寿命，并满足其各项要求的设备间环境及配套支撑系统。</w:t>
      </w:r>
      <w:bookmarkStart w:id="147" w:name="_Toc15190"/>
    </w:p>
    <w:p w14:paraId="184E1CBC">
      <w:pPr>
        <w:pStyle w:val="19"/>
        <w:spacing w:line="288" w:lineRule="auto"/>
        <w:ind w:firstLine="0" w:firstLineChars="0"/>
        <w:rPr>
          <w:rFonts w:hint="eastAsia" w:ascii="宋体" w:hAnsi="宋体" w:eastAsia="宋体"/>
          <w:sz w:val="24"/>
        </w:rPr>
      </w:pPr>
      <w:r>
        <w:rPr>
          <w:rFonts w:hint="eastAsia" w:ascii="宋体" w:hAnsi="宋体" w:eastAsia="宋体"/>
          <w:sz w:val="24"/>
        </w:rPr>
        <w:t>3.1.2综合安防系统需求分析</w:t>
      </w:r>
      <w:bookmarkEnd w:id="147"/>
    </w:p>
    <w:p w14:paraId="07B110DF">
      <w:pPr>
        <w:pStyle w:val="19"/>
        <w:spacing w:line="288" w:lineRule="auto"/>
        <w:ind w:firstLine="480"/>
        <w:rPr>
          <w:rFonts w:hint="eastAsia" w:ascii="宋体" w:hAnsi="宋体" w:eastAsia="宋体"/>
          <w:sz w:val="24"/>
        </w:rPr>
      </w:pPr>
      <w:r>
        <w:rPr>
          <w:rFonts w:hint="eastAsia" w:ascii="宋体" w:hAnsi="宋体" w:eastAsia="宋体"/>
          <w:sz w:val="24"/>
        </w:rPr>
        <w:t>目前新建的诉讼服务中心和执行指挥中心两栋大楼均未安装安防系统和门禁系统，法庭内部存在一定的安全和风险问题，为保障法院内人员和财产安全，提升法院整体安全防控能力，需完成两栋大楼各个楼层内公共场所的视频监控全覆盖，对大楼内的所有重点区域进行全天候监控监听，对现场各种视频图像及声音信息的进行实时采集，并将采集的各路监控信息传送至执行指挥中心大楼的监控室，实现各路视频的调取和查看，确保对各个场所情况进行全面有效地掌控，当出现意外情况时可以及时通知有关人员到现场进行妥善处理，同时对监控视频音频信息进行存储，详实记录所有的事件经过，以便于日后查对和取证；同时需在大楼大门、执行指挥大厅、智慧法庭等重点场所和部位部署门禁系统，实现出入门和通道进出控制，防止无卡人员和非法持卡人员的进出，并可查询任何人、任何时间的出入记录。同时，能与原大楼安防系统互联互通实现统一维护和管理。</w:t>
      </w:r>
      <w:bookmarkStart w:id="148" w:name="_Toc26046"/>
      <w:r>
        <w:rPr>
          <w:rFonts w:hint="eastAsia" w:ascii="宋体" w:hAnsi="宋体" w:eastAsia="宋体"/>
          <w:sz w:val="24"/>
        </w:rPr>
        <w:t>3.1.3司法业务配套系统需求分析</w:t>
      </w:r>
      <w:bookmarkEnd w:id="148"/>
    </w:p>
    <w:p w14:paraId="2EE0F3CF">
      <w:pPr>
        <w:pStyle w:val="19"/>
        <w:spacing w:line="288" w:lineRule="auto"/>
        <w:ind w:firstLine="480"/>
        <w:rPr>
          <w:rFonts w:hint="eastAsia" w:ascii="宋体" w:hAnsi="宋体" w:eastAsia="宋体"/>
          <w:sz w:val="24"/>
        </w:rPr>
      </w:pPr>
      <w:r>
        <w:rPr>
          <w:rFonts w:hint="eastAsia" w:ascii="宋体" w:hAnsi="宋体" w:eastAsia="宋体"/>
          <w:sz w:val="24"/>
        </w:rPr>
        <w:t>目前新建的诉讼服务中心和执行指挥中心两栋大楼中涉及的各类场所，包括立案大厅、执行大厅、指挥中心、智慧法庭等均未配置相关的配套设备，无法满足日常业务开展，需配置相关的配套设备或系统。</w:t>
      </w:r>
    </w:p>
    <w:p w14:paraId="06F619E7">
      <w:pPr>
        <w:pStyle w:val="19"/>
        <w:spacing w:line="288" w:lineRule="auto"/>
        <w:ind w:firstLine="480"/>
        <w:rPr>
          <w:rFonts w:hint="eastAsia" w:ascii="宋体" w:hAnsi="宋体" w:eastAsia="宋体"/>
          <w:sz w:val="24"/>
        </w:rPr>
      </w:pPr>
      <w:r>
        <w:rPr>
          <w:rFonts w:hint="eastAsia" w:ascii="宋体" w:hAnsi="宋体" w:eastAsia="宋体"/>
          <w:sz w:val="24"/>
        </w:rPr>
        <w:t>1.立案大厅配套建设需求</w:t>
      </w:r>
    </w:p>
    <w:p w14:paraId="2A4C7442">
      <w:pPr>
        <w:pStyle w:val="19"/>
        <w:spacing w:line="288" w:lineRule="auto"/>
        <w:ind w:firstLine="480"/>
        <w:rPr>
          <w:rFonts w:hint="eastAsia" w:ascii="宋体" w:hAnsi="宋体" w:eastAsia="宋体"/>
          <w:sz w:val="24"/>
        </w:rPr>
      </w:pPr>
      <w:r>
        <w:rPr>
          <w:rFonts w:hint="eastAsia" w:ascii="宋体" w:hAnsi="宋体" w:eastAsia="宋体"/>
          <w:sz w:val="24"/>
        </w:rPr>
        <w:t>在新建的立案大厅的基础上，需通过信息技术手段为法院办公人员及社会公众提供全流程、一站式诉讼服务，以进一步促进业务办理效率，根据立案大厅业务功能需求，设计配置覆盖包括安检通道、立案窗口服务区、室外信息发布、大厅内信息发布、文印区等涉及的业务配套设备。</w:t>
      </w:r>
    </w:p>
    <w:p w14:paraId="5214CA70">
      <w:pPr>
        <w:pStyle w:val="19"/>
        <w:numPr>
          <w:ilvl w:val="0"/>
          <w:numId w:val="3"/>
        </w:numPr>
        <w:spacing w:line="288" w:lineRule="auto"/>
        <w:ind w:firstLine="480"/>
        <w:rPr>
          <w:rFonts w:hint="eastAsia" w:ascii="宋体" w:hAnsi="宋体" w:eastAsia="宋体"/>
          <w:sz w:val="24"/>
        </w:rPr>
      </w:pPr>
      <w:r>
        <w:rPr>
          <w:rFonts w:hint="eastAsia" w:ascii="宋体" w:hAnsi="宋体" w:eastAsia="宋体"/>
          <w:sz w:val="24"/>
        </w:rPr>
        <w:t>安检通道建设需求</w:t>
      </w:r>
    </w:p>
    <w:p w14:paraId="02A708F4">
      <w:pPr>
        <w:pStyle w:val="19"/>
        <w:spacing w:line="288" w:lineRule="auto"/>
        <w:ind w:firstLine="480"/>
        <w:rPr>
          <w:rFonts w:hint="eastAsia" w:ascii="宋体" w:hAnsi="宋体" w:eastAsia="宋体"/>
          <w:sz w:val="24"/>
        </w:rPr>
      </w:pPr>
      <w:r>
        <w:rPr>
          <w:rFonts w:hint="eastAsia" w:ascii="宋体" w:hAnsi="宋体" w:eastAsia="宋体"/>
          <w:sz w:val="24"/>
        </w:rPr>
        <w:t>安检通道作为法院的第一道安全防线，为了保障法院工作的顺利开展，更是为了保护诉讼参与人、旁听人员等的安全，严格按照《人民法院司法警察安全检查规则》相关要求，将在安检通道置于进入法院审判法庭必经大门一侧，设立安全检查专门通道，通道内应安装有金属探测门等安检装置，同时，需配置手持探测器作为补充检测手段，用于受检者通过安全检查门报警时进行人工检测。安检通道的使用，将有利于及时发现安全隐患，防范安全事故，为立审执等各项工作提供有力的警务安全保障。</w:t>
      </w:r>
    </w:p>
    <w:p w14:paraId="5D0F1915">
      <w:pPr>
        <w:pStyle w:val="19"/>
        <w:numPr>
          <w:ilvl w:val="0"/>
          <w:numId w:val="3"/>
        </w:numPr>
        <w:spacing w:line="288" w:lineRule="auto"/>
        <w:ind w:firstLine="480"/>
        <w:rPr>
          <w:rFonts w:hint="eastAsia" w:ascii="宋体" w:hAnsi="宋体" w:eastAsia="宋体"/>
          <w:sz w:val="24"/>
        </w:rPr>
      </w:pPr>
      <w:r>
        <w:rPr>
          <w:rFonts w:hint="eastAsia" w:ascii="宋体" w:hAnsi="宋体" w:eastAsia="宋体"/>
          <w:sz w:val="24"/>
        </w:rPr>
        <w:t>立案窗口服务区建设需求</w:t>
      </w:r>
    </w:p>
    <w:p w14:paraId="27422D6C">
      <w:pPr>
        <w:pStyle w:val="19"/>
        <w:spacing w:line="288" w:lineRule="auto"/>
        <w:ind w:firstLine="480"/>
        <w:rPr>
          <w:rFonts w:hint="eastAsia" w:ascii="宋体" w:hAnsi="宋体" w:eastAsia="宋体"/>
          <w:sz w:val="24"/>
        </w:rPr>
      </w:pPr>
      <w:r>
        <w:rPr>
          <w:rFonts w:hint="eastAsia" w:ascii="宋体" w:hAnsi="宋体" w:eastAsia="宋体"/>
          <w:sz w:val="24"/>
        </w:rPr>
        <w:t>为让群众在一个窗口即可完成立案、接访、咨询、诉讼指导等事务，需对立案大厅立案窗口服务区进行建设，完善立案大厅立案窗口服务区硬件配备。</w:t>
      </w:r>
    </w:p>
    <w:p w14:paraId="30D55D34">
      <w:pPr>
        <w:pStyle w:val="19"/>
        <w:numPr>
          <w:ilvl w:val="0"/>
          <w:numId w:val="3"/>
        </w:numPr>
        <w:spacing w:line="288" w:lineRule="auto"/>
        <w:ind w:firstLine="480"/>
        <w:rPr>
          <w:rFonts w:hint="eastAsia" w:ascii="宋体" w:hAnsi="宋体" w:eastAsia="宋体"/>
          <w:sz w:val="24"/>
        </w:rPr>
      </w:pPr>
      <w:r>
        <w:rPr>
          <w:rFonts w:hint="eastAsia" w:ascii="宋体" w:hAnsi="宋体" w:eastAsia="宋体"/>
          <w:sz w:val="24"/>
        </w:rPr>
        <w:t>室外信息发布建设需求</w:t>
      </w:r>
    </w:p>
    <w:p w14:paraId="04656CFC">
      <w:pPr>
        <w:pStyle w:val="19"/>
        <w:spacing w:line="288" w:lineRule="auto"/>
        <w:ind w:firstLine="480"/>
        <w:rPr>
          <w:rFonts w:hint="eastAsia" w:ascii="宋体" w:hAnsi="宋体" w:eastAsia="宋体"/>
          <w:sz w:val="24"/>
        </w:rPr>
      </w:pPr>
      <w:r>
        <w:rPr>
          <w:rFonts w:hint="eastAsia" w:ascii="宋体" w:hAnsi="宋体" w:eastAsia="宋体"/>
          <w:sz w:val="24"/>
        </w:rPr>
        <w:t>为推动法治宣传全覆盖，加强法治文化建设，解决普法宣传缺阵地、缺载体等瓶颈问题，需在立案大厅室外室外高清彩色大屏幕，通过室外大屏的法治宣传教育，可以加深人民群众的法律信仰和法治理念，同时，可作为大楼名称的显示。</w:t>
      </w:r>
    </w:p>
    <w:p w14:paraId="4212B1E6">
      <w:pPr>
        <w:pStyle w:val="19"/>
        <w:numPr>
          <w:ilvl w:val="0"/>
          <w:numId w:val="3"/>
        </w:numPr>
        <w:spacing w:line="288" w:lineRule="auto"/>
        <w:ind w:firstLine="480"/>
        <w:rPr>
          <w:rFonts w:hint="eastAsia" w:ascii="宋体" w:hAnsi="宋体" w:eastAsia="宋体"/>
          <w:sz w:val="24"/>
        </w:rPr>
      </w:pPr>
      <w:r>
        <w:rPr>
          <w:rFonts w:hint="eastAsia" w:ascii="宋体" w:hAnsi="宋体" w:eastAsia="宋体"/>
          <w:sz w:val="24"/>
        </w:rPr>
        <w:t>大厅信息发布建设需求</w:t>
      </w:r>
    </w:p>
    <w:p w14:paraId="623FA0CA">
      <w:pPr>
        <w:pStyle w:val="19"/>
        <w:spacing w:line="288" w:lineRule="auto"/>
        <w:ind w:firstLine="480"/>
        <w:rPr>
          <w:rFonts w:hint="eastAsia" w:ascii="宋体" w:hAnsi="宋体" w:eastAsia="宋体"/>
          <w:sz w:val="24"/>
        </w:rPr>
      </w:pPr>
      <w:r>
        <w:rPr>
          <w:rFonts w:hint="eastAsia" w:ascii="宋体" w:hAnsi="宋体" w:eastAsia="宋体"/>
          <w:sz w:val="24"/>
        </w:rPr>
        <w:t>大厅信息发布大屏可以展示大厅的各种信息，例如公告、通知、天气、新闻等，方便大厅内用户获取信息。通过大屏，用户可以快速获取服务，例如查询窗口、办理业务等，提高服务效率。同时，大屏可以提升大厅的整体形象，增加科技感，提高客户的认知度和好感度。</w:t>
      </w:r>
    </w:p>
    <w:p w14:paraId="3E08563A">
      <w:pPr>
        <w:pStyle w:val="19"/>
        <w:numPr>
          <w:ilvl w:val="0"/>
          <w:numId w:val="3"/>
        </w:numPr>
        <w:spacing w:line="288" w:lineRule="auto"/>
        <w:ind w:firstLine="480"/>
        <w:rPr>
          <w:rFonts w:hint="eastAsia" w:ascii="宋体" w:hAnsi="宋体" w:eastAsia="宋体"/>
          <w:sz w:val="24"/>
        </w:rPr>
      </w:pPr>
      <w:r>
        <w:rPr>
          <w:rFonts w:hint="eastAsia" w:ascii="宋体" w:hAnsi="宋体" w:eastAsia="宋体"/>
          <w:sz w:val="24"/>
        </w:rPr>
        <w:t>文印区建设需求</w:t>
      </w:r>
    </w:p>
    <w:p w14:paraId="60E0B7AD">
      <w:pPr>
        <w:pStyle w:val="19"/>
        <w:spacing w:line="288" w:lineRule="auto"/>
        <w:ind w:firstLine="480"/>
        <w:rPr>
          <w:rFonts w:hint="eastAsia" w:ascii="宋体" w:hAnsi="宋体" w:eastAsia="宋体"/>
          <w:sz w:val="24"/>
        </w:rPr>
      </w:pPr>
      <w:r>
        <w:rPr>
          <w:rFonts w:hint="eastAsia" w:ascii="宋体" w:hAnsi="宋体" w:eastAsia="宋体"/>
          <w:sz w:val="24"/>
        </w:rPr>
        <w:t>为方便群众，为群众提供便捷复印、打印等文印服务，方便群众在立案大厅办理业务时获取所需的文件材料，提高群众办事的便利性和立案工作的效率和质量，需在立案大厅设置文印区，同时，文印区的设置可以提供更完善的服务，满足群众在立案过程中对于文件材料的需求，提高法院的服务质量。</w:t>
      </w:r>
    </w:p>
    <w:p w14:paraId="27F34210">
      <w:pPr>
        <w:pStyle w:val="19"/>
        <w:spacing w:line="288" w:lineRule="auto"/>
        <w:ind w:firstLine="480"/>
        <w:rPr>
          <w:rFonts w:hint="eastAsia" w:ascii="宋体" w:hAnsi="宋体" w:eastAsia="宋体"/>
          <w:sz w:val="24"/>
        </w:rPr>
      </w:pPr>
      <w:r>
        <w:rPr>
          <w:rFonts w:hint="eastAsia" w:ascii="宋体" w:hAnsi="宋体" w:eastAsia="宋体"/>
          <w:sz w:val="24"/>
        </w:rPr>
        <w:t>2.执行大厅配套建设需求</w:t>
      </w:r>
    </w:p>
    <w:p w14:paraId="3A3A2DF7">
      <w:pPr>
        <w:pStyle w:val="19"/>
        <w:spacing w:line="288" w:lineRule="auto"/>
        <w:ind w:firstLine="480"/>
        <w:rPr>
          <w:rFonts w:hint="eastAsia" w:ascii="宋体" w:hAnsi="宋体" w:eastAsia="宋体"/>
          <w:sz w:val="24"/>
        </w:rPr>
      </w:pPr>
      <w:r>
        <w:rPr>
          <w:rFonts w:hint="eastAsia" w:ascii="宋体" w:hAnsi="宋体" w:eastAsia="宋体"/>
          <w:sz w:val="24"/>
        </w:rPr>
        <w:t>根据新建执行大厅业务功能需求，需建设包括执行窗口服务区、值班室及信访接待、便民服务区、室外信息发布等涉及的业务配套设备。</w:t>
      </w:r>
    </w:p>
    <w:p w14:paraId="65022183">
      <w:pPr>
        <w:pStyle w:val="19"/>
        <w:numPr>
          <w:ilvl w:val="0"/>
          <w:numId w:val="4"/>
        </w:numPr>
        <w:spacing w:line="288" w:lineRule="auto"/>
        <w:ind w:firstLine="480"/>
        <w:rPr>
          <w:rFonts w:hint="eastAsia" w:ascii="宋体" w:hAnsi="宋体" w:eastAsia="宋体"/>
          <w:sz w:val="24"/>
        </w:rPr>
      </w:pPr>
      <w:r>
        <w:rPr>
          <w:rFonts w:hint="eastAsia" w:ascii="宋体" w:hAnsi="宋体" w:eastAsia="宋体"/>
          <w:sz w:val="24"/>
        </w:rPr>
        <w:t>执行窗口服务区建设需求</w:t>
      </w:r>
    </w:p>
    <w:p w14:paraId="1DCC950E">
      <w:pPr>
        <w:pStyle w:val="19"/>
        <w:spacing w:line="288" w:lineRule="auto"/>
        <w:ind w:firstLine="480"/>
        <w:rPr>
          <w:rFonts w:hint="eastAsia" w:ascii="宋体" w:hAnsi="宋体" w:eastAsia="宋体"/>
          <w:sz w:val="24"/>
        </w:rPr>
      </w:pPr>
      <w:r>
        <w:rPr>
          <w:rFonts w:hint="eastAsia" w:ascii="宋体" w:hAnsi="宋体" w:eastAsia="宋体"/>
          <w:sz w:val="24"/>
        </w:rPr>
        <w:t>为更好地整合和利用法院资源，提高法院工作效率，减少群众的等待时间和办事成本，提供更全面、高效、便捷的司法服务，满足群众日益增长的司法需求，增强法院的社会公信力和形象，需在执行大厅建设执行窗口服务区，进一步规范法院工作流程，提高服务质量，增强群众的满意度和信任度。</w:t>
      </w:r>
    </w:p>
    <w:p w14:paraId="4C7EF43B">
      <w:pPr>
        <w:pStyle w:val="19"/>
        <w:numPr>
          <w:ilvl w:val="0"/>
          <w:numId w:val="4"/>
        </w:numPr>
        <w:spacing w:line="288" w:lineRule="auto"/>
        <w:ind w:firstLine="480"/>
        <w:rPr>
          <w:rFonts w:hint="eastAsia" w:ascii="宋体" w:hAnsi="宋体" w:eastAsia="宋体"/>
          <w:sz w:val="24"/>
        </w:rPr>
      </w:pPr>
      <w:r>
        <w:rPr>
          <w:rFonts w:hint="eastAsia" w:ascii="宋体" w:hAnsi="宋体" w:eastAsia="宋体"/>
          <w:sz w:val="24"/>
        </w:rPr>
        <w:t>值班室及信访接待建设需求</w:t>
      </w:r>
    </w:p>
    <w:p w14:paraId="3D6C537A">
      <w:pPr>
        <w:pStyle w:val="19"/>
        <w:spacing w:line="288" w:lineRule="auto"/>
        <w:ind w:firstLine="480"/>
        <w:rPr>
          <w:rFonts w:hint="eastAsia" w:ascii="宋体" w:hAnsi="宋体" w:eastAsia="宋体"/>
          <w:sz w:val="24"/>
        </w:rPr>
      </w:pPr>
      <w:r>
        <w:rPr>
          <w:rFonts w:hint="eastAsia" w:ascii="宋体" w:hAnsi="宋体" w:eastAsia="宋体"/>
          <w:sz w:val="24"/>
        </w:rPr>
        <w:t>为保证和便于执行干警及时、高效地处理执行案件，保护群众合法权益，维护社会和谐稳定，在执行大厅设置值班室，作为执行工作的协调中心和服务窗口。为畅通法院信访渠道、汇聚社情民意、宣传群众和服务群众，促进社会和谐、维护社会稳定、密切党群关系，需建设信访接待室，作为集接待转办、协调指导、会商研究为一体的信访综合接待窗口。</w:t>
      </w:r>
    </w:p>
    <w:p w14:paraId="7FCB3334">
      <w:pPr>
        <w:pStyle w:val="19"/>
        <w:numPr>
          <w:ilvl w:val="0"/>
          <w:numId w:val="4"/>
        </w:numPr>
        <w:spacing w:line="288" w:lineRule="auto"/>
        <w:ind w:firstLine="480"/>
        <w:rPr>
          <w:rFonts w:hint="eastAsia" w:ascii="宋体" w:hAnsi="宋体" w:eastAsia="宋体"/>
          <w:sz w:val="24"/>
        </w:rPr>
      </w:pPr>
      <w:r>
        <w:rPr>
          <w:rFonts w:hint="eastAsia" w:ascii="宋体" w:hAnsi="宋体" w:eastAsia="宋体"/>
          <w:sz w:val="24"/>
        </w:rPr>
        <w:t>便民服务区建设需求</w:t>
      </w:r>
    </w:p>
    <w:p w14:paraId="31784176">
      <w:pPr>
        <w:pStyle w:val="19"/>
        <w:spacing w:line="288" w:lineRule="auto"/>
        <w:ind w:firstLine="480"/>
        <w:rPr>
          <w:rFonts w:hint="eastAsia" w:ascii="宋体" w:hAnsi="宋体" w:eastAsia="宋体"/>
          <w:sz w:val="24"/>
        </w:rPr>
      </w:pPr>
      <w:r>
        <w:rPr>
          <w:rFonts w:hint="eastAsia" w:ascii="宋体" w:hAnsi="宋体" w:eastAsia="宋体"/>
          <w:sz w:val="24"/>
        </w:rPr>
        <w:t>为方便群众在办理执行事务时，能够及时得到帮助和支持，提高办事效率和服务质量，需在执行大厅内建设便民服务区，通过便民服务区提供专业的法律咨询、案件查询、文书送达等服务，能够提高执行工作的效率和效果，让当事人更便捷、更放心。</w:t>
      </w:r>
    </w:p>
    <w:p w14:paraId="6D74112C">
      <w:pPr>
        <w:pStyle w:val="19"/>
        <w:numPr>
          <w:ilvl w:val="0"/>
          <w:numId w:val="4"/>
        </w:numPr>
        <w:spacing w:line="288" w:lineRule="auto"/>
        <w:ind w:firstLine="480"/>
        <w:rPr>
          <w:rFonts w:hint="eastAsia" w:ascii="宋体" w:hAnsi="宋体" w:eastAsia="宋体"/>
          <w:sz w:val="24"/>
        </w:rPr>
      </w:pPr>
      <w:r>
        <w:rPr>
          <w:rFonts w:hint="eastAsia" w:ascii="宋体" w:hAnsi="宋体" w:eastAsia="宋体"/>
          <w:sz w:val="24"/>
        </w:rPr>
        <w:t>室外信息发布建设需求</w:t>
      </w:r>
    </w:p>
    <w:p w14:paraId="18C3C5DD">
      <w:pPr>
        <w:pStyle w:val="19"/>
        <w:spacing w:line="288" w:lineRule="auto"/>
        <w:ind w:firstLine="480"/>
        <w:rPr>
          <w:rFonts w:hint="eastAsia" w:ascii="宋体" w:hAnsi="宋体" w:eastAsia="宋体"/>
          <w:sz w:val="24"/>
        </w:rPr>
      </w:pPr>
      <w:r>
        <w:rPr>
          <w:rFonts w:hint="eastAsia" w:ascii="宋体" w:hAnsi="宋体" w:eastAsia="宋体"/>
          <w:sz w:val="24"/>
        </w:rPr>
        <w:t>为推动法治宣传全覆盖，加强法治文化建设，解决普法宣传缺阵地、缺载体等瓶颈问题，需在执行大厅室外室外高清彩色大屏幕，通过室外大屏的法治宣传教育，可以加深人民群众的法律信仰和法治理念，同时，可作为大楼名称的显示。</w:t>
      </w:r>
    </w:p>
    <w:p w14:paraId="298A72F2">
      <w:pPr>
        <w:pStyle w:val="19"/>
        <w:spacing w:line="288" w:lineRule="auto"/>
        <w:ind w:firstLine="480"/>
        <w:rPr>
          <w:rFonts w:hint="eastAsia" w:ascii="宋体" w:hAnsi="宋体" w:eastAsia="宋体"/>
          <w:sz w:val="24"/>
        </w:rPr>
      </w:pPr>
      <w:r>
        <w:rPr>
          <w:rFonts w:hint="eastAsia" w:ascii="宋体" w:hAnsi="宋体" w:eastAsia="宋体"/>
          <w:sz w:val="24"/>
        </w:rPr>
        <w:t>3.指挥中心配套建设需求</w:t>
      </w:r>
    </w:p>
    <w:p w14:paraId="3F688894">
      <w:pPr>
        <w:pStyle w:val="19"/>
        <w:spacing w:line="288" w:lineRule="auto"/>
        <w:ind w:firstLine="480"/>
        <w:rPr>
          <w:rFonts w:hint="eastAsia" w:ascii="宋体" w:hAnsi="宋体" w:eastAsia="宋体"/>
          <w:sz w:val="24"/>
        </w:rPr>
      </w:pPr>
      <w:r>
        <w:rPr>
          <w:rFonts w:hint="eastAsia" w:ascii="宋体" w:hAnsi="宋体" w:eastAsia="宋体"/>
          <w:sz w:val="24"/>
        </w:rPr>
        <w:t>新建的指挥中心长约13.4米，宽8.2米，面积约110平方米，可容纳约40人同时开会，目前暂无显示、会议等相关配套设备，无法支撑特殊情况处置等相关业务，无法实现指挥调度、部门协同以及应急处置等，需配置相关信息化设备，满足业务需求，包括大屏显示系统、监控系统、数字会议控制系统、扩音系统、中央控制系统等。</w:t>
      </w:r>
    </w:p>
    <w:p w14:paraId="284C675D">
      <w:pPr>
        <w:pStyle w:val="19"/>
        <w:numPr>
          <w:ilvl w:val="0"/>
          <w:numId w:val="5"/>
        </w:numPr>
        <w:spacing w:line="288" w:lineRule="auto"/>
        <w:ind w:firstLine="480"/>
        <w:rPr>
          <w:rFonts w:hint="eastAsia" w:ascii="宋体" w:hAnsi="宋体" w:eastAsia="宋体"/>
          <w:sz w:val="24"/>
        </w:rPr>
      </w:pPr>
      <w:r>
        <w:rPr>
          <w:rFonts w:hint="eastAsia" w:ascii="宋体" w:hAnsi="宋体" w:eastAsia="宋体"/>
          <w:sz w:val="24"/>
        </w:rPr>
        <w:t>大屏显示系统建设需求</w:t>
      </w:r>
    </w:p>
    <w:p w14:paraId="16262D36">
      <w:pPr>
        <w:pStyle w:val="19"/>
        <w:spacing w:line="288" w:lineRule="auto"/>
        <w:ind w:firstLine="480"/>
        <w:rPr>
          <w:rFonts w:hint="eastAsia" w:ascii="宋体" w:hAnsi="宋体" w:eastAsia="宋体"/>
          <w:sz w:val="24"/>
        </w:rPr>
      </w:pPr>
      <w:r>
        <w:rPr>
          <w:rFonts w:hint="eastAsia" w:ascii="宋体" w:hAnsi="宋体" w:eastAsia="宋体"/>
          <w:sz w:val="24"/>
        </w:rPr>
        <w:t>目前指挥中心暂无任何显示设备，为满足多业务融合的需要，包括监控显示、指挥调度、信息发布等，需建设大屏显示系统，大屏显示系统是可视化管理的有效工具，可以将各种信息以图形化、直观化的方式呈现出来，帮助指挥中心更好地进行决策和调度，同时，大屏显示系统可以清晰地展示各种信息，使指挥中心更加可视化，同时提供更加便捷的操作方式，增强指挥中心的可视性和可操作性。</w:t>
      </w:r>
    </w:p>
    <w:p w14:paraId="51A11C99">
      <w:pPr>
        <w:pStyle w:val="19"/>
        <w:numPr>
          <w:ilvl w:val="0"/>
          <w:numId w:val="5"/>
        </w:numPr>
        <w:spacing w:line="288" w:lineRule="auto"/>
        <w:ind w:firstLine="480"/>
        <w:rPr>
          <w:rFonts w:hint="eastAsia" w:ascii="宋体" w:hAnsi="宋体" w:eastAsia="宋体"/>
          <w:sz w:val="24"/>
        </w:rPr>
      </w:pPr>
      <w:r>
        <w:rPr>
          <w:rFonts w:hint="eastAsia" w:ascii="宋体" w:hAnsi="宋体" w:eastAsia="宋体"/>
          <w:sz w:val="24"/>
        </w:rPr>
        <w:t>监控系统建设需求</w:t>
      </w:r>
    </w:p>
    <w:p w14:paraId="2CD30B53">
      <w:pPr>
        <w:pStyle w:val="19"/>
        <w:spacing w:line="288" w:lineRule="auto"/>
        <w:ind w:firstLine="480"/>
        <w:rPr>
          <w:rFonts w:hint="eastAsia" w:ascii="宋体" w:hAnsi="宋体" w:eastAsia="宋体"/>
          <w:sz w:val="24"/>
        </w:rPr>
      </w:pPr>
      <w:r>
        <w:rPr>
          <w:rFonts w:hint="eastAsia" w:ascii="宋体" w:hAnsi="宋体" w:eastAsia="宋体"/>
          <w:sz w:val="24"/>
        </w:rPr>
        <w:t>为实时监测指挥中心的环境和安全状态，及时发现危险和异常情况，通过安装监控摄像头，保障指挥中心的可靠性和稳定性。</w:t>
      </w:r>
    </w:p>
    <w:p w14:paraId="37663EA7">
      <w:pPr>
        <w:pStyle w:val="19"/>
        <w:numPr>
          <w:ilvl w:val="0"/>
          <w:numId w:val="5"/>
        </w:numPr>
        <w:spacing w:line="288" w:lineRule="auto"/>
        <w:ind w:firstLine="480"/>
        <w:rPr>
          <w:rFonts w:hint="eastAsia" w:ascii="宋体" w:hAnsi="宋体" w:eastAsia="宋体"/>
          <w:sz w:val="24"/>
        </w:rPr>
      </w:pPr>
      <w:r>
        <w:rPr>
          <w:rFonts w:hint="eastAsia" w:ascii="宋体" w:hAnsi="宋体" w:eastAsia="宋体"/>
          <w:sz w:val="24"/>
        </w:rPr>
        <w:t>数字会议控制系统建设需求</w:t>
      </w:r>
    </w:p>
    <w:p w14:paraId="687E5BCA">
      <w:pPr>
        <w:pStyle w:val="19"/>
        <w:spacing w:line="288" w:lineRule="auto"/>
        <w:ind w:firstLine="480"/>
        <w:rPr>
          <w:rFonts w:hint="eastAsia" w:ascii="宋体" w:hAnsi="宋体" w:eastAsia="宋体"/>
          <w:sz w:val="24"/>
        </w:rPr>
      </w:pPr>
      <w:r>
        <w:rPr>
          <w:rFonts w:hint="eastAsia" w:ascii="宋体" w:hAnsi="宋体" w:eastAsia="宋体"/>
          <w:sz w:val="24"/>
        </w:rPr>
        <w:t>目前法院会议室内暂无数字会议控制系统，数字会议控制系统作为会议控制配套系统，支撑麦克风、音响等会议设备的联动运行，使得数字会议系统操作简单，使用方便，支持多人同时发言和文字交流，保障了会议的音质和会议效果。</w:t>
      </w:r>
    </w:p>
    <w:p w14:paraId="52944D64">
      <w:pPr>
        <w:pStyle w:val="19"/>
        <w:numPr>
          <w:ilvl w:val="0"/>
          <w:numId w:val="5"/>
        </w:numPr>
        <w:spacing w:line="288" w:lineRule="auto"/>
        <w:ind w:firstLine="480"/>
        <w:rPr>
          <w:rFonts w:hint="eastAsia" w:ascii="宋体" w:hAnsi="宋体" w:eastAsia="宋体"/>
          <w:sz w:val="24"/>
        </w:rPr>
      </w:pPr>
      <w:r>
        <w:rPr>
          <w:rFonts w:hint="eastAsia" w:ascii="宋体" w:hAnsi="宋体" w:eastAsia="宋体"/>
          <w:sz w:val="24"/>
        </w:rPr>
        <w:t>扩音系统建设需求</w:t>
      </w:r>
    </w:p>
    <w:p w14:paraId="1E69DC95">
      <w:pPr>
        <w:pStyle w:val="19"/>
        <w:spacing w:line="288" w:lineRule="auto"/>
        <w:ind w:firstLine="480"/>
        <w:rPr>
          <w:rFonts w:hint="eastAsia" w:ascii="宋体" w:hAnsi="宋体" w:eastAsia="宋体"/>
          <w:sz w:val="24"/>
        </w:rPr>
      </w:pPr>
      <w:r>
        <w:rPr>
          <w:rFonts w:hint="eastAsia" w:ascii="宋体" w:hAnsi="宋体" w:eastAsia="宋体"/>
          <w:sz w:val="24"/>
        </w:rPr>
        <w:t>面积约110平方米，容纳约40人同时开会，指挥中心面积大会议人员多，后排将无法听清会议内容，需通过建设扩音系统，清晰地传递发言者的声音，保持音量的一致性，确保会议效率和质量。</w:t>
      </w:r>
    </w:p>
    <w:p w14:paraId="5E3FFF24">
      <w:pPr>
        <w:pStyle w:val="19"/>
        <w:numPr>
          <w:ilvl w:val="0"/>
          <w:numId w:val="5"/>
        </w:numPr>
        <w:spacing w:line="288" w:lineRule="auto"/>
        <w:ind w:firstLine="480"/>
        <w:rPr>
          <w:rFonts w:hint="eastAsia" w:ascii="宋体" w:hAnsi="宋体" w:eastAsia="宋体"/>
          <w:sz w:val="24"/>
        </w:rPr>
      </w:pPr>
      <w:r>
        <w:rPr>
          <w:rFonts w:hint="eastAsia" w:ascii="宋体" w:hAnsi="宋体" w:eastAsia="宋体"/>
          <w:sz w:val="24"/>
        </w:rPr>
        <w:t>中央控制系统建设需求</w:t>
      </w:r>
    </w:p>
    <w:p w14:paraId="582BFF10">
      <w:pPr>
        <w:pStyle w:val="19"/>
        <w:spacing w:line="288" w:lineRule="auto"/>
        <w:ind w:firstLine="480"/>
        <w:rPr>
          <w:rFonts w:hint="eastAsia" w:ascii="宋体" w:hAnsi="宋体" w:eastAsia="宋体"/>
          <w:sz w:val="24"/>
        </w:rPr>
      </w:pPr>
      <w:r>
        <w:rPr>
          <w:rFonts w:hint="eastAsia" w:ascii="宋体" w:hAnsi="宋体" w:eastAsia="宋体"/>
          <w:sz w:val="24"/>
        </w:rPr>
        <w:t>指挥中心涉及的各类零散设备需通过控制系统进行统一的控制。</w:t>
      </w:r>
    </w:p>
    <w:p w14:paraId="2AE4F3BD">
      <w:pPr>
        <w:pStyle w:val="19"/>
        <w:spacing w:line="288" w:lineRule="auto"/>
        <w:ind w:firstLine="480"/>
        <w:rPr>
          <w:rFonts w:hint="eastAsia" w:ascii="宋体" w:hAnsi="宋体" w:eastAsia="宋体"/>
          <w:sz w:val="24"/>
        </w:rPr>
      </w:pPr>
      <w:r>
        <w:rPr>
          <w:rFonts w:hint="eastAsia" w:ascii="宋体" w:hAnsi="宋体" w:eastAsia="宋体"/>
          <w:sz w:val="24"/>
        </w:rPr>
        <w:t>4.智慧法庭配套建设需求</w:t>
      </w:r>
    </w:p>
    <w:p w14:paraId="2C6754DB">
      <w:pPr>
        <w:pStyle w:val="19"/>
        <w:spacing w:line="288" w:lineRule="auto"/>
        <w:ind w:firstLine="480"/>
        <w:rPr>
          <w:rFonts w:hint="eastAsia" w:ascii="宋体" w:hAnsi="宋体" w:eastAsia="宋体"/>
          <w:sz w:val="24"/>
        </w:rPr>
      </w:pPr>
      <w:r>
        <w:rPr>
          <w:rFonts w:hint="eastAsia" w:ascii="宋体" w:hAnsi="宋体" w:eastAsia="宋体"/>
          <w:sz w:val="24"/>
        </w:rPr>
        <w:t>针对本次新建的智慧法庭，根据《人民法院审判法庭信息化建设规范（试行）》（法发〔2008〕28号）进行智慧法庭布线、证据展示、庭审笔录、音视频管理、庭审管理、音响、集中控制等建设，并配置相关配套智能化设备。</w:t>
      </w:r>
      <w:bookmarkStart w:id="149" w:name="_Toc493702792"/>
      <w:bookmarkStart w:id="150" w:name="_Toc85443528"/>
      <w:bookmarkStart w:id="151" w:name="_Toc25135"/>
    </w:p>
    <w:p w14:paraId="132F1C12">
      <w:pPr>
        <w:pStyle w:val="19"/>
        <w:spacing w:line="288" w:lineRule="auto"/>
        <w:ind w:firstLine="0" w:firstLineChars="0"/>
        <w:rPr>
          <w:rFonts w:hint="eastAsia" w:ascii="宋体" w:hAnsi="宋体" w:eastAsia="宋体"/>
          <w:sz w:val="24"/>
        </w:rPr>
      </w:pPr>
      <w:r>
        <w:rPr>
          <w:rFonts w:hint="eastAsia" w:ascii="宋体" w:hAnsi="宋体" w:eastAsia="宋体"/>
          <w:sz w:val="24"/>
        </w:rPr>
        <w:t>3.2业务协同需求</w:t>
      </w:r>
      <w:bookmarkEnd w:id="149"/>
      <w:r>
        <w:rPr>
          <w:rFonts w:hint="eastAsia" w:ascii="宋体" w:hAnsi="宋体" w:eastAsia="宋体"/>
          <w:sz w:val="24"/>
        </w:rPr>
        <w:t>分析</w:t>
      </w:r>
      <w:bookmarkEnd w:id="150"/>
      <w:bookmarkEnd w:id="151"/>
    </w:p>
    <w:p w14:paraId="11548F19">
      <w:pPr>
        <w:pStyle w:val="19"/>
        <w:spacing w:line="288" w:lineRule="auto"/>
        <w:ind w:firstLine="480"/>
        <w:rPr>
          <w:rFonts w:hint="eastAsia" w:ascii="宋体" w:hAnsi="宋体" w:eastAsia="宋体"/>
          <w:sz w:val="24"/>
        </w:rPr>
      </w:pPr>
      <w:r>
        <w:rPr>
          <w:rFonts w:hint="eastAsia" w:ascii="宋体" w:hAnsi="宋体" w:eastAsia="宋体"/>
          <w:sz w:val="24"/>
        </w:rPr>
        <w:t>打通新建的1号楼和2号楼的网络，接入法院现有业务系统，实现与原有审判大楼业务协同。</w:t>
      </w:r>
      <w:bookmarkStart w:id="152" w:name="_Toc493702791"/>
      <w:bookmarkStart w:id="153" w:name="_Toc85443529"/>
      <w:bookmarkStart w:id="154" w:name="_Toc30091"/>
      <w:bookmarkStart w:id="155" w:name="_Toc332971300"/>
    </w:p>
    <w:p w14:paraId="74025A2A">
      <w:pPr>
        <w:pStyle w:val="19"/>
        <w:spacing w:line="288" w:lineRule="auto"/>
        <w:ind w:firstLine="0" w:firstLineChars="0"/>
        <w:rPr>
          <w:rFonts w:hint="eastAsia" w:ascii="宋体" w:hAnsi="宋体" w:eastAsia="宋体"/>
          <w:sz w:val="24"/>
        </w:rPr>
      </w:pPr>
      <w:r>
        <w:rPr>
          <w:rFonts w:hint="eastAsia" w:ascii="宋体" w:hAnsi="宋体" w:eastAsia="宋体"/>
          <w:sz w:val="24"/>
        </w:rPr>
        <w:t>3.3信息化基础设施和能力需求</w:t>
      </w:r>
      <w:bookmarkEnd w:id="152"/>
      <w:r>
        <w:rPr>
          <w:rFonts w:hint="eastAsia" w:ascii="宋体" w:hAnsi="宋体" w:eastAsia="宋体"/>
          <w:sz w:val="24"/>
        </w:rPr>
        <w:t>分析</w:t>
      </w:r>
      <w:bookmarkEnd w:id="153"/>
      <w:bookmarkEnd w:id="154"/>
      <w:bookmarkStart w:id="156" w:name="_Toc28253"/>
      <w:bookmarkStart w:id="157" w:name="_Toc85443530"/>
    </w:p>
    <w:p w14:paraId="194A0448">
      <w:pPr>
        <w:pStyle w:val="19"/>
        <w:spacing w:line="288" w:lineRule="auto"/>
        <w:ind w:firstLine="0" w:firstLineChars="0"/>
        <w:rPr>
          <w:rFonts w:hint="eastAsia" w:ascii="宋体" w:hAnsi="宋体" w:eastAsia="宋体"/>
          <w:sz w:val="24"/>
        </w:rPr>
      </w:pPr>
      <w:r>
        <w:rPr>
          <w:rFonts w:hint="eastAsia" w:ascii="宋体" w:hAnsi="宋体" w:eastAsia="宋体"/>
          <w:sz w:val="24"/>
        </w:rPr>
        <w:t>3.3.1机房及配套设施需求</w:t>
      </w:r>
      <w:bookmarkEnd w:id="156"/>
      <w:bookmarkEnd w:id="157"/>
    </w:p>
    <w:p w14:paraId="4792FDEC">
      <w:pPr>
        <w:pStyle w:val="19"/>
        <w:spacing w:line="288" w:lineRule="auto"/>
        <w:ind w:firstLine="480"/>
        <w:rPr>
          <w:rFonts w:hint="eastAsia" w:ascii="宋体" w:hAnsi="宋体" w:eastAsia="宋体"/>
          <w:sz w:val="24"/>
        </w:rPr>
      </w:pPr>
      <w:r>
        <w:rPr>
          <w:rFonts w:hint="eastAsia" w:ascii="宋体" w:hAnsi="宋体" w:eastAsia="宋体"/>
          <w:sz w:val="24"/>
        </w:rPr>
        <w:t>2号楼三楼信息机房建筑面积约为36m²，暂无机房相关配套设施设备，需参考《数据中心设计规范》（GB50174-2017）C级机房建设要求，完成机房装修工程、消防工程、空调系统、供配电工程、防雷接地系统、机房布线工程等建设。</w:t>
      </w:r>
      <w:bookmarkStart w:id="158" w:name="_Toc85443531"/>
      <w:bookmarkStart w:id="159" w:name="_Toc17513"/>
      <w:r>
        <w:rPr>
          <w:rFonts w:hint="eastAsia" w:ascii="宋体" w:hAnsi="宋体" w:eastAsia="宋体"/>
          <w:sz w:val="24"/>
        </w:rPr>
        <w:t>3.3.2云服务和服务器需求</w:t>
      </w:r>
      <w:bookmarkEnd w:id="158"/>
      <w:bookmarkEnd w:id="159"/>
    </w:p>
    <w:p w14:paraId="6D241050">
      <w:pPr>
        <w:pStyle w:val="19"/>
        <w:spacing w:line="288" w:lineRule="auto"/>
        <w:ind w:firstLine="480"/>
        <w:rPr>
          <w:rFonts w:hint="eastAsia" w:ascii="宋体" w:hAnsi="宋体" w:eastAsia="宋体"/>
          <w:sz w:val="24"/>
        </w:rPr>
      </w:pPr>
      <w:r>
        <w:rPr>
          <w:rFonts w:hint="eastAsia" w:ascii="宋体" w:hAnsi="宋体" w:eastAsia="宋体"/>
          <w:sz w:val="24"/>
        </w:rPr>
        <w:t>本项目智慧法庭、安防系统等服务器根据需要进行相应配置。</w:t>
      </w:r>
      <w:bookmarkStart w:id="160" w:name="_Toc13614"/>
      <w:bookmarkStart w:id="161" w:name="_Toc85443532"/>
    </w:p>
    <w:p w14:paraId="1B92B524">
      <w:pPr>
        <w:pStyle w:val="19"/>
        <w:spacing w:line="288" w:lineRule="auto"/>
        <w:ind w:firstLine="0" w:firstLineChars="0"/>
        <w:rPr>
          <w:rFonts w:hint="eastAsia" w:ascii="宋体" w:hAnsi="宋体" w:eastAsia="宋体"/>
          <w:sz w:val="24"/>
        </w:rPr>
      </w:pPr>
      <w:r>
        <w:rPr>
          <w:rFonts w:hint="eastAsia" w:ascii="宋体" w:hAnsi="宋体" w:eastAsia="宋体"/>
          <w:sz w:val="24"/>
        </w:rPr>
        <w:t>3.3.3存储备份需求</w:t>
      </w:r>
      <w:bookmarkEnd w:id="160"/>
      <w:bookmarkEnd w:id="161"/>
    </w:p>
    <w:p w14:paraId="663BE517">
      <w:pPr>
        <w:pStyle w:val="19"/>
        <w:spacing w:line="288" w:lineRule="auto"/>
        <w:ind w:firstLine="480"/>
        <w:rPr>
          <w:rFonts w:hint="eastAsia" w:ascii="宋体" w:hAnsi="宋体" w:eastAsia="宋体"/>
          <w:sz w:val="24"/>
        </w:rPr>
      </w:pPr>
      <w:r>
        <w:rPr>
          <w:rFonts w:hint="eastAsia" w:ascii="宋体" w:hAnsi="宋体" w:eastAsia="宋体"/>
          <w:sz w:val="24"/>
        </w:rPr>
        <w:t>本项目需对涉及的122个各类安防摄像头进行存储，存储时间不少于30天，按照H.265编码格式，每个摄像头按4Mbps码流计算，考虑30%的空间冗余，且在格式化过程中损耗容量约占最终总容量的5%。本项目共需存储容量为：</w:t>
      </w:r>
    </w:p>
    <w:p w14:paraId="22D09A58">
      <w:pPr>
        <w:pStyle w:val="19"/>
        <w:spacing w:line="288" w:lineRule="auto"/>
        <w:ind w:firstLine="480"/>
        <w:rPr>
          <w:rFonts w:hint="eastAsia" w:ascii="宋体" w:hAnsi="宋体" w:eastAsia="宋体"/>
          <w:sz w:val="24"/>
        </w:rPr>
      </w:pPr>
      <w:r>
        <w:rPr>
          <w:rFonts w:hint="eastAsia" w:ascii="宋体" w:hAnsi="宋体" w:eastAsia="宋体"/>
          <w:sz w:val="24"/>
        </w:rPr>
        <w:t>=4*60*60*24*122*30*(1+5%)/0.7/8/1024/1024≈226TB。</w:t>
      </w:r>
      <w:bookmarkStart w:id="162" w:name="_Toc11476"/>
      <w:bookmarkStart w:id="163" w:name="_Toc85443533"/>
    </w:p>
    <w:p w14:paraId="37BDE687">
      <w:pPr>
        <w:pStyle w:val="19"/>
        <w:spacing w:line="288" w:lineRule="auto"/>
        <w:ind w:firstLine="0" w:firstLineChars="0"/>
        <w:rPr>
          <w:rFonts w:hint="eastAsia" w:ascii="宋体" w:hAnsi="宋体" w:eastAsia="宋体"/>
          <w:sz w:val="24"/>
        </w:rPr>
      </w:pPr>
      <w:r>
        <w:rPr>
          <w:rFonts w:hint="eastAsia" w:ascii="宋体" w:hAnsi="宋体" w:eastAsia="宋体"/>
          <w:sz w:val="24"/>
        </w:rPr>
        <w:t>3.3.4其他基础硬件设备需求</w:t>
      </w:r>
      <w:bookmarkEnd w:id="162"/>
      <w:bookmarkEnd w:id="163"/>
    </w:p>
    <w:p w14:paraId="0B41AA9A">
      <w:pPr>
        <w:pStyle w:val="19"/>
        <w:spacing w:line="288" w:lineRule="auto"/>
        <w:ind w:firstLine="480"/>
        <w:rPr>
          <w:rFonts w:hint="eastAsia" w:ascii="宋体" w:hAnsi="宋体" w:eastAsia="宋体"/>
          <w:sz w:val="24"/>
        </w:rPr>
      </w:pPr>
      <w:r>
        <w:rPr>
          <w:rFonts w:hint="eastAsia" w:ascii="宋体" w:hAnsi="宋体" w:eastAsia="宋体"/>
          <w:sz w:val="24"/>
        </w:rPr>
        <w:t>本项目不涉及。</w:t>
      </w:r>
      <w:bookmarkStart w:id="164" w:name="_Toc85443534"/>
      <w:bookmarkStart w:id="165" w:name="_Toc16371"/>
    </w:p>
    <w:p w14:paraId="713A9C73">
      <w:pPr>
        <w:pStyle w:val="19"/>
        <w:spacing w:line="288" w:lineRule="auto"/>
        <w:ind w:firstLine="0" w:firstLineChars="0"/>
        <w:rPr>
          <w:rFonts w:hint="eastAsia" w:ascii="宋体" w:hAnsi="宋体" w:eastAsia="宋体"/>
          <w:sz w:val="24"/>
        </w:rPr>
      </w:pPr>
      <w:r>
        <w:rPr>
          <w:rFonts w:hint="eastAsia" w:ascii="宋体" w:hAnsi="宋体" w:eastAsia="宋体"/>
          <w:sz w:val="24"/>
        </w:rPr>
        <w:t>3.3.5系统及工具软件需求</w:t>
      </w:r>
      <w:bookmarkEnd w:id="164"/>
      <w:bookmarkEnd w:id="165"/>
    </w:p>
    <w:p w14:paraId="7090E50E">
      <w:pPr>
        <w:pStyle w:val="19"/>
        <w:spacing w:line="288" w:lineRule="auto"/>
        <w:ind w:firstLine="480"/>
        <w:rPr>
          <w:rFonts w:hint="eastAsia" w:ascii="宋体" w:hAnsi="宋体" w:eastAsia="宋体"/>
          <w:sz w:val="24"/>
        </w:rPr>
      </w:pPr>
      <w:r>
        <w:rPr>
          <w:rFonts w:hint="eastAsia" w:ascii="宋体" w:hAnsi="宋体" w:eastAsia="宋体"/>
          <w:sz w:val="24"/>
        </w:rPr>
        <w:t>本项目终端、服务器等硬件设备涉及的相关软件已配套包含。</w:t>
      </w:r>
      <w:bookmarkStart w:id="166" w:name="_Toc493702794"/>
      <w:bookmarkStart w:id="167" w:name="_Toc85443535"/>
      <w:bookmarkStart w:id="168" w:name="_Toc20629"/>
    </w:p>
    <w:p w14:paraId="01B03EE7">
      <w:pPr>
        <w:pStyle w:val="19"/>
        <w:spacing w:line="288" w:lineRule="auto"/>
        <w:ind w:firstLine="0" w:firstLineChars="0"/>
        <w:rPr>
          <w:rFonts w:hint="eastAsia" w:ascii="宋体" w:hAnsi="宋体" w:eastAsia="宋体"/>
          <w:sz w:val="24"/>
        </w:rPr>
      </w:pPr>
      <w:r>
        <w:rPr>
          <w:rFonts w:hint="eastAsia" w:ascii="宋体" w:hAnsi="宋体" w:eastAsia="宋体"/>
          <w:sz w:val="24"/>
        </w:rPr>
        <w:t>3.3.6网络建设和部署需求</w:t>
      </w:r>
      <w:bookmarkEnd w:id="166"/>
      <w:bookmarkEnd w:id="167"/>
      <w:bookmarkEnd w:id="168"/>
    </w:p>
    <w:p w14:paraId="6169DE49">
      <w:pPr>
        <w:pStyle w:val="19"/>
        <w:spacing w:line="288" w:lineRule="auto"/>
        <w:ind w:firstLine="480"/>
        <w:rPr>
          <w:rFonts w:hint="eastAsia" w:ascii="宋体" w:hAnsi="宋体" w:eastAsia="宋体"/>
          <w:sz w:val="24"/>
        </w:rPr>
      </w:pPr>
      <w:r>
        <w:rPr>
          <w:rFonts w:hint="eastAsia" w:ascii="宋体" w:hAnsi="宋体" w:eastAsia="宋体"/>
          <w:sz w:val="24"/>
        </w:rPr>
        <w:t>基础网络承载法院所有设备的数据传输及上层软件应用，对法院的重要性不言而喻。随着司法行业各种新型应用的出现、网络复杂性的提高，传统的组网在承担司法业务转型上面临着更大的挑战，例如：网络带宽吞吐量低、时延高、网络变更复杂等等。</w:t>
      </w:r>
    </w:p>
    <w:p w14:paraId="35818378">
      <w:pPr>
        <w:pStyle w:val="19"/>
        <w:spacing w:line="288" w:lineRule="auto"/>
        <w:ind w:firstLine="480"/>
        <w:rPr>
          <w:rFonts w:hint="eastAsia" w:ascii="宋体" w:hAnsi="宋体" w:eastAsia="宋体"/>
          <w:sz w:val="24"/>
        </w:rPr>
      </w:pPr>
      <w:r>
        <w:rPr>
          <w:rFonts w:hint="eastAsia" w:ascii="宋体" w:hAnsi="宋体" w:eastAsia="宋体"/>
          <w:sz w:val="24"/>
        </w:rPr>
        <w:t>一方面业务网承载着日常员工的网络办公，对流畅办公高带宽的需求已经成为刚需。另一方面法院管理需求也不断拓展，接入的系统、设备等越来越多，因此网络要满足法院对网络管理的需求，解决各系统各自为政、数据流转困难、数据安全防护等问题。</w:t>
      </w:r>
    </w:p>
    <w:p w14:paraId="449D611E">
      <w:pPr>
        <w:pStyle w:val="19"/>
        <w:spacing w:line="288" w:lineRule="auto"/>
        <w:ind w:firstLine="480"/>
        <w:rPr>
          <w:rFonts w:hint="eastAsia" w:ascii="宋体" w:hAnsi="宋体" w:eastAsia="宋体"/>
          <w:sz w:val="24"/>
        </w:rPr>
      </w:pPr>
      <w:r>
        <w:rPr>
          <w:rFonts w:hint="eastAsia" w:ascii="宋体" w:hAnsi="宋体" w:eastAsia="宋体"/>
          <w:sz w:val="24"/>
        </w:rPr>
        <w:t>项目主要包含以下需求：</w:t>
      </w:r>
    </w:p>
    <w:p w14:paraId="64A3A386">
      <w:pPr>
        <w:pStyle w:val="19"/>
        <w:spacing w:line="288" w:lineRule="auto"/>
        <w:ind w:firstLine="480"/>
        <w:rPr>
          <w:rFonts w:hint="eastAsia" w:ascii="宋体" w:hAnsi="宋体" w:eastAsia="宋体"/>
          <w:sz w:val="24"/>
        </w:rPr>
      </w:pPr>
      <w:r>
        <w:rPr>
          <w:rFonts w:hint="eastAsia" w:ascii="宋体" w:hAnsi="宋体" w:eastAsia="宋体"/>
          <w:sz w:val="24"/>
        </w:rPr>
        <w:t>1.有线网络建设需求</w:t>
      </w:r>
    </w:p>
    <w:p w14:paraId="74C52D88">
      <w:pPr>
        <w:pStyle w:val="19"/>
        <w:spacing w:line="288" w:lineRule="auto"/>
        <w:ind w:firstLine="480"/>
        <w:rPr>
          <w:rFonts w:hint="eastAsia" w:ascii="宋体" w:hAnsi="宋体" w:eastAsia="宋体"/>
          <w:sz w:val="24"/>
        </w:rPr>
      </w:pPr>
      <w:r>
        <w:rPr>
          <w:rFonts w:hint="eastAsia" w:ascii="宋体" w:hAnsi="宋体" w:eastAsia="宋体"/>
          <w:sz w:val="24"/>
        </w:rPr>
        <w:t>（1）核心层实现法院内不同网络物理隔离；</w:t>
      </w:r>
    </w:p>
    <w:p w14:paraId="4B70C326">
      <w:pPr>
        <w:pStyle w:val="19"/>
        <w:spacing w:line="288" w:lineRule="auto"/>
        <w:ind w:firstLine="480"/>
        <w:rPr>
          <w:rFonts w:hint="eastAsia" w:ascii="宋体" w:hAnsi="宋体" w:eastAsia="宋体"/>
          <w:sz w:val="24"/>
        </w:rPr>
      </w:pPr>
      <w:r>
        <w:rPr>
          <w:rFonts w:hint="eastAsia" w:ascii="宋体" w:hAnsi="宋体" w:eastAsia="宋体"/>
          <w:sz w:val="24"/>
        </w:rPr>
        <w:t>（2）保障有线网络具有一定先进性及冗余性；</w:t>
      </w:r>
    </w:p>
    <w:p w14:paraId="3FFB75AD">
      <w:pPr>
        <w:pStyle w:val="19"/>
        <w:spacing w:line="288" w:lineRule="auto"/>
        <w:ind w:firstLine="480"/>
        <w:rPr>
          <w:rFonts w:hint="eastAsia" w:ascii="宋体" w:hAnsi="宋体" w:eastAsia="宋体"/>
          <w:sz w:val="24"/>
        </w:rPr>
      </w:pPr>
      <w:r>
        <w:rPr>
          <w:rFonts w:hint="eastAsia" w:ascii="宋体" w:hAnsi="宋体" w:eastAsia="宋体"/>
          <w:sz w:val="24"/>
        </w:rPr>
        <w:t>（3）梳理各楼栋、楼层的接入、汇聚交换机需求，实现接入、汇聚层网络按照法院专网、互联网进行划分，实现接入、汇聚层物理隔离；</w:t>
      </w:r>
    </w:p>
    <w:p w14:paraId="2CDE44C4">
      <w:pPr>
        <w:pStyle w:val="19"/>
        <w:spacing w:line="288" w:lineRule="auto"/>
        <w:ind w:firstLine="480"/>
        <w:rPr>
          <w:rFonts w:hint="eastAsia" w:ascii="宋体" w:hAnsi="宋体" w:eastAsia="宋体"/>
          <w:sz w:val="24"/>
        </w:rPr>
      </w:pPr>
      <w:r>
        <w:rPr>
          <w:rFonts w:hint="eastAsia" w:ascii="宋体" w:hAnsi="宋体" w:eastAsia="宋体"/>
          <w:sz w:val="24"/>
        </w:rPr>
        <w:t>（4）保证千兆到终端、万兆骨干网的接入速率，满足未来5—10年的用网带宽要求。</w:t>
      </w:r>
    </w:p>
    <w:p w14:paraId="6600E1A7">
      <w:pPr>
        <w:pStyle w:val="19"/>
        <w:spacing w:line="288" w:lineRule="auto"/>
        <w:ind w:firstLine="480"/>
        <w:rPr>
          <w:rFonts w:hint="eastAsia" w:ascii="宋体" w:hAnsi="宋体" w:eastAsia="宋体"/>
          <w:sz w:val="24"/>
        </w:rPr>
      </w:pPr>
      <w:r>
        <w:rPr>
          <w:rFonts w:hint="eastAsia" w:ascii="宋体" w:hAnsi="宋体" w:eastAsia="宋体"/>
          <w:sz w:val="24"/>
        </w:rPr>
        <w:t>2.整体网络建设需求</w:t>
      </w:r>
    </w:p>
    <w:p w14:paraId="4ADDA453">
      <w:pPr>
        <w:pStyle w:val="19"/>
        <w:spacing w:line="288" w:lineRule="auto"/>
        <w:ind w:firstLine="480"/>
        <w:rPr>
          <w:rFonts w:hint="eastAsia" w:ascii="宋体" w:hAnsi="宋体" w:eastAsia="宋体"/>
          <w:sz w:val="24"/>
        </w:rPr>
      </w:pPr>
      <w:r>
        <w:rPr>
          <w:rFonts w:hint="eastAsia" w:ascii="宋体" w:hAnsi="宋体" w:eastAsia="宋体"/>
          <w:sz w:val="24"/>
        </w:rPr>
        <w:t>整体网络应实现一体化、可视化管理，方便网络运维人员管理维护和及时排障。</w:t>
      </w:r>
      <w:bookmarkEnd w:id="155"/>
      <w:bookmarkStart w:id="169" w:name="_Toc493702793"/>
      <w:bookmarkStart w:id="170" w:name="_Toc22560"/>
      <w:bookmarkStart w:id="171" w:name="_Toc85443536"/>
    </w:p>
    <w:p w14:paraId="33F5EA21">
      <w:pPr>
        <w:pStyle w:val="19"/>
        <w:spacing w:line="288" w:lineRule="auto"/>
        <w:ind w:firstLine="0" w:firstLineChars="0"/>
        <w:rPr>
          <w:rFonts w:hint="eastAsia" w:ascii="宋体" w:hAnsi="宋体" w:eastAsia="宋体"/>
          <w:sz w:val="24"/>
        </w:rPr>
      </w:pPr>
      <w:r>
        <w:rPr>
          <w:rFonts w:hint="eastAsia" w:ascii="宋体" w:hAnsi="宋体" w:eastAsia="宋体"/>
          <w:sz w:val="24"/>
        </w:rPr>
        <w:t>3.3.7信息交换与共享需求</w:t>
      </w:r>
      <w:bookmarkEnd w:id="169"/>
      <w:bookmarkEnd w:id="170"/>
      <w:bookmarkEnd w:id="171"/>
    </w:p>
    <w:p w14:paraId="7C23D5FE">
      <w:pPr>
        <w:pStyle w:val="19"/>
        <w:spacing w:line="288" w:lineRule="auto"/>
        <w:ind w:firstLine="480"/>
        <w:rPr>
          <w:rFonts w:hint="eastAsia" w:ascii="宋体" w:hAnsi="宋体" w:eastAsia="宋体"/>
          <w:sz w:val="24"/>
        </w:rPr>
      </w:pPr>
      <w:r>
        <w:rPr>
          <w:rFonts w:hint="eastAsia" w:ascii="宋体" w:hAnsi="宋体" w:eastAsia="宋体"/>
          <w:sz w:val="24"/>
        </w:rPr>
        <w:t>新建的两栋大楼网络未接入原有审判大楼机房，不能通过法院专网和互联网进行信息交换和共享，需将新建大楼网络接入原有审判大楼机房，实现与原有审判大楼和其他法庭的信息交换和共享。</w:t>
      </w:r>
      <w:bookmarkStart w:id="172" w:name="_Toc3799"/>
      <w:bookmarkStart w:id="173" w:name="_Toc85443537"/>
    </w:p>
    <w:p w14:paraId="05D56198">
      <w:pPr>
        <w:pStyle w:val="19"/>
        <w:spacing w:line="288" w:lineRule="auto"/>
        <w:ind w:firstLine="0" w:firstLineChars="0"/>
        <w:rPr>
          <w:rFonts w:hint="eastAsia" w:ascii="宋体" w:hAnsi="宋体" w:eastAsia="宋体"/>
          <w:sz w:val="24"/>
        </w:rPr>
      </w:pPr>
      <w:r>
        <w:rPr>
          <w:rFonts w:hint="eastAsia" w:ascii="宋体" w:hAnsi="宋体" w:eastAsia="宋体"/>
          <w:sz w:val="24"/>
        </w:rPr>
        <w:t>3.3.8数据资源建设与开放能力需求</w:t>
      </w:r>
      <w:bookmarkEnd w:id="172"/>
      <w:bookmarkEnd w:id="173"/>
    </w:p>
    <w:p w14:paraId="660DC27B">
      <w:pPr>
        <w:pStyle w:val="19"/>
        <w:spacing w:line="288" w:lineRule="auto"/>
        <w:ind w:firstLine="480"/>
        <w:rPr>
          <w:rFonts w:hint="eastAsia" w:ascii="宋体" w:hAnsi="宋体" w:eastAsia="宋体"/>
          <w:sz w:val="24"/>
        </w:rPr>
      </w:pPr>
      <w:r>
        <w:rPr>
          <w:rFonts w:hint="eastAsia" w:ascii="宋体" w:hAnsi="宋体" w:eastAsia="宋体"/>
          <w:sz w:val="24"/>
        </w:rPr>
        <w:t>本项目不涉及。</w:t>
      </w:r>
      <w:bookmarkStart w:id="174" w:name="_Toc342070896"/>
      <w:bookmarkEnd w:id="174"/>
      <w:bookmarkStart w:id="175" w:name="_Toc342070903"/>
      <w:bookmarkEnd w:id="175"/>
      <w:bookmarkStart w:id="176" w:name="_Toc342070899"/>
      <w:bookmarkEnd w:id="176"/>
      <w:bookmarkStart w:id="177" w:name="_Toc342070894"/>
      <w:bookmarkEnd w:id="177"/>
      <w:bookmarkStart w:id="178" w:name="_Toc342070891"/>
      <w:bookmarkEnd w:id="178"/>
      <w:bookmarkStart w:id="179" w:name="_Toc342070889"/>
      <w:bookmarkEnd w:id="179"/>
      <w:bookmarkStart w:id="180" w:name="_Toc342070888"/>
      <w:bookmarkEnd w:id="180"/>
      <w:bookmarkStart w:id="181" w:name="_Toc342070901"/>
      <w:bookmarkEnd w:id="181"/>
      <w:bookmarkStart w:id="182" w:name="_Toc342070904"/>
      <w:bookmarkEnd w:id="182"/>
      <w:bookmarkStart w:id="183" w:name="_Toc342070905"/>
      <w:bookmarkEnd w:id="183"/>
      <w:bookmarkStart w:id="184" w:name="_Toc342070898"/>
      <w:bookmarkEnd w:id="184"/>
      <w:bookmarkStart w:id="185" w:name="_Toc342070883"/>
      <w:bookmarkEnd w:id="185"/>
      <w:bookmarkStart w:id="186" w:name="_Toc342070907"/>
      <w:bookmarkEnd w:id="186"/>
      <w:bookmarkStart w:id="187" w:name="_Toc342070897"/>
      <w:bookmarkEnd w:id="187"/>
      <w:bookmarkStart w:id="188" w:name="_Toc342070900"/>
      <w:bookmarkEnd w:id="188"/>
      <w:bookmarkStart w:id="189" w:name="_Toc342070886"/>
      <w:bookmarkEnd w:id="189"/>
      <w:bookmarkStart w:id="190" w:name="_Toc342070885"/>
      <w:bookmarkEnd w:id="190"/>
      <w:bookmarkStart w:id="191" w:name="_Toc342070890"/>
      <w:bookmarkEnd w:id="191"/>
      <w:bookmarkStart w:id="192" w:name="_Toc342070906"/>
      <w:bookmarkEnd w:id="192"/>
      <w:bookmarkStart w:id="193" w:name="_Toc342070895"/>
      <w:bookmarkEnd w:id="193"/>
      <w:bookmarkStart w:id="194" w:name="_Toc342070884"/>
      <w:bookmarkEnd w:id="194"/>
      <w:bookmarkStart w:id="195" w:name="_Toc342070893"/>
      <w:bookmarkEnd w:id="195"/>
      <w:bookmarkStart w:id="196" w:name="_Toc342070892"/>
      <w:bookmarkEnd w:id="196"/>
      <w:bookmarkStart w:id="197" w:name="_Toc342070902"/>
      <w:bookmarkEnd w:id="197"/>
      <w:bookmarkStart w:id="198" w:name="_Toc342070887"/>
      <w:bookmarkEnd w:id="198"/>
      <w:bookmarkStart w:id="199" w:name="_Toc493702798"/>
      <w:bookmarkStart w:id="200" w:name="_Toc85443538"/>
      <w:bookmarkStart w:id="201" w:name="_Toc332971302"/>
      <w:bookmarkStart w:id="202" w:name="_Toc21915"/>
    </w:p>
    <w:p w14:paraId="38EAE6B7">
      <w:pPr>
        <w:pStyle w:val="19"/>
        <w:spacing w:line="288" w:lineRule="auto"/>
        <w:ind w:firstLine="0" w:firstLineChars="0"/>
        <w:rPr>
          <w:rFonts w:hint="eastAsia" w:ascii="宋体" w:hAnsi="宋体" w:eastAsia="宋体"/>
          <w:sz w:val="24"/>
        </w:rPr>
      </w:pPr>
      <w:r>
        <w:rPr>
          <w:rFonts w:hint="eastAsia" w:ascii="宋体" w:hAnsi="宋体" w:eastAsia="宋体"/>
          <w:sz w:val="24"/>
        </w:rPr>
        <w:t>3.3.9性能和其他需求</w:t>
      </w:r>
      <w:bookmarkEnd w:id="199"/>
      <w:bookmarkEnd w:id="200"/>
      <w:bookmarkEnd w:id="201"/>
      <w:bookmarkEnd w:id="202"/>
    </w:p>
    <w:p w14:paraId="26A1C1E4">
      <w:pPr>
        <w:pStyle w:val="19"/>
        <w:spacing w:line="288" w:lineRule="auto"/>
        <w:ind w:firstLine="480"/>
        <w:rPr>
          <w:rFonts w:hint="eastAsia" w:ascii="宋体" w:hAnsi="宋体" w:eastAsia="宋体"/>
          <w:sz w:val="24"/>
        </w:rPr>
      </w:pPr>
      <w:r>
        <w:rPr>
          <w:rFonts w:hint="eastAsia" w:ascii="宋体" w:hAnsi="宋体" w:eastAsia="宋体"/>
          <w:sz w:val="24"/>
        </w:rPr>
        <w:t>1.网络系统、安防系统可靠性要求</w:t>
      </w:r>
    </w:p>
    <w:p w14:paraId="2697FF47">
      <w:pPr>
        <w:pStyle w:val="19"/>
        <w:spacing w:line="288" w:lineRule="auto"/>
        <w:ind w:firstLine="480"/>
        <w:rPr>
          <w:rFonts w:hint="eastAsia" w:ascii="宋体" w:hAnsi="宋体" w:eastAsia="宋体"/>
          <w:sz w:val="24"/>
        </w:rPr>
      </w:pPr>
      <w:r>
        <w:rPr>
          <w:rFonts w:hint="eastAsia" w:ascii="宋体" w:hAnsi="宋体" w:eastAsia="宋体"/>
          <w:sz w:val="24"/>
        </w:rPr>
        <w:t>网络系统、安防系统等可靠性方面应能够连续7×24小时不间断工作，平均无故障时间超过6000小时/年，出现故障应能及时报警，软件系统应具备自动或手动恢复措施，自动恢复时间少于30分钟，手工恢复时间少于2小时，以便在发生错误时能够快速地恢复正常运行。</w:t>
      </w:r>
    </w:p>
    <w:p w14:paraId="30290A28">
      <w:pPr>
        <w:pStyle w:val="19"/>
        <w:spacing w:line="288" w:lineRule="auto"/>
        <w:ind w:firstLine="480"/>
        <w:rPr>
          <w:rFonts w:hint="eastAsia" w:ascii="宋体" w:hAnsi="宋体" w:eastAsia="宋体"/>
          <w:sz w:val="24"/>
        </w:rPr>
      </w:pPr>
      <w:r>
        <w:rPr>
          <w:rFonts w:hint="eastAsia" w:ascii="宋体" w:hAnsi="宋体" w:eastAsia="宋体"/>
          <w:sz w:val="24"/>
        </w:rPr>
        <w:t>2.智慧法庭使用要求</w:t>
      </w:r>
    </w:p>
    <w:p w14:paraId="31775F53">
      <w:pPr>
        <w:pStyle w:val="19"/>
        <w:spacing w:line="288" w:lineRule="auto"/>
        <w:ind w:firstLine="480"/>
        <w:rPr>
          <w:rFonts w:hint="eastAsia" w:ascii="宋体" w:hAnsi="宋体" w:eastAsia="宋体"/>
          <w:sz w:val="24"/>
        </w:rPr>
      </w:pPr>
      <w:r>
        <w:rPr>
          <w:rFonts w:hint="eastAsia" w:ascii="宋体" w:hAnsi="宋体" w:eastAsia="宋体"/>
          <w:sz w:val="24"/>
        </w:rPr>
        <w:t>对于智慧法庭设备的开启，要先打开机柜的总开关，等电视上显示完整的监控画面之后再开启书记员电脑。因为现在的书记员电脑相当于一个总控，而这个总控是通过网络实现的，而网络的开启又是机柜总开关控制的。在机柜总开关开启后，相当于审判庭的各个设备之间的网络开始全面链接完成上线，这时候再开启书记员电脑就能够快速地开启各个设备。</w:t>
      </w:r>
    </w:p>
    <w:p w14:paraId="4B90AEDF">
      <w:pPr>
        <w:pStyle w:val="19"/>
        <w:spacing w:line="288" w:lineRule="auto"/>
        <w:ind w:firstLine="480"/>
        <w:rPr>
          <w:rFonts w:hint="eastAsia" w:ascii="宋体" w:hAnsi="宋体" w:eastAsia="宋体"/>
          <w:sz w:val="24"/>
        </w:rPr>
      </w:pPr>
      <w:r>
        <w:rPr>
          <w:rFonts w:hint="eastAsia" w:ascii="宋体" w:hAnsi="宋体" w:eastAsia="宋体"/>
          <w:sz w:val="24"/>
        </w:rPr>
        <w:t>对于智慧法庭设备的关停，只需要在书记员电脑上轻轻一点一键关机就可以实现全部设备的关机操作。等书记员电脑也完全关闭之后再关闭机柜的总开关。不建议直接关闭总开关，当其中某个设备出现问题，那么基本上整个庭审就无法正常进行了</w:t>
      </w:r>
    </w:p>
    <w:p w14:paraId="089171F0">
      <w:pPr>
        <w:pStyle w:val="19"/>
        <w:spacing w:line="288" w:lineRule="auto"/>
        <w:ind w:firstLine="480"/>
        <w:rPr>
          <w:rFonts w:hint="eastAsia" w:ascii="宋体" w:hAnsi="宋体" w:eastAsia="宋体"/>
          <w:sz w:val="24"/>
        </w:rPr>
      </w:pPr>
      <w:r>
        <w:rPr>
          <w:rFonts w:hint="eastAsia" w:ascii="宋体" w:hAnsi="宋体" w:eastAsia="宋体"/>
          <w:sz w:val="24"/>
        </w:rPr>
        <w:t>3.LED大屏要求</w:t>
      </w:r>
    </w:p>
    <w:p w14:paraId="4ECCBE42">
      <w:pPr>
        <w:pStyle w:val="19"/>
        <w:spacing w:line="288" w:lineRule="auto"/>
        <w:ind w:firstLine="480"/>
        <w:rPr>
          <w:rFonts w:hint="eastAsia" w:ascii="宋体" w:hAnsi="宋体" w:eastAsia="宋体"/>
          <w:sz w:val="24"/>
        </w:rPr>
      </w:pPr>
      <w:r>
        <w:rPr>
          <w:rFonts w:hint="eastAsia" w:ascii="宋体" w:hAnsi="宋体" w:eastAsia="宋体"/>
          <w:sz w:val="24"/>
        </w:rPr>
        <w:t>大屏画面均匀一致，无黑线，</w:t>
      </w:r>
      <w:bookmarkStart w:id="203" w:name="_Toc23787"/>
      <w:bookmarkStart w:id="204" w:name="_Toc8818"/>
      <w:bookmarkStart w:id="205" w:name="_Toc5847"/>
      <w:r>
        <w:rPr>
          <w:rFonts w:hint="eastAsia" w:ascii="宋体" w:hAnsi="宋体" w:eastAsia="宋体"/>
          <w:sz w:val="24"/>
        </w:rPr>
        <w:t>色彩还原自然化</w:t>
      </w:r>
      <w:bookmarkEnd w:id="203"/>
      <w:bookmarkEnd w:id="204"/>
      <w:bookmarkEnd w:id="205"/>
      <w:r>
        <w:rPr>
          <w:rFonts w:hint="eastAsia" w:ascii="宋体" w:hAnsi="宋体" w:eastAsia="宋体"/>
          <w:sz w:val="24"/>
        </w:rPr>
        <w:t>，完整地保留色彩的真实性，避免背光、投影等技术显示中，因材质且及光运行路径导致色彩损失和偏离。更小的像素间距LED屏幕，具有高密度显示特性，适合近距离观看，不产生颗粒感。</w:t>
      </w:r>
    </w:p>
    <w:p w14:paraId="1FABBB0D">
      <w:pPr>
        <w:pStyle w:val="19"/>
        <w:spacing w:line="288" w:lineRule="auto"/>
        <w:ind w:firstLine="480"/>
        <w:rPr>
          <w:rFonts w:hint="eastAsia" w:ascii="宋体" w:hAnsi="宋体" w:eastAsia="宋体"/>
          <w:sz w:val="24"/>
        </w:rPr>
      </w:pPr>
      <w:r>
        <w:rPr>
          <w:rFonts w:hint="eastAsia" w:ascii="宋体" w:hAnsi="宋体" w:eastAsia="宋体"/>
          <w:sz w:val="24"/>
        </w:rPr>
        <w:t>高效节能，有智能的控制解决方案，配合温控、光控技术，可根据周围环境变化，自动调节亮度，大幅提高整体节能效果，实现高能效的电能利用，采用独特的高效发光芯片和节能驱动IC结合的双效节能技术从根本上解决产品的峰值用电能耗，实时动态的用电技术，大大节约LED显示屏的用电能耗。同时也要求维护方便。</w:t>
      </w:r>
    </w:p>
    <w:p w14:paraId="1A33A9BB">
      <w:pPr>
        <w:pStyle w:val="19"/>
        <w:spacing w:line="288" w:lineRule="auto"/>
        <w:ind w:firstLine="480"/>
        <w:rPr>
          <w:rFonts w:hint="eastAsia" w:ascii="宋体" w:hAnsi="宋体" w:eastAsia="宋体"/>
          <w:sz w:val="24"/>
        </w:rPr>
      </w:pPr>
      <w:r>
        <w:rPr>
          <w:rFonts w:hint="eastAsia" w:ascii="宋体" w:hAnsi="宋体" w:eastAsia="宋体"/>
          <w:sz w:val="24"/>
        </w:rPr>
        <w:t>4.国产化要求</w:t>
      </w:r>
    </w:p>
    <w:p w14:paraId="4B0333C3">
      <w:pPr>
        <w:pStyle w:val="19"/>
        <w:spacing w:line="288" w:lineRule="auto"/>
        <w:ind w:firstLine="480"/>
        <w:rPr>
          <w:rFonts w:hint="eastAsia" w:ascii="宋体" w:hAnsi="宋体" w:eastAsia="宋体"/>
          <w:sz w:val="24"/>
        </w:rPr>
      </w:pPr>
      <w:r>
        <w:rPr>
          <w:rFonts w:hint="eastAsia" w:ascii="宋体" w:hAnsi="宋体" w:eastAsia="宋体"/>
          <w:sz w:val="24"/>
        </w:rPr>
        <w:t>棱镜门事件后，我国发布了一系列自主创新的要求，2016年7月：《国家信息化发展战略纲要》提到打造国际先进、安全可控的核心技术体系；2018年4月：习近平总书记在湖北考察时强调具有自主知识产权的技术是企业的“命门”按中共中央办公厅国务院办公厅的相关要求，在2020年-2022年三年中，党政机关单位要办公信息设备全部替换为信创产品（大部分区域以20年30%，21年50%，22年20%进度）。</w:t>
      </w:r>
    </w:p>
    <w:p w14:paraId="54E5AEF5">
      <w:pPr>
        <w:pStyle w:val="19"/>
        <w:spacing w:line="288" w:lineRule="auto"/>
        <w:ind w:firstLine="480"/>
        <w:rPr>
          <w:rFonts w:hint="eastAsia" w:ascii="宋体" w:hAnsi="宋体" w:eastAsia="宋体"/>
          <w:sz w:val="24"/>
        </w:rPr>
      </w:pPr>
      <w:r>
        <w:rPr>
          <w:rFonts w:hint="eastAsia" w:ascii="宋体" w:hAnsi="宋体" w:eastAsia="宋体"/>
          <w:sz w:val="24"/>
        </w:rPr>
        <w:t>基于以上背景要求，本次建设方案除利旧产品外，新采购产品尽可能地考虑国产品牌，以保证设备本身的安全性。</w:t>
      </w:r>
      <w:bookmarkStart w:id="206" w:name="_Toc332971303"/>
      <w:bookmarkStart w:id="207" w:name="_Toc493702799"/>
      <w:bookmarkStart w:id="208" w:name="_Toc1991"/>
      <w:bookmarkStart w:id="209" w:name="_Toc85443539"/>
    </w:p>
    <w:p w14:paraId="0A75D528">
      <w:pPr>
        <w:pStyle w:val="19"/>
        <w:spacing w:line="288" w:lineRule="auto"/>
        <w:ind w:firstLine="0" w:firstLineChars="0"/>
        <w:rPr>
          <w:rFonts w:hint="eastAsia" w:ascii="宋体" w:hAnsi="宋体" w:eastAsia="宋体"/>
          <w:sz w:val="24"/>
        </w:rPr>
      </w:pPr>
      <w:r>
        <w:rPr>
          <w:rFonts w:hint="eastAsia" w:ascii="宋体" w:hAnsi="宋体" w:eastAsia="宋体"/>
          <w:sz w:val="24"/>
        </w:rPr>
        <w:t>3.4网络安全建设需求</w:t>
      </w:r>
      <w:bookmarkEnd w:id="206"/>
      <w:bookmarkEnd w:id="207"/>
      <w:r>
        <w:rPr>
          <w:rFonts w:hint="eastAsia" w:ascii="宋体" w:hAnsi="宋体" w:eastAsia="宋体"/>
          <w:sz w:val="24"/>
        </w:rPr>
        <w:t>分析</w:t>
      </w:r>
      <w:bookmarkEnd w:id="208"/>
      <w:bookmarkEnd w:id="209"/>
    </w:p>
    <w:p w14:paraId="657F2570">
      <w:pPr>
        <w:pStyle w:val="19"/>
        <w:spacing w:line="288" w:lineRule="auto"/>
        <w:ind w:firstLine="480"/>
        <w:rPr>
          <w:rFonts w:hint="eastAsia" w:ascii="宋体" w:hAnsi="宋体" w:eastAsia="宋体"/>
          <w:sz w:val="24"/>
        </w:rPr>
      </w:pPr>
      <w:r>
        <w:rPr>
          <w:rFonts w:hint="eastAsia" w:ascii="宋体" w:hAnsi="宋体" w:eastAsia="宋体"/>
          <w:sz w:val="24"/>
        </w:rPr>
        <w:t>本次项目具体的网络安全建设将纳入琼海市人民法院整体年度等保系统测评及服务中进行统一考虑和建设，本次根据项目基础支撑系统、综合安防系统、司法业务配套系统等建设内容提出相关的网络安全建设需求，包括网络安全基础设施建设、密码应用建设、网络安全等保/密评/分保工作、网络安全服务、网络安全运营等方面。</w:t>
      </w:r>
      <w:bookmarkStart w:id="210" w:name="_Toc18509"/>
      <w:bookmarkStart w:id="211" w:name="_Toc70001948"/>
      <w:bookmarkStart w:id="212" w:name="_Toc12962043"/>
      <w:bookmarkStart w:id="213" w:name="_Toc85443540"/>
      <w:bookmarkStart w:id="214" w:name="_Toc66991994"/>
    </w:p>
    <w:p w14:paraId="59CC2595">
      <w:pPr>
        <w:pStyle w:val="19"/>
        <w:spacing w:line="288" w:lineRule="auto"/>
        <w:ind w:firstLine="0" w:firstLineChars="0"/>
        <w:rPr>
          <w:rFonts w:hint="eastAsia" w:ascii="宋体" w:hAnsi="宋体" w:eastAsia="宋体"/>
          <w:sz w:val="24"/>
        </w:rPr>
      </w:pPr>
      <w:r>
        <w:rPr>
          <w:rFonts w:hint="eastAsia" w:ascii="宋体" w:hAnsi="宋体" w:eastAsia="宋体"/>
          <w:sz w:val="24"/>
        </w:rPr>
        <w:t>3.4.1网络安全基础设施建设需求</w:t>
      </w:r>
      <w:bookmarkEnd w:id="210"/>
      <w:bookmarkEnd w:id="211"/>
      <w:bookmarkEnd w:id="212"/>
      <w:bookmarkEnd w:id="213"/>
      <w:bookmarkEnd w:id="214"/>
    </w:p>
    <w:p w14:paraId="07CAB48D">
      <w:pPr>
        <w:pStyle w:val="19"/>
        <w:spacing w:line="288" w:lineRule="auto"/>
        <w:ind w:firstLine="480"/>
        <w:rPr>
          <w:rFonts w:hint="eastAsia" w:ascii="宋体" w:hAnsi="宋体" w:eastAsia="宋体"/>
          <w:sz w:val="24"/>
        </w:rPr>
      </w:pPr>
      <w:r>
        <w:rPr>
          <w:rFonts w:hint="eastAsia" w:ascii="宋体" w:hAnsi="宋体" w:eastAsia="宋体"/>
          <w:sz w:val="24"/>
        </w:rPr>
        <w:t>依据《信息安全技术网络安全等级保护基本要求》（GB/T22239-2019）第三级“安全通用要求”，根据本项目建设内容，从物理环境安全、通信网络安全、区域边界安全、计算环境安全、安全管理中心5个技术层面进行需求分析；从安全管理制度、安全管理机构、安全管理人员、安全建设管理、安全运维管理5个管理层面进行需求分析，并在后续的网络安全等保测评中做为依据进行整改完善。</w:t>
      </w:r>
    </w:p>
    <w:p w14:paraId="067D3C86">
      <w:pPr>
        <w:rPr>
          <w:rFonts w:hint="eastAsia" w:ascii="宋体" w:hAnsi="宋体" w:eastAsia="宋体" w:cs="宋体"/>
          <w:sz w:val="24"/>
        </w:rPr>
      </w:pPr>
      <w:r>
        <w:rPr>
          <w:rFonts w:hint="eastAsia" w:ascii="宋体" w:hAnsi="宋体" w:eastAsia="宋体" w:cs="宋体"/>
          <w:sz w:val="24"/>
        </w:rPr>
        <w:t>3.4.1.1安全技术体系</w:t>
      </w:r>
    </w:p>
    <w:p w14:paraId="0D87961B">
      <w:pPr>
        <w:rPr>
          <w:rFonts w:hint="eastAsia" w:ascii="宋体" w:hAnsi="宋体" w:eastAsia="宋体" w:cs="宋体"/>
          <w:sz w:val="24"/>
        </w:rPr>
      </w:pPr>
      <w:r>
        <w:rPr>
          <w:rFonts w:hint="eastAsia" w:ascii="宋体" w:hAnsi="宋体" w:eastAsia="宋体" w:cs="宋体"/>
          <w:sz w:val="24"/>
        </w:rPr>
        <w:t>3.4.1.1.1物理环境安全需求</w:t>
      </w:r>
    </w:p>
    <w:p w14:paraId="259650D8">
      <w:pPr>
        <w:pStyle w:val="19"/>
        <w:spacing w:line="288" w:lineRule="auto"/>
        <w:ind w:firstLine="480"/>
        <w:rPr>
          <w:rFonts w:hint="eastAsia" w:ascii="宋体" w:hAnsi="宋体" w:eastAsia="宋体"/>
          <w:sz w:val="24"/>
        </w:rPr>
      </w:pPr>
      <w:r>
        <w:rPr>
          <w:rFonts w:hint="eastAsia" w:ascii="宋体" w:hAnsi="宋体" w:eastAsia="宋体"/>
          <w:sz w:val="24"/>
        </w:rPr>
        <w:t>本项目2号楼三楼新建的机房目前只有基础建筑，需在建设机房时重点考虑物理环境安全，本项目物理环境安全具体需求如下：</w:t>
      </w:r>
    </w:p>
    <w:p w14:paraId="12A82971">
      <w:pPr>
        <w:pStyle w:val="13"/>
        <w:spacing w:line="288" w:lineRule="auto"/>
        <w:rPr>
          <w:rFonts w:hint="eastAsia" w:ascii="宋体" w:hAnsi="宋体" w:eastAsia="宋体" w:cs="宋体"/>
          <w:sz w:val="24"/>
        </w:rPr>
      </w:pPr>
      <w:r>
        <w:rPr>
          <w:rFonts w:hint="eastAsia" w:ascii="宋体" w:hAnsi="宋体" w:eastAsia="宋体" w:cs="宋体"/>
          <w:sz w:val="24"/>
        </w:rPr>
        <w:t xml:space="preserve"> 物理环境安全需求分析表</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2339"/>
        <w:gridCol w:w="2358"/>
        <w:gridCol w:w="2909"/>
      </w:tblGrid>
      <w:tr w14:paraId="685F3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blHeader/>
        </w:trPr>
        <w:tc>
          <w:tcPr>
            <w:tcW w:w="537" w:type="pct"/>
            <w:shd w:val="clear" w:color="auto" w:fill="auto"/>
            <w:vAlign w:val="center"/>
          </w:tcPr>
          <w:p w14:paraId="584A85A7">
            <w:pPr>
              <w:pStyle w:val="21"/>
              <w:spacing w:line="288" w:lineRule="auto"/>
              <w:jc w:val="center"/>
              <w:rPr>
                <w:rFonts w:hint="eastAsia" w:ascii="宋体" w:hAnsi="宋体" w:cs="宋体"/>
                <w:b/>
                <w:szCs w:val="24"/>
              </w:rPr>
            </w:pPr>
            <w:r>
              <w:rPr>
                <w:rFonts w:hint="eastAsia" w:ascii="宋体" w:hAnsi="宋体" w:cs="宋体"/>
                <w:b/>
                <w:szCs w:val="24"/>
              </w:rPr>
              <w:t>控制点</w:t>
            </w:r>
          </w:p>
        </w:tc>
        <w:tc>
          <w:tcPr>
            <w:tcW w:w="1372" w:type="pct"/>
            <w:shd w:val="clear" w:color="auto" w:fill="auto"/>
            <w:vAlign w:val="center"/>
          </w:tcPr>
          <w:p w14:paraId="3DF63AF3">
            <w:pPr>
              <w:pStyle w:val="21"/>
              <w:spacing w:line="288" w:lineRule="auto"/>
              <w:jc w:val="center"/>
              <w:rPr>
                <w:rFonts w:hint="eastAsia" w:ascii="宋体" w:hAnsi="宋体" w:cs="宋体"/>
                <w:b/>
                <w:szCs w:val="24"/>
              </w:rPr>
            </w:pPr>
            <w:r>
              <w:rPr>
                <w:rFonts w:hint="eastAsia" w:ascii="宋体" w:hAnsi="宋体" w:cs="宋体"/>
                <w:b/>
                <w:szCs w:val="24"/>
              </w:rPr>
              <w:t>通用要求</w:t>
            </w:r>
          </w:p>
        </w:tc>
        <w:tc>
          <w:tcPr>
            <w:tcW w:w="1383" w:type="pct"/>
            <w:shd w:val="clear" w:color="auto" w:fill="auto"/>
            <w:vAlign w:val="center"/>
          </w:tcPr>
          <w:p w14:paraId="2A40499B">
            <w:pPr>
              <w:pStyle w:val="21"/>
              <w:spacing w:line="288" w:lineRule="auto"/>
              <w:jc w:val="center"/>
              <w:rPr>
                <w:rFonts w:hint="eastAsia" w:ascii="宋体" w:hAnsi="宋体" w:cs="宋体"/>
                <w:b/>
                <w:szCs w:val="24"/>
              </w:rPr>
            </w:pPr>
            <w:r>
              <w:rPr>
                <w:rFonts w:hint="eastAsia" w:ascii="宋体" w:hAnsi="宋体" w:cs="宋体"/>
                <w:b/>
                <w:szCs w:val="24"/>
              </w:rPr>
              <w:t>差距与不足</w:t>
            </w:r>
          </w:p>
        </w:tc>
        <w:tc>
          <w:tcPr>
            <w:tcW w:w="1706" w:type="pct"/>
            <w:shd w:val="clear" w:color="auto" w:fill="auto"/>
            <w:vAlign w:val="center"/>
          </w:tcPr>
          <w:p w14:paraId="7F54842A">
            <w:pPr>
              <w:pStyle w:val="21"/>
              <w:spacing w:line="288" w:lineRule="auto"/>
              <w:jc w:val="center"/>
              <w:rPr>
                <w:rFonts w:hint="eastAsia" w:ascii="宋体" w:hAnsi="宋体" w:cs="宋体"/>
                <w:b/>
                <w:szCs w:val="24"/>
              </w:rPr>
            </w:pPr>
            <w:r>
              <w:rPr>
                <w:rFonts w:hint="eastAsia" w:ascii="宋体" w:hAnsi="宋体" w:cs="宋体"/>
                <w:b/>
                <w:szCs w:val="24"/>
              </w:rPr>
              <w:t>需求分析</w:t>
            </w:r>
          </w:p>
        </w:tc>
      </w:tr>
      <w:tr w14:paraId="1ED26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537" w:type="pct"/>
            <w:shd w:val="clear" w:color="auto" w:fill="auto"/>
            <w:vAlign w:val="center"/>
          </w:tcPr>
          <w:p w14:paraId="28A8087A">
            <w:pPr>
              <w:pStyle w:val="22"/>
              <w:spacing w:line="288" w:lineRule="auto"/>
              <w:rPr>
                <w:rFonts w:hint="eastAsia" w:ascii="宋体" w:hAnsi="宋体" w:eastAsia="宋体" w:cs="宋体"/>
                <w:sz w:val="24"/>
                <w:szCs w:val="24"/>
              </w:rPr>
            </w:pPr>
            <w:r>
              <w:rPr>
                <w:rFonts w:hint="eastAsia" w:ascii="宋体" w:hAnsi="宋体" w:eastAsia="宋体" w:cs="宋体"/>
                <w:sz w:val="24"/>
                <w:szCs w:val="24"/>
              </w:rPr>
              <w:t>防雷击</w:t>
            </w:r>
          </w:p>
        </w:tc>
        <w:tc>
          <w:tcPr>
            <w:tcW w:w="1372" w:type="pct"/>
            <w:shd w:val="clear" w:color="auto" w:fill="auto"/>
            <w:vAlign w:val="center"/>
          </w:tcPr>
          <w:p w14:paraId="5159F04F">
            <w:pPr>
              <w:pStyle w:val="22"/>
              <w:spacing w:line="288" w:lineRule="auto"/>
              <w:rPr>
                <w:rFonts w:hint="eastAsia" w:ascii="宋体" w:hAnsi="宋体" w:eastAsia="宋体" w:cs="宋体"/>
                <w:sz w:val="24"/>
                <w:szCs w:val="24"/>
              </w:rPr>
            </w:pPr>
            <w:r>
              <w:rPr>
                <w:rFonts w:hint="eastAsia" w:ascii="宋体" w:hAnsi="宋体" w:eastAsia="宋体" w:cs="宋体"/>
                <w:spacing w:val="-3"/>
                <w:sz w:val="24"/>
                <w:szCs w:val="24"/>
              </w:rPr>
              <w:t>b）应采取措施防止感应雷，</w:t>
            </w:r>
            <w:r>
              <w:rPr>
                <w:rFonts w:hint="eastAsia" w:ascii="宋体" w:hAnsi="宋体" w:eastAsia="宋体" w:cs="宋体"/>
                <w:spacing w:val="10"/>
                <w:sz w:val="24"/>
                <w:szCs w:val="24"/>
              </w:rPr>
              <w:t>例如设置防雷保安器或过</w:t>
            </w:r>
            <w:r>
              <w:rPr>
                <w:rFonts w:hint="eastAsia" w:ascii="宋体" w:hAnsi="宋体" w:eastAsia="宋体" w:cs="宋体"/>
                <w:spacing w:val="-4"/>
                <w:sz w:val="24"/>
                <w:szCs w:val="24"/>
              </w:rPr>
              <w:t>压保护装置等。</w:t>
            </w:r>
          </w:p>
        </w:tc>
        <w:tc>
          <w:tcPr>
            <w:tcW w:w="1383" w:type="pct"/>
            <w:shd w:val="clear" w:color="auto" w:fill="auto"/>
            <w:vAlign w:val="center"/>
          </w:tcPr>
          <w:p w14:paraId="0264E530">
            <w:pPr>
              <w:pStyle w:val="22"/>
              <w:spacing w:line="288" w:lineRule="auto"/>
              <w:rPr>
                <w:rFonts w:hint="eastAsia" w:ascii="宋体" w:hAnsi="宋体" w:eastAsia="宋体" w:cs="宋体"/>
                <w:spacing w:val="-7"/>
                <w:sz w:val="24"/>
                <w:szCs w:val="24"/>
              </w:rPr>
            </w:pPr>
            <w:r>
              <w:rPr>
                <w:rFonts w:hint="eastAsia" w:ascii="宋体" w:hAnsi="宋体" w:eastAsia="宋体" w:cs="宋体"/>
                <w:spacing w:val="-7"/>
                <w:sz w:val="24"/>
                <w:szCs w:val="24"/>
              </w:rPr>
              <w:t>新建机房内暂未设置防感应雷措施。</w:t>
            </w:r>
          </w:p>
        </w:tc>
        <w:tc>
          <w:tcPr>
            <w:tcW w:w="1706" w:type="pct"/>
            <w:shd w:val="clear" w:color="auto" w:fill="auto"/>
            <w:vAlign w:val="center"/>
          </w:tcPr>
          <w:p w14:paraId="73B917C9">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本项目考虑：需在新建机房内按技术标准部署防雷设施</w:t>
            </w:r>
          </w:p>
        </w:tc>
      </w:tr>
      <w:tr w14:paraId="2D2F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537" w:type="pct"/>
            <w:shd w:val="clear" w:color="auto" w:fill="auto"/>
            <w:vAlign w:val="center"/>
          </w:tcPr>
          <w:p w14:paraId="07CAF1E0">
            <w:pPr>
              <w:pStyle w:val="22"/>
              <w:spacing w:line="288" w:lineRule="auto"/>
              <w:rPr>
                <w:rFonts w:hint="eastAsia" w:ascii="宋体" w:hAnsi="宋体" w:eastAsia="宋体" w:cs="宋体"/>
                <w:sz w:val="24"/>
                <w:szCs w:val="24"/>
              </w:rPr>
            </w:pPr>
            <w:r>
              <w:rPr>
                <w:rFonts w:hint="eastAsia" w:ascii="宋体" w:hAnsi="宋体" w:eastAsia="宋体" w:cs="宋体"/>
                <w:sz w:val="24"/>
                <w:szCs w:val="24"/>
              </w:rPr>
              <w:t>防火</w:t>
            </w:r>
          </w:p>
        </w:tc>
        <w:tc>
          <w:tcPr>
            <w:tcW w:w="1372" w:type="pct"/>
            <w:shd w:val="clear" w:color="auto" w:fill="auto"/>
            <w:vAlign w:val="center"/>
          </w:tcPr>
          <w:p w14:paraId="0FADC68A">
            <w:pPr>
              <w:pStyle w:val="22"/>
              <w:spacing w:line="288" w:lineRule="auto"/>
              <w:rPr>
                <w:rFonts w:hint="eastAsia" w:ascii="宋体" w:hAnsi="宋体" w:eastAsia="宋体" w:cs="宋体"/>
                <w:sz w:val="24"/>
                <w:szCs w:val="24"/>
              </w:rPr>
            </w:pPr>
            <w:r>
              <w:rPr>
                <w:rFonts w:hint="eastAsia" w:ascii="宋体" w:hAnsi="宋体" w:eastAsia="宋体" w:cs="宋体"/>
                <w:spacing w:val="7"/>
                <w:w w:val="104"/>
                <w:sz w:val="24"/>
                <w:szCs w:val="24"/>
              </w:rPr>
              <w:t>c）应对机房划分区域进行</w:t>
            </w:r>
            <w:r>
              <w:rPr>
                <w:rFonts w:hint="eastAsia" w:ascii="宋体" w:hAnsi="宋体" w:eastAsia="宋体" w:cs="宋体"/>
                <w:spacing w:val="-9"/>
                <w:sz w:val="24"/>
                <w:szCs w:val="24"/>
              </w:rPr>
              <w:t>管理，区域和区域之间设置</w:t>
            </w:r>
            <w:r>
              <w:rPr>
                <w:rFonts w:hint="eastAsia" w:ascii="宋体" w:hAnsi="宋体" w:eastAsia="宋体" w:cs="宋体"/>
                <w:spacing w:val="-4"/>
                <w:sz w:val="24"/>
                <w:szCs w:val="24"/>
              </w:rPr>
              <w:t>隔离防火措施。</w:t>
            </w:r>
          </w:p>
        </w:tc>
        <w:tc>
          <w:tcPr>
            <w:tcW w:w="1383" w:type="pct"/>
            <w:shd w:val="clear" w:color="auto" w:fill="auto"/>
            <w:vAlign w:val="center"/>
          </w:tcPr>
          <w:p w14:paraId="18A65D66">
            <w:pPr>
              <w:pStyle w:val="22"/>
              <w:spacing w:line="288" w:lineRule="auto"/>
              <w:rPr>
                <w:rFonts w:hint="eastAsia" w:ascii="宋体" w:hAnsi="宋体" w:eastAsia="宋体" w:cs="宋体"/>
                <w:sz w:val="24"/>
                <w:szCs w:val="24"/>
              </w:rPr>
            </w:pPr>
            <w:r>
              <w:rPr>
                <w:rFonts w:hint="eastAsia" w:ascii="宋体" w:hAnsi="宋体" w:eastAsia="宋体" w:cs="宋体"/>
                <w:spacing w:val="-7"/>
                <w:sz w:val="24"/>
                <w:szCs w:val="24"/>
              </w:rPr>
              <w:t>新建机房内暂未设置灭火设施</w:t>
            </w:r>
            <w:r>
              <w:rPr>
                <w:rFonts w:hint="eastAsia" w:ascii="宋体" w:hAnsi="宋体" w:eastAsia="宋体" w:cs="宋体"/>
                <w:spacing w:val="-10"/>
                <w:sz w:val="24"/>
                <w:szCs w:val="24"/>
              </w:rPr>
              <w:t>。</w:t>
            </w:r>
          </w:p>
        </w:tc>
        <w:tc>
          <w:tcPr>
            <w:tcW w:w="1706" w:type="pct"/>
            <w:shd w:val="clear" w:color="auto" w:fill="auto"/>
            <w:vAlign w:val="center"/>
          </w:tcPr>
          <w:p w14:paraId="4159CD8C">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本项目考虑：需在新建机房中配套设置灭火设施</w:t>
            </w:r>
          </w:p>
        </w:tc>
      </w:tr>
      <w:tr w14:paraId="6F6A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537" w:type="pct"/>
            <w:shd w:val="clear" w:color="auto" w:fill="auto"/>
            <w:vAlign w:val="center"/>
          </w:tcPr>
          <w:p w14:paraId="0C0C4EF6">
            <w:pPr>
              <w:pStyle w:val="22"/>
              <w:spacing w:line="288" w:lineRule="auto"/>
              <w:rPr>
                <w:rFonts w:hint="eastAsia" w:ascii="宋体" w:hAnsi="宋体" w:eastAsia="宋体" w:cs="宋体"/>
                <w:sz w:val="24"/>
                <w:szCs w:val="24"/>
              </w:rPr>
            </w:pPr>
            <w:r>
              <w:rPr>
                <w:rFonts w:hint="eastAsia" w:ascii="宋体" w:hAnsi="宋体" w:eastAsia="宋体" w:cs="宋体"/>
                <w:sz w:val="24"/>
                <w:szCs w:val="24"/>
              </w:rPr>
              <w:t>防水和防潮</w:t>
            </w:r>
          </w:p>
        </w:tc>
        <w:tc>
          <w:tcPr>
            <w:tcW w:w="1372" w:type="pct"/>
            <w:shd w:val="clear" w:color="auto" w:fill="auto"/>
            <w:vAlign w:val="center"/>
          </w:tcPr>
          <w:p w14:paraId="4F3DDCF4">
            <w:pPr>
              <w:pStyle w:val="22"/>
              <w:spacing w:line="288" w:lineRule="auto"/>
              <w:rPr>
                <w:rFonts w:hint="eastAsia" w:ascii="宋体" w:hAnsi="宋体" w:eastAsia="宋体" w:cs="宋体"/>
                <w:sz w:val="24"/>
                <w:szCs w:val="24"/>
              </w:rPr>
            </w:pPr>
            <w:r>
              <w:rPr>
                <w:rFonts w:hint="eastAsia" w:ascii="宋体" w:hAnsi="宋体" w:eastAsia="宋体" w:cs="宋体"/>
                <w:sz w:val="24"/>
                <w:szCs w:val="24"/>
              </w:rPr>
              <w:t>c）应安装对水敏感的检测仪表或元件，对机房进行防水检测和报警。</w:t>
            </w:r>
          </w:p>
        </w:tc>
        <w:tc>
          <w:tcPr>
            <w:tcW w:w="1383" w:type="pct"/>
            <w:shd w:val="clear" w:color="auto" w:fill="auto"/>
            <w:vAlign w:val="center"/>
          </w:tcPr>
          <w:p w14:paraId="13524F37">
            <w:pPr>
              <w:pStyle w:val="22"/>
              <w:spacing w:line="288" w:lineRule="auto"/>
              <w:rPr>
                <w:rFonts w:hint="eastAsia" w:ascii="宋体" w:hAnsi="宋体" w:eastAsia="宋体" w:cs="宋体"/>
                <w:sz w:val="24"/>
                <w:szCs w:val="24"/>
              </w:rPr>
            </w:pPr>
            <w:r>
              <w:rPr>
                <w:rFonts w:hint="eastAsia" w:ascii="宋体" w:hAnsi="宋体" w:eastAsia="宋体" w:cs="宋体"/>
                <w:spacing w:val="-7"/>
                <w:sz w:val="24"/>
                <w:szCs w:val="24"/>
              </w:rPr>
              <w:t>新建</w:t>
            </w:r>
            <w:r>
              <w:rPr>
                <w:rFonts w:hint="eastAsia" w:ascii="宋体" w:hAnsi="宋体" w:eastAsia="宋体" w:cs="宋体"/>
                <w:sz w:val="24"/>
                <w:szCs w:val="24"/>
              </w:rPr>
              <w:t>机房大楼内未安装对水敏感的检测装置。</w:t>
            </w:r>
          </w:p>
        </w:tc>
        <w:tc>
          <w:tcPr>
            <w:tcW w:w="1706" w:type="pct"/>
            <w:shd w:val="clear" w:color="auto" w:fill="auto"/>
            <w:vAlign w:val="center"/>
          </w:tcPr>
          <w:p w14:paraId="57B5AAE6">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本项目考虑：新建机房需有防水和防潮措施</w:t>
            </w:r>
          </w:p>
        </w:tc>
      </w:tr>
      <w:tr w14:paraId="5B3D0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537" w:type="pct"/>
            <w:shd w:val="clear" w:color="auto" w:fill="auto"/>
            <w:vAlign w:val="center"/>
          </w:tcPr>
          <w:p w14:paraId="55CFA055">
            <w:pPr>
              <w:pStyle w:val="22"/>
              <w:spacing w:line="288" w:lineRule="auto"/>
              <w:rPr>
                <w:rFonts w:hint="eastAsia" w:ascii="宋体" w:hAnsi="宋体" w:eastAsia="宋体" w:cs="宋体"/>
                <w:sz w:val="24"/>
                <w:szCs w:val="24"/>
              </w:rPr>
            </w:pPr>
            <w:r>
              <w:rPr>
                <w:rFonts w:hint="eastAsia" w:ascii="宋体" w:hAnsi="宋体" w:eastAsia="宋体" w:cs="宋体"/>
                <w:sz w:val="24"/>
                <w:szCs w:val="24"/>
              </w:rPr>
              <w:t>电力供应</w:t>
            </w:r>
          </w:p>
        </w:tc>
        <w:tc>
          <w:tcPr>
            <w:tcW w:w="1372" w:type="pct"/>
            <w:shd w:val="clear" w:color="auto" w:fill="auto"/>
            <w:vAlign w:val="center"/>
          </w:tcPr>
          <w:p w14:paraId="1946CB67">
            <w:pPr>
              <w:pStyle w:val="22"/>
              <w:spacing w:line="288" w:lineRule="auto"/>
              <w:rPr>
                <w:rFonts w:hint="eastAsia" w:ascii="宋体" w:hAnsi="宋体" w:eastAsia="宋体" w:cs="宋体"/>
                <w:sz w:val="24"/>
                <w:szCs w:val="24"/>
              </w:rPr>
            </w:pPr>
            <w:r>
              <w:rPr>
                <w:rFonts w:hint="eastAsia" w:ascii="宋体" w:hAnsi="宋体" w:eastAsia="宋体" w:cs="宋体"/>
                <w:w w:val="104"/>
                <w:sz w:val="24"/>
                <w:szCs w:val="24"/>
              </w:rPr>
              <w:t>c）应设置冗余或并行的电</w:t>
            </w:r>
            <w:r>
              <w:rPr>
                <w:rFonts w:hint="eastAsia" w:ascii="宋体" w:hAnsi="宋体" w:eastAsia="宋体" w:cs="宋体"/>
                <w:spacing w:val="10"/>
                <w:sz w:val="24"/>
                <w:szCs w:val="24"/>
              </w:rPr>
              <w:t>力电缆线路为计算机系统</w:t>
            </w:r>
            <w:r>
              <w:rPr>
                <w:rFonts w:hint="eastAsia" w:ascii="宋体" w:hAnsi="宋体" w:eastAsia="宋体" w:cs="宋体"/>
                <w:spacing w:val="-9"/>
                <w:sz w:val="24"/>
                <w:szCs w:val="24"/>
              </w:rPr>
              <w:t>供电。</w:t>
            </w:r>
          </w:p>
        </w:tc>
        <w:tc>
          <w:tcPr>
            <w:tcW w:w="1383" w:type="pct"/>
            <w:shd w:val="clear" w:color="auto" w:fill="auto"/>
            <w:vAlign w:val="center"/>
          </w:tcPr>
          <w:p w14:paraId="4BF5DED2">
            <w:pPr>
              <w:pStyle w:val="22"/>
              <w:spacing w:line="288" w:lineRule="auto"/>
              <w:rPr>
                <w:rFonts w:hint="eastAsia" w:ascii="宋体" w:hAnsi="宋体" w:eastAsia="宋体" w:cs="宋体"/>
                <w:sz w:val="24"/>
                <w:szCs w:val="24"/>
              </w:rPr>
            </w:pPr>
            <w:r>
              <w:rPr>
                <w:rFonts w:hint="eastAsia" w:ascii="宋体" w:hAnsi="宋体" w:eastAsia="宋体" w:cs="宋体"/>
                <w:spacing w:val="-7"/>
                <w:sz w:val="24"/>
                <w:szCs w:val="24"/>
              </w:rPr>
              <w:t>新建机房暂未配备冗余或并行的电力电缆线路。</w:t>
            </w:r>
          </w:p>
        </w:tc>
        <w:tc>
          <w:tcPr>
            <w:tcW w:w="1706" w:type="pct"/>
            <w:shd w:val="clear" w:color="auto" w:fill="auto"/>
            <w:vAlign w:val="center"/>
          </w:tcPr>
          <w:p w14:paraId="3272052B">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本项目考虑：新建机房配备双路供电通道</w:t>
            </w:r>
          </w:p>
        </w:tc>
      </w:tr>
      <w:tr w14:paraId="0FCEA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537" w:type="pct"/>
            <w:shd w:val="clear" w:color="auto" w:fill="auto"/>
            <w:vAlign w:val="center"/>
          </w:tcPr>
          <w:p w14:paraId="4EFBB4C2">
            <w:pPr>
              <w:pStyle w:val="22"/>
              <w:spacing w:line="288" w:lineRule="auto"/>
              <w:rPr>
                <w:rFonts w:hint="eastAsia" w:ascii="宋体" w:hAnsi="宋体" w:eastAsia="宋体" w:cs="宋体"/>
                <w:sz w:val="24"/>
                <w:szCs w:val="24"/>
              </w:rPr>
            </w:pPr>
            <w:r>
              <w:rPr>
                <w:rFonts w:hint="eastAsia" w:ascii="宋体" w:hAnsi="宋体" w:eastAsia="宋体" w:cs="宋体"/>
                <w:sz w:val="24"/>
                <w:szCs w:val="24"/>
              </w:rPr>
              <w:t>电磁防护</w:t>
            </w:r>
          </w:p>
        </w:tc>
        <w:tc>
          <w:tcPr>
            <w:tcW w:w="1372" w:type="pct"/>
            <w:shd w:val="clear" w:color="auto" w:fill="auto"/>
            <w:vAlign w:val="center"/>
          </w:tcPr>
          <w:p w14:paraId="29525F87">
            <w:pPr>
              <w:pStyle w:val="22"/>
              <w:spacing w:line="288" w:lineRule="auto"/>
              <w:rPr>
                <w:rFonts w:hint="eastAsia" w:ascii="宋体" w:hAnsi="宋体" w:eastAsia="宋体" w:cs="宋体"/>
                <w:sz w:val="24"/>
                <w:szCs w:val="24"/>
              </w:rPr>
            </w:pPr>
            <w:r>
              <w:rPr>
                <w:rFonts w:hint="eastAsia" w:ascii="宋体" w:hAnsi="宋体" w:eastAsia="宋体" w:cs="宋体"/>
                <w:sz w:val="24"/>
                <w:szCs w:val="24"/>
              </w:rPr>
              <w:t>a）电源线和通信线缆应隔离铺设，避免互相干扰；</w:t>
            </w:r>
          </w:p>
        </w:tc>
        <w:tc>
          <w:tcPr>
            <w:tcW w:w="1383" w:type="pct"/>
            <w:shd w:val="clear" w:color="auto" w:fill="auto"/>
            <w:vAlign w:val="center"/>
          </w:tcPr>
          <w:p w14:paraId="58278AD8">
            <w:pPr>
              <w:pStyle w:val="22"/>
              <w:spacing w:line="288" w:lineRule="auto"/>
              <w:rPr>
                <w:rFonts w:hint="eastAsia" w:ascii="宋体" w:hAnsi="宋体" w:eastAsia="宋体" w:cs="宋体"/>
                <w:sz w:val="24"/>
                <w:szCs w:val="24"/>
              </w:rPr>
            </w:pPr>
            <w:r>
              <w:rPr>
                <w:rFonts w:hint="eastAsia" w:ascii="宋体" w:hAnsi="宋体" w:eastAsia="宋体" w:cs="宋体"/>
                <w:spacing w:val="-7"/>
                <w:sz w:val="24"/>
                <w:szCs w:val="24"/>
              </w:rPr>
              <w:t>新建机房已敷设部分电源线。</w:t>
            </w:r>
          </w:p>
        </w:tc>
        <w:tc>
          <w:tcPr>
            <w:tcW w:w="1706" w:type="pct"/>
            <w:shd w:val="clear" w:color="auto" w:fill="auto"/>
            <w:vAlign w:val="center"/>
          </w:tcPr>
          <w:p w14:paraId="00066148">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本项目考虑：机房建设时电源线和通信线缆需隔离铺设</w:t>
            </w:r>
          </w:p>
        </w:tc>
      </w:tr>
    </w:tbl>
    <w:p w14:paraId="07033FBD">
      <w:pPr>
        <w:pStyle w:val="11"/>
        <w:numPr>
          <w:ilvl w:val="4"/>
          <w:numId w:val="0"/>
        </w:numPr>
        <w:spacing w:line="288" w:lineRule="auto"/>
        <w:rPr>
          <w:rFonts w:hint="eastAsia" w:ascii="宋体" w:hAnsi="宋体" w:eastAsia="宋体" w:cs="宋体"/>
          <w:sz w:val="24"/>
        </w:rPr>
      </w:pPr>
      <w:r>
        <w:rPr>
          <w:rFonts w:hint="eastAsia" w:ascii="宋体" w:hAnsi="宋体" w:eastAsia="宋体" w:cs="宋体"/>
          <w:sz w:val="24"/>
        </w:rPr>
        <w:t>3.4.1.1.2通信网络安全需求</w:t>
      </w:r>
    </w:p>
    <w:p w14:paraId="22B0E7A8">
      <w:pPr>
        <w:pStyle w:val="19"/>
        <w:spacing w:line="288" w:lineRule="auto"/>
        <w:ind w:firstLine="480"/>
        <w:rPr>
          <w:rFonts w:hint="eastAsia" w:ascii="宋体" w:hAnsi="宋体" w:eastAsia="宋体"/>
          <w:sz w:val="24"/>
        </w:rPr>
      </w:pPr>
      <w:r>
        <w:rPr>
          <w:rFonts w:hint="eastAsia" w:ascii="宋体" w:hAnsi="宋体" w:eastAsia="宋体"/>
          <w:sz w:val="24"/>
        </w:rPr>
        <w:t>本项目将实现1号楼和2号楼网络系统全覆盖，并能与原大楼网络互通，本次涉及法院专网、互联网的建设，应保障两栋大楼各个网络的通信安全。</w:t>
      </w:r>
    </w:p>
    <w:p w14:paraId="77B3EFF0">
      <w:pPr>
        <w:pStyle w:val="19"/>
        <w:spacing w:line="288" w:lineRule="auto"/>
        <w:ind w:firstLine="0" w:firstLineChars="0"/>
        <w:rPr>
          <w:rFonts w:hint="eastAsia" w:ascii="宋体" w:hAnsi="宋体" w:eastAsia="宋体"/>
          <w:sz w:val="24"/>
        </w:rPr>
      </w:pPr>
      <w:r>
        <w:rPr>
          <w:rFonts w:hint="eastAsia" w:ascii="宋体" w:hAnsi="宋体" w:eastAsia="宋体"/>
          <w:sz w:val="24"/>
        </w:rPr>
        <w:t>3.4.1.1.3区域边界安全需求</w:t>
      </w:r>
    </w:p>
    <w:p w14:paraId="4D08C4FF">
      <w:pPr>
        <w:pStyle w:val="19"/>
        <w:spacing w:line="288" w:lineRule="auto"/>
        <w:ind w:firstLine="480"/>
        <w:rPr>
          <w:rFonts w:hint="eastAsia" w:ascii="宋体" w:hAnsi="宋体" w:eastAsia="宋体"/>
          <w:sz w:val="24"/>
        </w:rPr>
      </w:pPr>
      <w:r>
        <w:rPr>
          <w:rFonts w:hint="eastAsia" w:ascii="宋体" w:hAnsi="宋体" w:eastAsia="宋体"/>
          <w:sz w:val="24"/>
        </w:rPr>
        <w:t>本项目将实现1号楼和2号楼网络系统全覆盖，并能与原大楼网络互通，1号楼和2号楼网络与原大楼的网络边界应考虑边界安全，应保障新建网络与原网络之间的边界安全.</w:t>
      </w:r>
    </w:p>
    <w:p w14:paraId="647A3962">
      <w:pPr>
        <w:pStyle w:val="19"/>
        <w:spacing w:line="288" w:lineRule="auto"/>
        <w:ind w:firstLine="0" w:firstLineChars="0"/>
        <w:rPr>
          <w:rFonts w:hint="eastAsia" w:ascii="宋体" w:hAnsi="宋体" w:eastAsia="宋体"/>
          <w:sz w:val="24"/>
        </w:rPr>
      </w:pPr>
      <w:r>
        <w:rPr>
          <w:rFonts w:hint="eastAsia" w:ascii="宋体" w:hAnsi="宋体" w:eastAsia="宋体"/>
          <w:sz w:val="24"/>
        </w:rPr>
        <w:t>3.4.1.1.4计算环境安全需求</w:t>
      </w:r>
    </w:p>
    <w:p w14:paraId="3FF86122">
      <w:pPr>
        <w:pStyle w:val="19"/>
        <w:spacing w:line="288" w:lineRule="auto"/>
        <w:ind w:firstLine="480"/>
        <w:rPr>
          <w:rFonts w:hint="eastAsia" w:ascii="宋体" w:hAnsi="宋体" w:eastAsia="宋体"/>
          <w:sz w:val="24"/>
        </w:rPr>
      </w:pPr>
      <w:r>
        <w:rPr>
          <w:rFonts w:hint="eastAsia" w:ascii="宋体" w:hAnsi="宋体" w:eastAsia="宋体"/>
          <w:sz w:val="24"/>
        </w:rPr>
        <w:t>本项目建设的服务器、终端等应考虑相关计算环境安全，保障服务器、终端等计算环境的安全.</w:t>
      </w:r>
    </w:p>
    <w:p w14:paraId="36B32AD8">
      <w:pPr>
        <w:pStyle w:val="19"/>
        <w:spacing w:line="288" w:lineRule="auto"/>
        <w:ind w:firstLine="0" w:firstLineChars="0"/>
        <w:rPr>
          <w:rFonts w:hint="eastAsia" w:ascii="宋体" w:hAnsi="宋体" w:eastAsia="宋体"/>
          <w:sz w:val="24"/>
        </w:rPr>
      </w:pPr>
      <w:r>
        <w:rPr>
          <w:rFonts w:hint="eastAsia" w:ascii="宋体" w:hAnsi="宋体" w:eastAsia="宋体"/>
          <w:sz w:val="24"/>
        </w:rPr>
        <w:t>3.4.1.1.5管理中心安全需求</w:t>
      </w:r>
    </w:p>
    <w:p w14:paraId="127F83FA">
      <w:pPr>
        <w:pStyle w:val="19"/>
        <w:spacing w:line="288" w:lineRule="auto"/>
        <w:ind w:firstLine="480"/>
        <w:rPr>
          <w:rFonts w:hint="eastAsia" w:ascii="宋体" w:hAnsi="宋体" w:eastAsia="宋体"/>
          <w:sz w:val="24"/>
        </w:rPr>
      </w:pPr>
      <w:r>
        <w:rPr>
          <w:rFonts w:hint="eastAsia" w:ascii="宋体" w:hAnsi="宋体" w:eastAsia="宋体"/>
          <w:sz w:val="24"/>
        </w:rPr>
        <w:t>本项目的建设内容应有专门的管理中心进行安全管理。</w:t>
      </w:r>
    </w:p>
    <w:p w14:paraId="40F6C9B0">
      <w:pPr>
        <w:rPr>
          <w:rFonts w:hint="eastAsia" w:asciiTheme="minorEastAsia" w:hAnsiTheme="minorEastAsia" w:cstheme="minorEastAsia"/>
          <w:sz w:val="24"/>
        </w:rPr>
      </w:pPr>
      <w:r>
        <w:rPr>
          <w:rFonts w:hint="eastAsia" w:ascii="宋体" w:hAnsi="宋体" w:eastAsia="宋体" w:cs="宋体"/>
          <w:sz w:val="24"/>
        </w:rPr>
        <w:t>3.4.1.2</w:t>
      </w:r>
      <w:r>
        <w:rPr>
          <w:rFonts w:hint="eastAsia" w:asciiTheme="minorEastAsia" w:hAnsiTheme="minorEastAsia" w:cstheme="minorEastAsia"/>
          <w:sz w:val="24"/>
        </w:rPr>
        <w:t>安全管理体系</w:t>
      </w:r>
    </w:p>
    <w:p w14:paraId="56A443CC">
      <w:pPr>
        <w:rPr>
          <w:rFonts w:hint="eastAsia" w:ascii="宋体" w:hAnsi="宋体" w:eastAsia="宋体" w:cs="宋体"/>
          <w:sz w:val="24"/>
        </w:rPr>
      </w:pPr>
      <w:r>
        <w:rPr>
          <w:rFonts w:hint="eastAsia" w:ascii="宋体" w:hAnsi="宋体" w:eastAsia="宋体" w:cs="宋体"/>
          <w:sz w:val="24"/>
        </w:rPr>
        <w:t>3.4.1.2.1安全管理制度需求</w:t>
      </w:r>
    </w:p>
    <w:p w14:paraId="76C9C14C">
      <w:pPr>
        <w:pStyle w:val="19"/>
        <w:spacing w:line="288" w:lineRule="auto"/>
        <w:ind w:firstLine="480"/>
        <w:rPr>
          <w:rFonts w:hint="eastAsia" w:ascii="宋体" w:hAnsi="宋体" w:eastAsia="宋体"/>
          <w:sz w:val="24"/>
        </w:rPr>
      </w:pPr>
      <w:r>
        <w:rPr>
          <w:rFonts w:hint="eastAsia" w:ascii="宋体" w:hAnsi="宋体" w:eastAsia="宋体"/>
          <w:sz w:val="24"/>
        </w:rPr>
        <w:t>应将本项目建设内容和范围纳入法院整体的安全管理制度中进行统一安全管理，同时应补充修改和完善安全管理制度，本项目安全管理制度具体需求如下：</w:t>
      </w:r>
    </w:p>
    <w:p w14:paraId="350978CC">
      <w:pPr>
        <w:pStyle w:val="13"/>
        <w:spacing w:line="288" w:lineRule="auto"/>
        <w:rPr>
          <w:rFonts w:hint="eastAsia" w:ascii="宋体" w:hAnsi="宋体" w:eastAsia="宋体" w:cs="宋体"/>
          <w:sz w:val="24"/>
        </w:rPr>
      </w:pPr>
      <w:r>
        <w:rPr>
          <w:rFonts w:hint="eastAsia" w:ascii="宋体" w:hAnsi="宋体" w:eastAsia="宋体" w:cs="宋体"/>
          <w:sz w:val="24"/>
        </w:rPr>
        <w:t>安全管理制度需求分析表</w:t>
      </w:r>
    </w:p>
    <w:tbl>
      <w:tblPr>
        <w:tblStyle w:val="17"/>
        <w:tblW w:w="5000"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25"/>
        <w:gridCol w:w="2812"/>
        <w:gridCol w:w="2410"/>
        <w:gridCol w:w="2069"/>
      </w:tblGrid>
      <w:tr w14:paraId="0C62F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616" w:type="pct"/>
            <w:tcBorders>
              <w:top w:val="single" w:color="auto" w:sz="4" w:space="0"/>
              <w:left w:val="single" w:color="auto" w:sz="4" w:space="0"/>
              <w:bottom w:val="single" w:color="auto" w:sz="4" w:space="0"/>
              <w:right w:val="single" w:color="auto" w:sz="4" w:space="0"/>
            </w:tcBorders>
            <w:shd w:val="clear" w:color="auto" w:fill="auto"/>
            <w:vAlign w:val="center"/>
          </w:tcPr>
          <w:p w14:paraId="476BEB12">
            <w:pPr>
              <w:pStyle w:val="21"/>
              <w:spacing w:line="288" w:lineRule="auto"/>
              <w:jc w:val="center"/>
              <w:rPr>
                <w:rFonts w:hint="eastAsia" w:ascii="宋体" w:hAnsi="宋体" w:cs="宋体"/>
                <w:b/>
                <w:szCs w:val="24"/>
              </w:rPr>
            </w:pPr>
            <w:r>
              <w:rPr>
                <w:rFonts w:hint="eastAsia" w:ascii="宋体" w:hAnsi="宋体" w:cs="宋体"/>
                <w:b/>
                <w:szCs w:val="24"/>
              </w:rPr>
              <w:t>控制点</w:t>
            </w:r>
          </w:p>
        </w:tc>
        <w:tc>
          <w:tcPr>
            <w:tcW w:w="1691" w:type="pct"/>
            <w:tcBorders>
              <w:top w:val="single" w:color="auto" w:sz="4" w:space="0"/>
              <w:left w:val="single" w:color="auto" w:sz="4" w:space="0"/>
              <w:bottom w:val="single" w:color="auto" w:sz="4" w:space="0"/>
              <w:right w:val="single" w:color="auto" w:sz="4" w:space="0"/>
            </w:tcBorders>
            <w:shd w:val="clear" w:color="auto" w:fill="auto"/>
            <w:vAlign w:val="center"/>
          </w:tcPr>
          <w:p w14:paraId="1225FDE3">
            <w:pPr>
              <w:pStyle w:val="21"/>
              <w:spacing w:line="288" w:lineRule="auto"/>
              <w:jc w:val="center"/>
              <w:rPr>
                <w:rFonts w:hint="eastAsia" w:ascii="宋体" w:hAnsi="宋体" w:cs="宋体"/>
                <w:b/>
                <w:szCs w:val="24"/>
              </w:rPr>
            </w:pPr>
            <w:r>
              <w:rPr>
                <w:rFonts w:hint="eastAsia" w:ascii="宋体" w:hAnsi="宋体" w:cs="宋体"/>
                <w:b/>
                <w:szCs w:val="24"/>
              </w:rPr>
              <w:t>通用要求</w:t>
            </w:r>
          </w:p>
        </w:tc>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14:paraId="5689B9F7">
            <w:pPr>
              <w:pStyle w:val="21"/>
              <w:spacing w:line="288" w:lineRule="auto"/>
              <w:jc w:val="center"/>
              <w:rPr>
                <w:rFonts w:hint="eastAsia" w:ascii="宋体" w:hAnsi="宋体" w:cs="宋体"/>
                <w:b/>
                <w:szCs w:val="24"/>
              </w:rPr>
            </w:pPr>
            <w:r>
              <w:rPr>
                <w:rFonts w:hint="eastAsia" w:ascii="宋体" w:hAnsi="宋体" w:cs="宋体"/>
                <w:b/>
                <w:szCs w:val="24"/>
              </w:rPr>
              <w:t>差距与不足</w:t>
            </w:r>
          </w:p>
        </w:tc>
        <w:tc>
          <w:tcPr>
            <w:tcW w:w="1244" w:type="pct"/>
            <w:tcBorders>
              <w:top w:val="single" w:color="auto" w:sz="4" w:space="0"/>
              <w:left w:val="single" w:color="auto" w:sz="4" w:space="0"/>
              <w:bottom w:val="single" w:color="auto" w:sz="4" w:space="0"/>
              <w:right w:val="single" w:color="auto" w:sz="4" w:space="0"/>
            </w:tcBorders>
            <w:shd w:val="clear" w:color="auto" w:fill="auto"/>
            <w:vAlign w:val="center"/>
          </w:tcPr>
          <w:p w14:paraId="7CB02406">
            <w:pPr>
              <w:pStyle w:val="21"/>
              <w:spacing w:line="288" w:lineRule="auto"/>
              <w:jc w:val="center"/>
              <w:rPr>
                <w:rFonts w:hint="eastAsia" w:ascii="宋体" w:hAnsi="宋体" w:cs="宋体"/>
                <w:b/>
                <w:szCs w:val="24"/>
              </w:rPr>
            </w:pPr>
            <w:r>
              <w:rPr>
                <w:rFonts w:hint="eastAsia" w:ascii="宋体" w:hAnsi="宋体" w:cs="宋体"/>
                <w:b/>
                <w:szCs w:val="24"/>
              </w:rPr>
              <w:t>需求分析</w:t>
            </w:r>
          </w:p>
        </w:tc>
      </w:tr>
      <w:tr w14:paraId="727C1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616" w:type="pct"/>
            <w:vMerge w:val="restart"/>
            <w:tcBorders>
              <w:top w:val="single" w:color="auto" w:sz="4" w:space="0"/>
              <w:left w:val="single" w:color="auto" w:sz="4" w:space="0"/>
              <w:right w:val="single" w:color="auto" w:sz="4" w:space="0"/>
            </w:tcBorders>
            <w:shd w:val="clear" w:color="auto" w:fill="auto"/>
            <w:vAlign w:val="center"/>
          </w:tcPr>
          <w:p w14:paraId="4CCD4C1B">
            <w:pPr>
              <w:pStyle w:val="22"/>
              <w:spacing w:line="288" w:lineRule="auto"/>
              <w:rPr>
                <w:rFonts w:hint="eastAsia" w:ascii="宋体" w:hAnsi="宋体" w:eastAsia="宋体" w:cs="宋体"/>
                <w:sz w:val="24"/>
                <w:szCs w:val="24"/>
              </w:rPr>
            </w:pPr>
            <w:r>
              <w:rPr>
                <w:rFonts w:hint="eastAsia" w:ascii="宋体" w:hAnsi="宋体" w:eastAsia="宋体" w:cs="宋体"/>
                <w:sz w:val="24"/>
                <w:szCs w:val="24"/>
              </w:rPr>
              <w:t>管理制度</w:t>
            </w:r>
          </w:p>
        </w:tc>
        <w:tc>
          <w:tcPr>
            <w:tcW w:w="1691" w:type="pct"/>
            <w:tcBorders>
              <w:top w:val="single" w:color="auto" w:sz="4" w:space="0"/>
              <w:left w:val="single" w:color="auto" w:sz="4" w:space="0"/>
              <w:bottom w:val="single" w:color="auto" w:sz="4" w:space="0"/>
              <w:right w:val="single" w:color="auto" w:sz="4" w:space="0"/>
            </w:tcBorders>
            <w:shd w:val="clear" w:color="auto" w:fill="auto"/>
            <w:vAlign w:val="center"/>
          </w:tcPr>
          <w:p w14:paraId="7AED879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b）应对管理人员或操作人员执行的日常管理操作建立操作规程；</w:t>
            </w:r>
          </w:p>
        </w:tc>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14:paraId="0576A4C4">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本次建设内容缺乏部分管理操作规程。</w:t>
            </w:r>
          </w:p>
        </w:tc>
        <w:tc>
          <w:tcPr>
            <w:tcW w:w="1244" w:type="pct"/>
            <w:tcBorders>
              <w:top w:val="single" w:color="auto" w:sz="4" w:space="0"/>
              <w:left w:val="single" w:color="auto" w:sz="4" w:space="0"/>
              <w:bottom w:val="single" w:color="auto" w:sz="4" w:space="0"/>
              <w:right w:val="single" w:color="auto" w:sz="4" w:space="0"/>
            </w:tcBorders>
            <w:shd w:val="clear" w:color="auto" w:fill="auto"/>
            <w:vAlign w:val="center"/>
          </w:tcPr>
          <w:p w14:paraId="339B93A6">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528F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616" w:type="pct"/>
            <w:vMerge w:val="continue"/>
            <w:tcBorders>
              <w:left w:val="single" w:color="auto" w:sz="4" w:space="0"/>
              <w:bottom w:val="single" w:color="auto" w:sz="4" w:space="0"/>
              <w:right w:val="single" w:color="auto" w:sz="4" w:space="0"/>
            </w:tcBorders>
            <w:shd w:val="clear" w:color="auto" w:fill="auto"/>
            <w:vAlign w:val="center"/>
          </w:tcPr>
          <w:p w14:paraId="1D0DD144">
            <w:pPr>
              <w:pStyle w:val="22"/>
              <w:spacing w:line="288" w:lineRule="auto"/>
              <w:rPr>
                <w:rFonts w:hint="eastAsia" w:ascii="宋体" w:hAnsi="宋体" w:eastAsia="宋体" w:cs="宋体"/>
                <w:sz w:val="24"/>
                <w:szCs w:val="24"/>
              </w:rPr>
            </w:pPr>
          </w:p>
        </w:tc>
        <w:tc>
          <w:tcPr>
            <w:tcW w:w="1691" w:type="pct"/>
            <w:tcBorders>
              <w:top w:val="single" w:color="auto" w:sz="4" w:space="0"/>
              <w:left w:val="single" w:color="auto" w:sz="4" w:space="0"/>
              <w:bottom w:val="single" w:color="auto" w:sz="4" w:space="0"/>
              <w:right w:val="single" w:color="auto" w:sz="4" w:space="0"/>
            </w:tcBorders>
            <w:shd w:val="clear" w:color="auto" w:fill="auto"/>
            <w:vAlign w:val="center"/>
          </w:tcPr>
          <w:p w14:paraId="3621D99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c）应形成由安全策略、管理制度、操作规程、记录表单等构成的全面的安全管理制度体系。</w:t>
            </w:r>
          </w:p>
        </w:tc>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14:paraId="4BA494E6">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信息安全管理制度体系不完善，缺乏本次建设内容操作规程的内容。</w:t>
            </w:r>
          </w:p>
        </w:tc>
        <w:tc>
          <w:tcPr>
            <w:tcW w:w="1244" w:type="pct"/>
            <w:tcBorders>
              <w:top w:val="single" w:color="auto" w:sz="4" w:space="0"/>
              <w:left w:val="single" w:color="auto" w:sz="4" w:space="0"/>
              <w:bottom w:val="single" w:color="auto" w:sz="4" w:space="0"/>
              <w:right w:val="single" w:color="auto" w:sz="4" w:space="0"/>
            </w:tcBorders>
            <w:shd w:val="clear" w:color="auto" w:fill="auto"/>
            <w:vAlign w:val="center"/>
          </w:tcPr>
          <w:p w14:paraId="03F113C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570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616" w:type="pct"/>
            <w:tcBorders>
              <w:top w:val="single" w:color="auto" w:sz="4" w:space="0"/>
              <w:left w:val="single" w:color="auto" w:sz="4" w:space="0"/>
              <w:bottom w:val="single" w:color="auto" w:sz="4" w:space="0"/>
              <w:right w:val="single" w:color="auto" w:sz="4" w:space="0"/>
            </w:tcBorders>
            <w:shd w:val="clear" w:color="auto" w:fill="auto"/>
            <w:vAlign w:val="center"/>
          </w:tcPr>
          <w:p w14:paraId="6037D094">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制定和发布</w:t>
            </w:r>
          </w:p>
        </w:tc>
        <w:tc>
          <w:tcPr>
            <w:tcW w:w="1691" w:type="pct"/>
            <w:tcBorders>
              <w:top w:val="single" w:color="auto" w:sz="4" w:space="0"/>
              <w:left w:val="single" w:color="auto" w:sz="4" w:space="0"/>
              <w:bottom w:val="single" w:color="auto" w:sz="4" w:space="0"/>
              <w:right w:val="single" w:color="auto" w:sz="4" w:space="0"/>
            </w:tcBorders>
            <w:shd w:val="clear" w:color="auto" w:fill="auto"/>
            <w:vAlign w:val="center"/>
          </w:tcPr>
          <w:p w14:paraId="5849AA1C">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b）安全管理制度应通过正式、有效的方式发布，并进行版本控制。</w:t>
            </w:r>
          </w:p>
        </w:tc>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14:paraId="1D0FE70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本次建设内容未明确制度发布方式和制度版本控制的措施。</w:t>
            </w:r>
          </w:p>
        </w:tc>
        <w:tc>
          <w:tcPr>
            <w:tcW w:w="1244" w:type="pct"/>
            <w:tcBorders>
              <w:top w:val="single" w:color="auto" w:sz="4" w:space="0"/>
              <w:left w:val="single" w:color="auto" w:sz="4" w:space="0"/>
              <w:bottom w:val="single" w:color="auto" w:sz="4" w:space="0"/>
              <w:right w:val="single" w:color="auto" w:sz="4" w:space="0"/>
            </w:tcBorders>
            <w:shd w:val="clear" w:color="auto" w:fill="auto"/>
            <w:vAlign w:val="center"/>
          </w:tcPr>
          <w:p w14:paraId="061F2F9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CA1A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616" w:type="pct"/>
            <w:tcBorders>
              <w:top w:val="single" w:color="auto" w:sz="4" w:space="0"/>
              <w:left w:val="single" w:color="auto" w:sz="4" w:space="0"/>
              <w:bottom w:val="single" w:color="auto" w:sz="4" w:space="0"/>
              <w:right w:val="single" w:color="auto" w:sz="4" w:space="0"/>
            </w:tcBorders>
            <w:shd w:val="clear" w:color="auto" w:fill="auto"/>
            <w:vAlign w:val="center"/>
          </w:tcPr>
          <w:p w14:paraId="7E783D61">
            <w:pPr>
              <w:pStyle w:val="22"/>
              <w:spacing w:line="288" w:lineRule="auto"/>
              <w:rPr>
                <w:rFonts w:hint="eastAsia" w:ascii="宋体" w:hAnsi="宋体" w:eastAsia="宋体" w:cs="宋体"/>
                <w:sz w:val="24"/>
                <w:szCs w:val="24"/>
              </w:rPr>
            </w:pPr>
            <w:r>
              <w:rPr>
                <w:rFonts w:hint="eastAsia" w:ascii="宋体" w:hAnsi="宋体" w:eastAsia="宋体" w:cs="宋体"/>
                <w:sz w:val="24"/>
                <w:szCs w:val="24"/>
              </w:rPr>
              <w:t>评审和修订</w:t>
            </w:r>
          </w:p>
        </w:tc>
        <w:tc>
          <w:tcPr>
            <w:tcW w:w="1691" w:type="pct"/>
            <w:tcBorders>
              <w:top w:val="single" w:color="auto" w:sz="4" w:space="0"/>
              <w:left w:val="single" w:color="auto" w:sz="4" w:space="0"/>
              <w:bottom w:val="single" w:color="auto" w:sz="4" w:space="0"/>
              <w:right w:val="single" w:color="auto" w:sz="4" w:space="0"/>
            </w:tcBorders>
            <w:shd w:val="clear" w:color="auto" w:fill="auto"/>
            <w:vAlign w:val="center"/>
          </w:tcPr>
          <w:p w14:paraId="65D7B18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应定期对安全管理制度的合理性和适用性进行论证和审定，对存在不足或需要改进的安全管理制度进行修订。</w:t>
            </w:r>
          </w:p>
        </w:tc>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14:paraId="1EC2EC5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未对本次建设内容安全管理制度进行评审和修订。</w:t>
            </w:r>
          </w:p>
        </w:tc>
        <w:tc>
          <w:tcPr>
            <w:tcW w:w="1244" w:type="pct"/>
            <w:tcBorders>
              <w:top w:val="single" w:color="auto" w:sz="4" w:space="0"/>
              <w:left w:val="single" w:color="auto" w:sz="4" w:space="0"/>
              <w:bottom w:val="single" w:color="auto" w:sz="4" w:space="0"/>
              <w:right w:val="single" w:color="auto" w:sz="4" w:space="0"/>
            </w:tcBorders>
            <w:shd w:val="clear" w:color="auto" w:fill="auto"/>
            <w:vAlign w:val="center"/>
          </w:tcPr>
          <w:p w14:paraId="36F1FDC8">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bl>
    <w:p w14:paraId="609AABBA">
      <w:pPr>
        <w:pStyle w:val="11"/>
        <w:numPr>
          <w:ilvl w:val="4"/>
          <w:numId w:val="0"/>
        </w:numPr>
        <w:spacing w:line="288" w:lineRule="auto"/>
        <w:rPr>
          <w:rFonts w:hint="eastAsia" w:ascii="宋体" w:hAnsi="宋体" w:eastAsia="宋体" w:cs="宋体"/>
          <w:sz w:val="24"/>
        </w:rPr>
      </w:pPr>
      <w:r>
        <w:rPr>
          <w:rFonts w:hint="eastAsia" w:ascii="宋体" w:hAnsi="宋体" w:eastAsia="宋体" w:cs="宋体"/>
          <w:sz w:val="24"/>
        </w:rPr>
        <w:t>3.4.1.2.2安全管理机构需求</w:t>
      </w:r>
    </w:p>
    <w:p w14:paraId="28BAD81D">
      <w:pPr>
        <w:pStyle w:val="19"/>
        <w:spacing w:line="288" w:lineRule="auto"/>
        <w:ind w:firstLine="480"/>
        <w:rPr>
          <w:rFonts w:hint="eastAsia" w:ascii="宋体" w:hAnsi="宋体" w:eastAsia="宋体"/>
          <w:sz w:val="24"/>
        </w:rPr>
      </w:pPr>
      <w:r>
        <w:rPr>
          <w:rFonts w:hint="eastAsia" w:ascii="宋体" w:hAnsi="宋体" w:eastAsia="宋体"/>
          <w:sz w:val="24"/>
        </w:rPr>
        <w:t>应将本项目建设内容和范围纳入法院安全管理机构的安全管理职责中进行统一安全管理，同时应补充修改和完善安全管理机构职责范围，本项目安全管理机构具体需求如下：</w:t>
      </w:r>
    </w:p>
    <w:p w14:paraId="23018656">
      <w:pPr>
        <w:pStyle w:val="13"/>
        <w:spacing w:line="288" w:lineRule="auto"/>
        <w:rPr>
          <w:rFonts w:hint="eastAsia" w:ascii="宋体" w:hAnsi="宋体" w:eastAsia="宋体" w:cs="宋体"/>
          <w:sz w:val="24"/>
        </w:rPr>
      </w:pPr>
      <w:r>
        <w:rPr>
          <w:rFonts w:hint="eastAsia" w:ascii="宋体" w:hAnsi="宋体" w:eastAsia="宋体" w:cs="宋体"/>
          <w:sz w:val="24"/>
        </w:rPr>
        <w:t>安全管理机构需求分析表</w:t>
      </w:r>
    </w:p>
    <w:tbl>
      <w:tblPr>
        <w:tblStyle w:val="17"/>
        <w:tblW w:w="5012"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24"/>
        <w:gridCol w:w="2819"/>
        <w:gridCol w:w="2195"/>
        <w:gridCol w:w="2298"/>
      </w:tblGrid>
      <w:tr w14:paraId="24217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tblHeader/>
        </w:trPr>
        <w:tc>
          <w:tcPr>
            <w:tcW w:w="614" w:type="pct"/>
            <w:shd w:val="clear" w:color="auto" w:fill="auto"/>
            <w:vAlign w:val="center"/>
          </w:tcPr>
          <w:p w14:paraId="0C8B54C2">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控制点</w:t>
            </w:r>
          </w:p>
        </w:tc>
        <w:tc>
          <w:tcPr>
            <w:tcW w:w="1690" w:type="pct"/>
            <w:shd w:val="clear" w:color="auto" w:fill="auto"/>
            <w:vAlign w:val="center"/>
          </w:tcPr>
          <w:p w14:paraId="583F3CD7">
            <w:pPr>
              <w:pStyle w:val="21"/>
              <w:spacing w:line="288" w:lineRule="auto"/>
              <w:jc w:val="center"/>
              <w:rPr>
                <w:rFonts w:hint="eastAsia" w:ascii="宋体" w:hAnsi="宋体" w:cs="宋体"/>
                <w:b/>
                <w:snapToGrid w:val="0"/>
                <w:szCs w:val="24"/>
              </w:rPr>
            </w:pPr>
            <w:r>
              <w:rPr>
                <w:rFonts w:hint="eastAsia" w:ascii="宋体" w:hAnsi="宋体" w:cs="宋体"/>
                <w:b/>
                <w:snapToGrid w:val="0"/>
                <w:spacing w:val="-4"/>
                <w:szCs w:val="24"/>
              </w:rPr>
              <w:t>通用要求</w:t>
            </w:r>
          </w:p>
        </w:tc>
        <w:tc>
          <w:tcPr>
            <w:tcW w:w="1316" w:type="pct"/>
            <w:shd w:val="clear" w:color="auto" w:fill="auto"/>
            <w:vAlign w:val="center"/>
          </w:tcPr>
          <w:p w14:paraId="0D0DDDF3">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差距与不足</w:t>
            </w:r>
          </w:p>
        </w:tc>
        <w:tc>
          <w:tcPr>
            <w:tcW w:w="1378" w:type="pct"/>
            <w:shd w:val="clear" w:color="auto" w:fill="auto"/>
            <w:vAlign w:val="center"/>
          </w:tcPr>
          <w:p w14:paraId="68085E95">
            <w:pPr>
              <w:pStyle w:val="21"/>
              <w:spacing w:line="288" w:lineRule="auto"/>
              <w:jc w:val="center"/>
              <w:rPr>
                <w:rFonts w:hint="eastAsia" w:ascii="宋体" w:hAnsi="宋体" w:cs="宋体"/>
                <w:b/>
                <w:snapToGrid w:val="0"/>
                <w:szCs w:val="24"/>
              </w:rPr>
            </w:pPr>
            <w:r>
              <w:rPr>
                <w:rFonts w:hint="eastAsia" w:ascii="宋体" w:hAnsi="宋体" w:cs="宋体"/>
                <w:b/>
                <w:snapToGrid w:val="0"/>
                <w:spacing w:val="-8"/>
                <w:szCs w:val="24"/>
              </w:rPr>
              <w:t>需求分析</w:t>
            </w:r>
          </w:p>
        </w:tc>
      </w:tr>
      <w:tr w14:paraId="6E911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7" w:hRule="atLeast"/>
        </w:trPr>
        <w:tc>
          <w:tcPr>
            <w:tcW w:w="614" w:type="pct"/>
            <w:vMerge w:val="restart"/>
            <w:shd w:val="clear" w:color="auto" w:fill="auto"/>
            <w:vAlign w:val="center"/>
          </w:tcPr>
          <w:p w14:paraId="334DA154">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授权和审批</w:t>
            </w:r>
          </w:p>
        </w:tc>
        <w:tc>
          <w:tcPr>
            <w:tcW w:w="1690" w:type="pct"/>
            <w:shd w:val="clear" w:color="auto" w:fill="auto"/>
            <w:vAlign w:val="center"/>
          </w:tcPr>
          <w:p w14:paraId="4432DF4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b）应针对系统变更、重要操作、物理访问和系统接入等事项建立审批程序，按照审批程序执行审批过程，对重要活动建立逐级审批制度；</w:t>
            </w:r>
          </w:p>
        </w:tc>
        <w:tc>
          <w:tcPr>
            <w:tcW w:w="1316" w:type="pct"/>
            <w:shd w:val="clear" w:color="auto" w:fill="auto"/>
            <w:vAlign w:val="center"/>
          </w:tcPr>
          <w:p w14:paraId="6EAC260B">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未提供本次建设内容系统变更、重要操作、物理访问和系统接入等事项的审批过程记录。</w:t>
            </w:r>
          </w:p>
        </w:tc>
        <w:tc>
          <w:tcPr>
            <w:tcW w:w="1378" w:type="pct"/>
            <w:shd w:val="clear" w:color="auto" w:fill="auto"/>
            <w:vAlign w:val="center"/>
          </w:tcPr>
          <w:p w14:paraId="5D3C54E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827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7" w:hRule="atLeast"/>
        </w:trPr>
        <w:tc>
          <w:tcPr>
            <w:tcW w:w="614" w:type="pct"/>
            <w:vMerge w:val="continue"/>
            <w:shd w:val="clear" w:color="auto" w:fill="auto"/>
            <w:vAlign w:val="center"/>
          </w:tcPr>
          <w:p w14:paraId="4E2C697D">
            <w:pPr>
              <w:pStyle w:val="22"/>
              <w:spacing w:line="288" w:lineRule="auto"/>
              <w:rPr>
                <w:rFonts w:hint="eastAsia" w:ascii="宋体" w:hAnsi="宋体" w:eastAsia="宋体" w:cs="宋体"/>
                <w:sz w:val="24"/>
                <w:szCs w:val="24"/>
              </w:rPr>
            </w:pPr>
          </w:p>
        </w:tc>
        <w:tc>
          <w:tcPr>
            <w:tcW w:w="1690" w:type="pct"/>
            <w:shd w:val="clear" w:color="auto" w:fill="auto"/>
            <w:vAlign w:val="center"/>
          </w:tcPr>
          <w:p w14:paraId="18D7CDBC">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c）应定期审查审批事项，及时更新需授权和审批的项目、审批部门和审批人等信息。</w:t>
            </w:r>
          </w:p>
        </w:tc>
        <w:tc>
          <w:tcPr>
            <w:tcW w:w="1316" w:type="pct"/>
            <w:shd w:val="clear" w:color="auto" w:fill="auto"/>
            <w:vAlign w:val="center"/>
          </w:tcPr>
          <w:p w14:paraId="29FC594C">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未根据本次建设内容需要定期对授权和审批的项目、审批部门和审批人信息进行审查更新。</w:t>
            </w:r>
          </w:p>
        </w:tc>
        <w:tc>
          <w:tcPr>
            <w:tcW w:w="1378" w:type="pct"/>
            <w:shd w:val="clear" w:color="auto" w:fill="auto"/>
            <w:vAlign w:val="center"/>
          </w:tcPr>
          <w:p w14:paraId="50FA94B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5176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0" w:hRule="atLeast"/>
        </w:trPr>
        <w:tc>
          <w:tcPr>
            <w:tcW w:w="614" w:type="pct"/>
            <w:vMerge w:val="restart"/>
            <w:shd w:val="clear" w:color="auto" w:fill="auto"/>
            <w:vAlign w:val="center"/>
          </w:tcPr>
          <w:p w14:paraId="57BDD8E3">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审核和检查</w:t>
            </w:r>
          </w:p>
        </w:tc>
        <w:tc>
          <w:tcPr>
            <w:tcW w:w="1690" w:type="pct"/>
            <w:shd w:val="clear" w:color="auto" w:fill="auto"/>
            <w:vAlign w:val="center"/>
          </w:tcPr>
          <w:p w14:paraId="293655EE">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b）应定期进行全面安全检查，检查内容包括现有安全技术措施的有效性、安全配置与安全策略的一致性、安全管理制度的执行情况等；</w:t>
            </w:r>
          </w:p>
        </w:tc>
        <w:tc>
          <w:tcPr>
            <w:tcW w:w="1316" w:type="pct"/>
            <w:shd w:val="clear" w:color="auto" w:fill="auto"/>
            <w:vAlign w:val="center"/>
          </w:tcPr>
          <w:p w14:paraId="248B60A8">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内部人员或上级单位应对本次建设内容定期进行全面安全检查。</w:t>
            </w:r>
          </w:p>
        </w:tc>
        <w:tc>
          <w:tcPr>
            <w:tcW w:w="1378" w:type="pct"/>
            <w:shd w:val="clear" w:color="auto" w:fill="auto"/>
            <w:vAlign w:val="center"/>
          </w:tcPr>
          <w:p w14:paraId="1207D4A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2B565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7" w:hRule="atLeast"/>
        </w:trPr>
        <w:tc>
          <w:tcPr>
            <w:tcW w:w="614" w:type="pct"/>
            <w:vMerge w:val="continue"/>
            <w:shd w:val="clear" w:color="auto" w:fill="auto"/>
            <w:vAlign w:val="center"/>
          </w:tcPr>
          <w:p w14:paraId="4205F188">
            <w:pPr>
              <w:pStyle w:val="22"/>
              <w:spacing w:line="288" w:lineRule="auto"/>
              <w:rPr>
                <w:rFonts w:hint="eastAsia" w:ascii="宋体" w:hAnsi="宋体" w:eastAsia="宋体" w:cs="宋体"/>
                <w:sz w:val="24"/>
                <w:szCs w:val="24"/>
              </w:rPr>
            </w:pPr>
          </w:p>
        </w:tc>
        <w:tc>
          <w:tcPr>
            <w:tcW w:w="1690" w:type="pct"/>
            <w:shd w:val="clear" w:color="auto" w:fill="auto"/>
            <w:vAlign w:val="center"/>
          </w:tcPr>
          <w:p w14:paraId="790FD4AE">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c）应制定安全检查表格实施安全检查，汇总安全检查数据，形成安全检查报告，并对安全检查结果进行通报。</w:t>
            </w:r>
          </w:p>
        </w:tc>
        <w:tc>
          <w:tcPr>
            <w:tcW w:w="1316" w:type="pct"/>
            <w:shd w:val="clear" w:color="auto" w:fill="auto"/>
            <w:vAlign w:val="center"/>
          </w:tcPr>
          <w:p w14:paraId="6F5F151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未对本次建设内容制定安全检查表格实施安全检查。</w:t>
            </w:r>
          </w:p>
        </w:tc>
        <w:tc>
          <w:tcPr>
            <w:tcW w:w="1378" w:type="pct"/>
            <w:shd w:val="clear" w:color="auto" w:fill="auto"/>
            <w:vAlign w:val="center"/>
          </w:tcPr>
          <w:p w14:paraId="2DB8F33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bl>
    <w:p w14:paraId="2B76AA42">
      <w:pPr>
        <w:pStyle w:val="11"/>
        <w:numPr>
          <w:ilvl w:val="4"/>
          <w:numId w:val="0"/>
        </w:numPr>
        <w:spacing w:line="288" w:lineRule="auto"/>
        <w:rPr>
          <w:rFonts w:hint="eastAsia" w:ascii="宋体" w:hAnsi="宋体" w:eastAsia="宋体" w:cs="宋体"/>
          <w:sz w:val="24"/>
        </w:rPr>
      </w:pPr>
      <w:r>
        <w:rPr>
          <w:rFonts w:hint="eastAsia" w:ascii="宋体" w:hAnsi="宋体" w:eastAsia="宋体" w:cs="宋体"/>
          <w:sz w:val="24"/>
        </w:rPr>
        <w:t>3.4.1.2.3安全管理人员需求</w:t>
      </w:r>
    </w:p>
    <w:p w14:paraId="026E67B1">
      <w:pPr>
        <w:pStyle w:val="19"/>
        <w:spacing w:line="288" w:lineRule="auto"/>
        <w:ind w:firstLine="480"/>
        <w:rPr>
          <w:rFonts w:hint="eastAsia" w:ascii="宋体" w:hAnsi="宋体" w:eastAsia="宋体"/>
          <w:sz w:val="24"/>
        </w:rPr>
      </w:pPr>
      <w:r>
        <w:rPr>
          <w:rFonts w:hint="eastAsia" w:ascii="宋体" w:hAnsi="宋体" w:eastAsia="宋体"/>
          <w:sz w:val="24"/>
        </w:rPr>
        <w:t>应将本项目建设内容和范围纳入法院安全管理人员的工作中进行统一安全管理，同时应补充修改和完善安全管理人员职责范围，本项目安全管理人员具体需求如下：</w:t>
      </w:r>
    </w:p>
    <w:p w14:paraId="608CB03D">
      <w:pPr>
        <w:pStyle w:val="13"/>
        <w:spacing w:line="288" w:lineRule="auto"/>
        <w:rPr>
          <w:rFonts w:hint="eastAsia" w:ascii="宋体" w:hAnsi="宋体" w:eastAsia="宋体" w:cs="宋体"/>
          <w:sz w:val="24"/>
        </w:rPr>
      </w:pPr>
      <w:r>
        <w:rPr>
          <w:rFonts w:hint="eastAsia" w:ascii="宋体" w:hAnsi="宋体" w:eastAsia="宋体" w:cs="宋体"/>
          <w:sz w:val="24"/>
        </w:rPr>
        <w:t>安全管理人员需求分析表</w:t>
      </w:r>
    </w:p>
    <w:tbl>
      <w:tblPr>
        <w:tblStyle w:val="17"/>
        <w:tblW w:w="5024"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18"/>
        <w:gridCol w:w="2554"/>
        <w:gridCol w:w="2362"/>
        <w:gridCol w:w="2422"/>
      </w:tblGrid>
      <w:tr w14:paraId="4876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blHeader/>
        </w:trPr>
        <w:tc>
          <w:tcPr>
            <w:tcW w:w="609" w:type="pct"/>
            <w:tcBorders>
              <w:top w:val="single" w:color="auto" w:sz="4" w:space="0"/>
              <w:left w:val="single" w:color="auto" w:sz="4" w:space="0"/>
              <w:bottom w:val="single" w:color="auto" w:sz="4" w:space="0"/>
              <w:right w:val="single" w:color="auto" w:sz="4" w:space="0"/>
            </w:tcBorders>
            <w:shd w:val="clear" w:color="auto" w:fill="auto"/>
            <w:vAlign w:val="center"/>
          </w:tcPr>
          <w:p w14:paraId="1052042F">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控制点</w:t>
            </w:r>
          </w:p>
        </w:tc>
        <w:tc>
          <w:tcPr>
            <w:tcW w:w="1528" w:type="pct"/>
            <w:tcBorders>
              <w:top w:val="single" w:color="auto" w:sz="4" w:space="0"/>
              <w:left w:val="single" w:color="auto" w:sz="4" w:space="0"/>
              <w:bottom w:val="single" w:color="auto" w:sz="4" w:space="0"/>
              <w:right w:val="single" w:color="auto" w:sz="4" w:space="0"/>
            </w:tcBorders>
            <w:shd w:val="clear" w:color="auto" w:fill="auto"/>
            <w:vAlign w:val="center"/>
          </w:tcPr>
          <w:p w14:paraId="35773865">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通用要求</w:t>
            </w:r>
          </w:p>
        </w:tc>
        <w:tc>
          <w:tcPr>
            <w:tcW w:w="1413" w:type="pct"/>
            <w:tcBorders>
              <w:top w:val="single" w:color="auto" w:sz="4" w:space="0"/>
              <w:left w:val="single" w:color="auto" w:sz="4" w:space="0"/>
              <w:bottom w:val="single" w:color="auto" w:sz="4" w:space="0"/>
              <w:right w:val="single" w:color="auto" w:sz="4" w:space="0"/>
            </w:tcBorders>
            <w:shd w:val="clear" w:color="auto" w:fill="auto"/>
            <w:vAlign w:val="center"/>
          </w:tcPr>
          <w:p w14:paraId="39BB52CF">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差距与不足</w:t>
            </w:r>
          </w:p>
        </w:tc>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14:paraId="62649A0D">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需求分析</w:t>
            </w:r>
          </w:p>
        </w:tc>
      </w:tr>
      <w:tr w14:paraId="32FB8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09" w:type="pct"/>
            <w:vMerge w:val="restart"/>
            <w:tcBorders>
              <w:top w:val="single" w:color="auto" w:sz="4" w:space="0"/>
              <w:left w:val="single" w:color="auto" w:sz="4" w:space="0"/>
              <w:right w:val="single" w:color="auto" w:sz="4" w:space="0"/>
            </w:tcBorders>
            <w:vAlign w:val="center"/>
          </w:tcPr>
          <w:p w14:paraId="111CED99">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安全意识教育和培训</w:t>
            </w:r>
          </w:p>
        </w:tc>
        <w:tc>
          <w:tcPr>
            <w:tcW w:w="1528" w:type="pct"/>
            <w:tcBorders>
              <w:top w:val="single" w:color="auto" w:sz="4" w:space="0"/>
              <w:left w:val="single" w:color="auto" w:sz="4" w:space="0"/>
              <w:bottom w:val="single" w:color="auto" w:sz="4" w:space="0"/>
              <w:right w:val="single" w:color="auto" w:sz="4" w:space="0"/>
            </w:tcBorders>
            <w:vAlign w:val="center"/>
          </w:tcPr>
          <w:p w14:paraId="1DD3B03F">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a）应对各类人员进行安全意识教育和岗位技能培训，并告知相关的安全责任和惩戒措施；</w:t>
            </w:r>
          </w:p>
        </w:tc>
        <w:tc>
          <w:tcPr>
            <w:tcW w:w="1413" w:type="pct"/>
            <w:tcBorders>
              <w:top w:val="single" w:color="auto" w:sz="4" w:space="0"/>
              <w:left w:val="single" w:color="auto" w:sz="4" w:space="0"/>
              <w:bottom w:val="single" w:color="auto" w:sz="4" w:space="0"/>
              <w:right w:val="single" w:color="auto" w:sz="4" w:space="0"/>
            </w:tcBorders>
            <w:vAlign w:val="center"/>
          </w:tcPr>
          <w:p w14:paraId="5D1D141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应考虑本次建设内容，重新明确培训周期、培训方式、培训内容和考核方式等相关内容，同时明确安全责任和惩戒措施。</w:t>
            </w:r>
          </w:p>
        </w:tc>
        <w:tc>
          <w:tcPr>
            <w:tcW w:w="1449" w:type="pct"/>
            <w:tcBorders>
              <w:top w:val="single" w:color="auto" w:sz="4" w:space="0"/>
              <w:left w:val="single" w:color="auto" w:sz="4" w:space="0"/>
              <w:bottom w:val="single" w:color="auto" w:sz="4" w:space="0"/>
              <w:right w:val="single" w:color="auto" w:sz="4" w:space="0"/>
            </w:tcBorders>
            <w:vAlign w:val="center"/>
          </w:tcPr>
          <w:p w14:paraId="3F9785F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4C234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9" w:type="pct"/>
            <w:vMerge w:val="continue"/>
            <w:tcBorders>
              <w:left w:val="single" w:color="auto" w:sz="4" w:space="0"/>
              <w:right w:val="single" w:color="auto" w:sz="4" w:space="0"/>
            </w:tcBorders>
            <w:vAlign w:val="center"/>
          </w:tcPr>
          <w:p w14:paraId="771D089A">
            <w:pPr>
              <w:pStyle w:val="22"/>
              <w:spacing w:line="288" w:lineRule="auto"/>
              <w:rPr>
                <w:rFonts w:hint="eastAsia" w:ascii="宋体" w:hAnsi="宋体" w:eastAsia="宋体" w:cs="宋体"/>
                <w:sz w:val="24"/>
                <w:szCs w:val="24"/>
              </w:rPr>
            </w:pPr>
          </w:p>
        </w:tc>
        <w:tc>
          <w:tcPr>
            <w:tcW w:w="1528" w:type="pct"/>
            <w:tcBorders>
              <w:top w:val="single" w:color="auto" w:sz="4" w:space="0"/>
              <w:left w:val="single" w:color="auto" w:sz="4" w:space="0"/>
              <w:bottom w:val="single" w:color="auto" w:sz="4" w:space="0"/>
              <w:right w:val="single" w:color="auto" w:sz="4" w:space="0"/>
            </w:tcBorders>
            <w:vAlign w:val="center"/>
          </w:tcPr>
          <w:p w14:paraId="2FDFFC26">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b）应针对不同岗位制定不同的培训计划，对安全基础知识、岗位操作规程等进行培训；</w:t>
            </w:r>
          </w:p>
        </w:tc>
        <w:tc>
          <w:tcPr>
            <w:tcW w:w="1413" w:type="pct"/>
            <w:tcBorders>
              <w:top w:val="single" w:color="auto" w:sz="4" w:space="0"/>
              <w:left w:val="single" w:color="auto" w:sz="4" w:space="0"/>
              <w:bottom w:val="single" w:color="auto" w:sz="4" w:space="0"/>
              <w:right w:val="single" w:color="auto" w:sz="4" w:space="0"/>
            </w:tcBorders>
            <w:vAlign w:val="center"/>
          </w:tcPr>
          <w:p w14:paraId="3ED90F8D">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应根据本次建设所涉及的用户，对不同岗位制定不同的培训计划。</w:t>
            </w:r>
          </w:p>
        </w:tc>
        <w:tc>
          <w:tcPr>
            <w:tcW w:w="1449" w:type="pct"/>
            <w:tcBorders>
              <w:top w:val="single" w:color="auto" w:sz="4" w:space="0"/>
              <w:left w:val="single" w:color="auto" w:sz="4" w:space="0"/>
              <w:bottom w:val="single" w:color="auto" w:sz="4" w:space="0"/>
              <w:right w:val="single" w:color="auto" w:sz="4" w:space="0"/>
            </w:tcBorders>
            <w:vAlign w:val="center"/>
          </w:tcPr>
          <w:p w14:paraId="2836749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03347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9" w:type="pct"/>
            <w:vMerge w:val="continue"/>
            <w:tcBorders>
              <w:left w:val="single" w:color="auto" w:sz="4" w:space="0"/>
              <w:bottom w:val="single" w:color="auto" w:sz="4" w:space="0"/>
              <w:right w:val="single" w:color="auto" w:sz="4" w:space="0"/>
            </w:tcBorders>
            <w:vAlign w:val="center"/>
          </w:tcPr>
          <w:p w14:paraId="7FB0C3EC">
            <w:pPr>
              <w:pStyle w:val="22"/>
              <w:spacing w:line="288" w:lineRule="auto"/>
              <w:rPr>
                <w:rFonts w:hint="eastAsia" w:ascii="宋体" w:hAnsi="宋体" w:eastAsia="宋体" w:cs="宋体"/>
                <w:sz w:val="24"/>
                <w:szCs w:val="24"/>
              </w:rPr>
            </w:pPr>
          </w:p>
        </w:tc>
        <w:tc>
          <w:tcPr>
            <w:tcW w:w="1528" w:type="pct"/>
            <w:tcBorders>
              <w:top w:val="single" w:color="auto" w:sz="4" w:space="0"/>
              <w:left w:val="single" w:color="auto" w:sz="4" w:space="0"/>
              <w:bottom w:val="single" w:color="auto" w:sz="4" w:space="0"/>
              <w:right w:val="single" w:color="auto" w:sz="4" w:space="0"/>
            </w:tcBorders>
            <w:vAlign w:val="center"/>
          </w:tcPr>
          <w:p w14:paraId="3B59238E">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c）应定期对不同岗位的人员进行技能考核。</w:t>
            </w:r>
          </w:p>
        </w:tc>
        <w:tc>
          <w:tcPr>
            <w:tcW w:w="1413" w:type="pct"/>
            <w:tcBorders>
              <w:top w:val="single" w:color="auto" w:sz="4" w:space="0"/>
              <w:left w:val="single" w:color="auto" w:sz="4" w:space="0"/>
              <w:bottom w:val="single" w:color="auto" w:sz="4" w:space="0"/>
              <w:right w:val="single" w:color="auto" w:sz="4" w:space="0"/>
            </w:tcBorders>
            <w:vAlign w:val="center"/>
          </w:tcPr>
          <w:p w14:paraId="65B5CAF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应根据本次建设所涉及的用户，定期对不同岗位的人员进行技能考核。</w:t>
            </w:r>
          </w:p>
        </w:tc>
        <w:tc>
          <w:tcPr>
            <w:tcW w:w="1449" w:type="pct"/>
            <w:tcBorders>
              <w:top w:val="single" w:color="auto" w:sz="4" w:space="0"/>
              <w:left w:val="single" w:color="auto" w:sz="4" w:space="0"/>
              <w:bottom w:val="single" w:color="auto" w:sz="4" w:space="0"/>
              <w:right w:val="single" w:color="auto" w:sz="4" w:space="0"/>
            </w:tcBorders>
            <w:vAlign w:val="center"/>
          </w:tcPr>
          <w:p w14:paraId="0A37368D">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28FF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 w:hRule="atLeast"/>
        </w:trPr>
        <w:tc>
          <w:tcPr>
            <w:tcW w:w="609" w:type="pct"/>
            <w:vMerge w:val="restart"/>
            <w:tcBorders>
              <w:top w:val="single" w:color="auto" w:sz="4" w:space="0"/>
              <w:left w:val="single" w:color="auto" w:sz="4" w:space="0"/>
              <w:right w:val="single" w:color="auto" w:sz="4" w:space="0"/>
            </w:tcBorders>
            <w:vAlign w:val="center"/>
          </w:tcPr>
          <w:p w14:paraId="0FFE393C">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外部人员访问管理</w:t>
            </w:r>
          </w:p>
        </w:tc>
        <w:tc>
          <w:tcPr>
            <w:tcW w:w="1528" w:type="pct"/>
            <w:tcBorders>
              <w:top w:val="single" w:color="auto" w:sz="4" w:space="0"/>
              <w:left w:val="single" w:color="auto" w:sz="4" w:space="0"/>
              <w:bottom w:val="single" w:color="auto" w:sz="4" w:space="0"/>
              <w:right w:val="single" w:color="auto" w:sz="4" w:space="0"/>
            </w:tcBorders>
            <w:vAlign w:val="center"/>
          </w:tcPr>
          <w:p w14:paraId="26E66C4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a）应在外部人员物理访问受控区域前先提出书面申请，批准后由专人全程陪同，并登记备案；</w:t>
            </w:r>
          </w:p>
        </w:tc>
        <w:tc>
          <w:tcPr>
            <w:tcW w:w="1413" w:type="pct"/>
            <w:tcBorders>
              <w:top w:val="single" w:color="auto" w:sz="4" w:space="0"/>
              <w:left w:val="single" w:color="auto" w:sz="4" w:space="0"/>
              <w:bottom w:val="single" w:color="auto" w:sz="4" w:space="0"/>
              <w:right w:val="single" w:color="auto" w:sz="4" w:space="0"/>
            </w:tcBorders>
            <w:vAlign w:val="center"/>
          </w:tcPr>
          <w:p w14:paraId="70D469C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应提供外部人员访问本次建设的重要区域的书面申请文档。</w:t>
            </w:r>
          </w:p>
        </w:tc>
        <w:tc>
          <w:tcPr>
            <w:tcW w:w="1449" w:type="pct"/>
            <w:tcBorders>
              <w:top w:val="single" w:color="auto" w:sz="4" w:space="0"/>
              <w:left w:val="single" w:color="auto" w:sz="4" w:space="0"/>
              <w:bottom w:val="single" w:color="auto" w:sz="4" w:space="0"/>
              <w:right w:val="single" w:color="auto" w:sz="4" w:space="0"/>
            </w:tcBorders>
            <w:vAlign w:val="center"/>
          </w:tcPr>
          <w:p w14:paraId="1FEA1763">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B04B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9" w:type="pct"/>
            <w:vMerge w:val="continue"/>
            <w:tcBorders>
              <w:left w:val="single" w:color="auto" w:sz="4" w:space="0"/>
              <w:right w:val="single" w:color="auto" w:sz="4" w:space="0"/>
            </w:tcBorders>
            <w:vAlign w:val="center"/>
          </w:tcPr>
          <w:p w14:paraId="181B739E">
            <w:pPr>
              <w:pStyle w:val="22"/>
              <w:spacing w:line="288" w:lineRule="auto"/>
              <w:rPr>
                <w:rFonts w:hint="eastAsia" w:ascii="宋体" w:hAnsi="宋体" w:eastAsia="宋体" w:cs="宋体"/>
                <w:sz w:val="24"/>
                <w:szCs w:val="24"/>
              </w:rPr>
            </w:pPr>
          </w:p>
        </w:tc>
        <w:tc>
          <w:tcPr>
            <w:tcW w:w="1528" w:type="pct"/>
            <w:tcBorders>
              <w:top w:val="single" w:color="auto" w:sz="4" w:space="0"/>
              <w:left w:val="single" w:color="auto" w:sz="4" w:space="0"/>
              <w:bottom w:val="single" w:color="auto" w:sz="4" w:space="0"/>
              <w:right w:val="single" w:color="auto" w:sz="4" w:space="0"/>
            </w:tcBorders>
            <w:vAlign w:val="center"/>
          </w:tcPr>
          <w:p w14:paraId="702F3AC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b）应在外部人员接入受控网络访问系统前先提出书面申请，批准后由专人开设账户、分配权限，并登记备案；</w:t>
            </w:r>
          </w:p>
        </w:tc>
        <w:tc>
          <w:tcPr>
            <w:tcW w:w="1413" w:type="pct"/>
            <w:tcBorders>
              <w:top w:val="single" w:color="auto" w:sz="4" w:space="0"/>
              <w:left w:val="single" w:color="auto" w:sz="4" w:space="0"/>
              <w:bottom w:val="single" w:color="auto" w:sz="4" w:space="0"/>
              <w:right w:val="single" w:color="auto" w:sz="4" w:space="0"/>
            </w:tcBorders>
            <w:vAlign w:val="center"/>
          </w:tcPr>
          <w:p w14:paraId="5EEDED7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应明确外部人员接入本次建设受控网络前的申请审批流和外部人员访问系统的书面申请文档。</w:t>
            </w:r>
          </w:p>
        </w:tc>
        <w:tc>
          <w:tcPr>
            <w:tcW w:w="1449" w:type="pct"/>
            <w:tcBorders>
              <w:top w:val="single" w:color="auto" w:sz="4" w:space="0"/>
              <w:left w:val="single" w:color="auto" w:sz="4" w:space="0"/>
              <w:bottom w:val="single" w:color="auto" w:sz="4" w:space="0"/>
              <w:right w:val="single" w:color="auto" w:sz="4" w:space="0"/>
            </w:tcBorders>
            <w:vAlign w:val="center"/>
          </w:tcPr>
          <w:p w14:paraId="68BB7858">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25664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9" w:type="pct"/>
            <w:vMerge w:val="continue"/>
            <w:tcBorders>
              <w:left w:val="single" w:color="auto" w:sz="4" w:space="0"/>
              <w:right w:val="single" w:color="auto" w:sz="4" w:space="0"/>
            </w:tcBorders>
            <w:vAlign w:val="center"/>
          </w:tcPr>
          <w:p w14:paraId="7EBFD156">
            <w:pPr>
              <w:pStyle w:val="22"/>
              <w:spacing w:line="288" w:lineRule="auto"/>
              <w:rPr>
                <w:rFonts w:hint="eastAsia" w:ascii="宋体" w:hAnsi="宋体" w:eastAsia="宋体" w:cs="宋体"/>
                <w:sz w:val="24"/>
                <w:szCs w:val="24"/>
              </w:rPr>
            </w:pPr>
          </w:p>
        </w:tc>
        <w:tc>
          <w:tcPr>
            <w:tcW w:w="1528" w:type="pct"/>
            <w:tcBorders>
              <w:top w:val="single" w:color="auto" w:sz="4" w:space="0"/>
              <w:left w:val="single" w:color="auto" w:sz="4" w:space="0"/>
              <w:bottom w:val="single" w:color="auto" w:sz="4" w:space="0"/>
              <w:right w:val="single" w:color="auto" w:sz="4" w:space="0"/>
            </w:tcBorders>
            <w:vAlign w:val="center"/>
          </w:tcPr>
          <w:p w14:paraId="1FCEDC49">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c）外部人员离场后应及时清除其所有的访问权限；</w:t>
            </w:r>
          </w:p>
        </w:tc>
        <w:tc>
          <w:tcPr>
            <w:tcW w:w="1413" w:type="pct"/>
            <w:tcBorders>
              <w:top w:val="single" w:color="auto" w:sz="4" w:space="0"/>
              <w:left w:val="single" w:color="auto" w:sz="4" w:space="0"/>
              <w:bottom w:val="single" w:color="auto" w:sz="4" w:space="0"/>
              <w:right w:val="single" w:color="auto" w:sz="4" w:space="0"/>
            </w:tcBorders>
            <w:vAlign w:val="center"/>
          </w:tcPr>
          <w:p w14:paraId="5DE5A2B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应提供外部人员访问本次建设系统的登记记录。</w:t>
            </w:r>
          </w:p>
        </w:tc>
        <w:tc>
          <w:tcPr>
            <w:tcW w:w="1449" w:type="pct"/>
            <w:tcBorders>
              <w:top w:val="single" w:color="auto" w:sz="4" w:space="0"/>
              <w:left w:val="single" w:color="auto" w:sz="4" w:space="0"/>
              <w:bottom w:val="single" w:color="auto" w:sz="4" w:space="0"/>
              <w:right w:val="single" w:color="auto" w:sz="4" w:space="0"/>
            </w:tcBorders>
            <w:vAlign w:val="center"/>
          </w:tcPr>
          <w:p w14:paraId="4DA09AF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0903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9" w:type="pct"/>
            <w:vMerge w:val="continue"/>
            <w:tcBorders>
              <w:left w:val="single" w:color="auto" w:sz="4" w:space="0"/>
              <w:bottom w:val="single" w:color="auto" w:sz="4" w:space="0"/>
              <w:right w:val="single" w:color="auto" w:sz="4" w:space="0"/>
            </w:tcBorders>
            <w:vAlign w:val="center"/>
          </w:tcPr>
          <w:p w14:paraId="5FDB9645">
            <w:pPr>
              <w:pStyle w:val="22"/>
              <w:spacing w:line="288" w:lineRule="auto"/>
              <w:rPr>
                <w:rFonts w:hint="eastAsia" w:ascii="宋体" w:hAnsi="宋体" w:eastAsia="宋体" w:cs="宋体"/>
                <w:sz w:val="24"/>
                <w:szCs w:val="24"/>
              </w:rPr>
            </w:pPr>
          </w:p>
        </w:tc>
        <w:tc>
          <w:tcPr>
            <w:tcW w:w="1528" w:type="pct"/>
            <w:tcBorders>
              <w:top w:val="single" w:color="auto" w:sz="4" w:space="0"/>
              <w:left w:val="single" w:color="auto" w:sz="4" w:space="0"/>
              <w:bottom w:val="single" w:color="auto" w:sz="4" w:space="0"/>
              <w:right w:val="single" w:color="auto" w:sz="4" w:space="0"/>
            </w:tcBorders>
            <w:vAlign w:val="center"/>
          </w:tcPr>
          <w:p w14:paraId="0620C92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d）获得系统访问授权的外部人员应签署保密协议，不得进行非授权操作，不得复制和泄露任何敏感信息。</w:t>
            </w:r>
          </w:p>
        </w:tc>
        <w:tc>
          <w:tcPr>
            <w:tcW w:w="1413" w:type="pct"/>
            <w:tcBorders>
              <w:top w:val="single" w:color="auto" w:sz="4" w:space="0"/>
              <w:left w:val="single" w:color="auto" w:sz="4" w:space="0"/>
              <w:bottom w:val="single" w:color="auto" w:sz="4" w:space="0"/>
              <w:right w:val="single" w:color="auto" w:sz="4" w:space="0"/>
            </w:tcBorders>
            <w:vAlign w:val="center"/>
          </w:tcPr>
          <w:p w14:paraId="32D0DEB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应提供外部人员访问保密协议。</w:t>
            </w:r>
          </w:p>
        </w:tc>
        <w:tc>
          <w:tcPr>
            <w:tcW w:w="1449" w:type="pct"/>
            <w:tcBorders>
              <w:top w:val="single" w:color="auto" w:sz="4" w:space="0"/>
              <w:left w:val="single" w:color="auto" w:sz="4" w:space="0"/>
              <w:bottom w:val="single" w:color="auto" w:sz="4" w:space="0"/>
              <w:right w:val="single" w:color="auto" w:sz="4" w:space="0"/>
            </w:tcBorders>
            <w:vAlign w:val="center"/>
          </w:tcPr>
          <w:p w14:paraId="11FBEEC4">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bl>
    <w:p w14:paraId="6848E540">
      <w:pPr>
        <w:pStyle w:val="11"/>
        <w:numPr>
          <w:ilvl w:val="4"/>
          <w:numId w:val="0"/>
        </w:numPr>
        <w:spacing w:line="288" w:lineRule="auto"/>
        <w:rPr>
          <w:rFonts w:hint="eastAsia" w:ascii="宋体" w:hAnsi="宋体" w:eastAsia="宋体" w:cs="宋体"/>
          <w:sz w:val="24"/>
        </w:rPr>
      </w:pPr>
      <w:r>
        <w:rPr>
          <w:rFonts w:hint="eastAsia" w:ascii="宋体" w:hAnsi="宋体" w:eastAsia="宋体" w:cs="宋体"/>
          <w:sz w:val="24"/>
        </w:rPr>
        <w:t>3.4.1.2.4安全建设管理需求</w:t>
      </w:r>
    </w:p>
    <w:p w14:paraId="4F8FBB0A">
      <w:pPr>
        <w:pStyle w:val="19"/>
        <w:spacing w:line="288" w:lineRule="auto"/>
        <w:ind w:firstLine="480"/>
        <w:rPr>
          <w:rFonts w:hint="eastAsia" w:ascii="宋体" w:hAnsi="宋体" w:eastAsia="宋体"/>
          <w:sz w:val="24"/>
        </w:rPr>
      </w:pPr>
      <w:r>
        <w:rPr>
          <w:rFonts w:hint="eastAsia" w:ascii="宋体" w:hAnsi="宋体" w:eastAsia="宋体"/>
          <w:sz w:val="24"/>
        </w:rPr>
        <w:t>应将本项目建设内容和范围纳入法院整体的安全建设管理中进行统一安全建设管理，本项目安全建设管理具体需求如下：</w:t>
      </w:r>
    </w:p>
    <w:p w14:paraId="580752F6">
      <w:pPr>
        <w:pStyle w:val="13"/>
        <w:spacing w:line="288" w:lineRule="auto"/>
        <w:rPr>
          <w:rFonts w:hint="eastAsia" w:ascii="宋体" w:hAnsi="宋体" w:eastAsia="宋体" w:cs="宋体"/>
          <w:sz w:val="24"/>
        </w:rPr>
      </w:pPr>
      <w:r>
        <w:rPr>
          <w:rFonts w:hint="eastAsia" w:ascii="宋体" w:hAnsi="宋体" w:eastAsia="宋体" w:cs="宋体"/>
          <w:sz w:val="24"/>
        </w:rPr>
        <w:t>安全建设管理需求分析表</w:t>
      </w:r>
    </w:p>
    <w:tbl>
      <w:tblPr>
        <w:tblStyle w:val="17"/>
        <w:tblW w:w="5036"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19"/>
        <w:gridCol w:w="2237"/>
        <w:gridCol w:w="2500"/>
        <w:gridCol w:w="2620"/>
      </w:tblGrid>
      <w:tr w14:paraId="487D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9" w:hRule="atLeast"/>
          <w:tblHeader/>
        </w:trPr>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14:paraId="2C068986">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控制点</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11D6B193">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通用要求</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74670A59">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差距与不足</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3004F025">
            <w:pPr>
              <w:pStyle w:val="21"/>
              <w:spacing w:line="288" w:lineRule="auto"/>
              <w:jc w:val="center"/>
              <w:rPr>
                <w:rFonts w:hint="eastAsia" w:ascii="宋体" w:hAnsi="宋体" w:cs="宋体"/>
                <w:b/>
                <w:snapToGrid w:val="0"/>
                <w:szCs w:val="24"/>
              </w:rPr>
            </w:pPr>
            <w:r>
              <w:rPr>
                <w:rFonts w:hint="eastAsia" w:ascii="宋体" w:hAnsi="宋体" w:cs="宋体"/>
                <w:b/>
                <w:snapToGrid w:val="0"/>
                <w:szCs w:val="24"/>
              </w:rPr>
              <w:t>需求分析</w:t>
            </w:r>
          </w:p>
        </w:tc>
      </w:tr>
      <w:tr w14:paraId="20BDC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14:paraId="11A4618F">
            <w:pPr>
              <w:pStyle w:val="22"/>
              <w:spacing w:line="288" w:lineRule="auto"/>
              <w:rPr>
                <w:rFonts w:hint="eastAsia" w:ascii="宋体" w:hAnsi="宋体" w:eastAsia="宋体" w:cs="宋体"/>
                <w:snapToGrid w:val="0"/>
                <w:sz w:val="24"/>
                <w:szCs w:val="24"/>
              </w:rPr>
            </w:pPr>
            <w:r>
              <w:rPr>
                <w:rFonts w:hint="eastAsia" w:ascii="宋体" w:hAnsi="宋体" w:eastAsia="宋体" w:cs="宋体"/>
                <w:snapToGrid w:val="0"/>
                <w:sz w:val="24"/>
                <w:szCs w:val="24"/>
              </w:rPr>
              <w:t>定级和备案</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6A3F7174">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b）应组织相关部门和有关安全技术专家对定级结果的合理性和正确性进行论证和审定；</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1EF06C6C">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应组织主管部门和安全技术专家对定级结果进行论证和审定。</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087C39B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AA4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restart"/>
            <w:tcBorders>
              <w:top w:val="single" w:color="auto" w:sz="4" w:space="0"/>
              <w:left w:val="single" w:color="auto" w:sz="4" w:space="0"/>
              <w:right w:val="single" w:color="auto" w:sz="4" w:space="0"/>
            </w:tcBorders>
            <w:shd w:val="clear" w:color="auto" w:fill="auto"/>
            <w:vAlign w:val="center"/>
          </w:tcPr>
          <w:p w14:paraId="2CC3F06A">
            <w:pPr>
              <w:pStyle w:val="22"/>
              <w:spacing w:line="288" w:lineRule="auto"/>
              <w:rPr>
                <w:rFonts w:hint="eastAsia" w:ascii="宋体" w:hAnsi="宋体" w:eastAsia="宋体" w:cs="宋体"/>
                <w:snapToGrid w:val="0"/>
                <w:sz w:val="24"/>
                <w:szCs w:val="24"/>
              </w:rPr>
            </w:pPr>
            <w:r>
              <w:rPr>
                <w:rFonts w:hint="eastAsia" w:ascii="宋体" w:hAnsi="宋体" w:eastAsia="宋体" w:cs="宋体"/>
                <w:snapToGrid w:val="0"/>
                <w:sz w:val="24"/>
                <w:szCs w:val="24"/>
              </w:rPr>
              <w:t>安全方案设计</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73EACE26">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b）应根据保护对象的安全保护等级及与其他级别保护对象的关系进行安全整体规划和安全方案设计，设计内容应包含密码技术相关内容，并形成配套文件；</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11F37820">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应提供总体规划和安全设计方案等配套文件。</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445421E4">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1EFF5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continue"/>
            <w:tcBorders>
              <w:left w:val="single" w:color="auto" w:sz="4" w:space="0"/>
              <w:bottom w:val="single" w:color="auto" w:sz="4" w:space="0"/>
              <w:right w:val="single" w:color="auto" w:sz="4" w:space="0"/>
            </w:tcBorders>
            <w:shd w:val="clear" w:color="auto" w:fill="auto"/>
            <w:vAlign w:val="center"/>
          </w:tcPr>
          <w:p w14:paraId="56EA728B">
            <w:pPr>
              <w:pStyle w:val="22"/>
              <w:spacing w:line="288" w:lineRule="auto"/>
              <w:rPr>
                <w:rFonts w:hint="eastAsia" w:ascii="宋体" w:hAnsi="宋体" w:eastAsia="宋体" w:cs="宋体"/>
                <w:snapToGrid w:val="0"/>
                <w:sz w:val="24"/>
                <w:szCs w:val="24"/>
              </w:rPr>
            </w:pP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7B391C4E">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c）应组织相关部门和有关安全专家对安全整体规划及其配套文件的合理性和正确性进行论证和审定，经过批准后才能正式实施。</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58FFC60F">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应提供相关部门和有关安全技术专家对总体安全规划、安全设计方案等相关配套文件的批准意见和论证意见。</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675E12AD">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FB1F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14:paraId="460EC75B">
            <w:pPr>
              <w:pStyle w:val="22"/>
              <w:spacing w:line="288" w:lineRule="auto"/>
              <w:rPr>
                <w:rFonts w:hint="eastAsia" w:ascii="宋体" w:hAnsi="宋体" w:eastAsia="宋体" w:cs="宋体"/>
                <w:snapToGrid w:val="0"/>
                <w:sz w:val="24"/>
                <w:szCs w:val="24"/>
              </w:rPr>
            </w:pPr>
            <w:r>
              <w:rPr>
                <w:rFonts w:hint="eastAsia" w:ascii="宋体" w:hAnsi="宋体" w:eastAsia="宋体" w:cs="宋体"/>
                <w:snapToGrid w:val="0"/>
                <w:sz w:val="24"/>
                <w:szCs w:val="24"/>
              </w:rPr>
              <w:t>产品采购和使用</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4002CEDE">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c）应预先对产品进行选型测试，确定产品的候选范围，并定期审定和更新候选产品名单。</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46C6E833">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应有产品选型测试记录和报告以及候选产品名单。</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57C6C64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B2A0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restart"/>
            <w:tcBorders>
              <w:top w:val="single" w:color="auto" w:sz="4" w:space="0"/>
              <w:left w:val="single" w:color="auto" w:sz="4" w:space="0"/>
              <w:right w:val="single" w:color="auto" w:sz="4" w:space="0"/>
            </w:tcBorders>
            <w:shd w:val="clear" w:color="auto" w:fill="auto"/>
            <w:vAlign w:val="center"/>
          </w:tcPr>
          <w:p w14:paraId="693548C9">
            <w:pPr>
              <w:pStyle w:val="22"/>
              <w:spacing w:line="288" w:lineRule="auto"/>
              <w:rPr>
                <w:rFonts w:hint="eastAsia" w:ascii="宋体" w:hAnsi="宋体" w:eastAsia="宋体" w:cs="宋体"/>
                <w:snapToGrid w:val="0"/>
                <w:sz w:val="24"/>
                <w:szCs w:val="24"/>
              </w:rPr>
            </w:pPr>
            <w:r>
              <w:rPr>
                <w:rFonts w:hint="eastAsia" w:ascii="宋体" w:hAnsi="宋体" w:eastAsia="宋体" w:cs="宋体"/>
                <w:snapToGrid w:val="0"/>
                <w:sz w:val="24"/>
                <w:szCs w:val="24"/>
              </w:rPr>
              <w:t>工程实施</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3C363B3C">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b）应制定安全工程实施方案控制工程实施过程；</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078B3C13">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应提供按照工程实施方案形成的阶段性工程报告文档。</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038C5F2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0807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continue"/>
            <w:tcBorders>
              <w:left w:val="single" w:color="auto" w:sz="4" w:space="0"/>
              <w:bottom w:val="single" w:color="auto" w:sz="4" w:space="0"/>
              <w:right w:val="single" w:color="auto" w:sz="4" w:space="0"/>
            </w:tcBorders>
            <w:shd w:val="clear" w:color="auto" w:fill="auto"/>
            <w:vAlign w:val="center"/>
          </w:tcPr>
          <w:p w14:paraId="5665C831">
            <w:pPr>
              <w:pStyle w:val="22"/>
              <w:spacing w:line="288" w:lineRule="auto"/>
              <w:rPr>
                <w:rFonts w:hint="eastAsia" w:ascii="宋体" w:hAnsi="宋体" w:eastAsia="宋体" w:cs="宋体"/>
                <w:snapToGrid w:val="0"/>
                <w:sz w:val="24"/>
                <w:szCs w:val="24"/>
              </w:rPr>
            </w:pP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19BDEFBF">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c）应通过第三方工程监理控制项目的实施过程。</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26A3341A">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应由第三方监理单位对工程实施进行管理。</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5E12886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723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restart"/>
            <w:tcBorders>
              <w:top w:val="single" w:color="auto" w:sz="4" w:space="0"/>
              <w:left w:val="single" w:color="auto" w:sz="4" w:space="0"/>
              <w:right w:val="single" w:color="auto" w:sz="4" w:space="0"/>
            </w:tcBorders>
            <w:shd w:val="clear" w:color="auto" w:fill="auto"/>
            <w:vAlign w:val="center"/>
          </w:tcPr>
          <w:p w14:paraId="10BC2772">
            <w:pPr>
              <w:pStyle w:val="22"/>
              <w:spacing w:line="288" w:lineRule="auto"/>
              <w:rPr>
                <w:rFonts w:hint="eastAsia" w:ascii="宋体" w:hAnsi="宋体" w:eastAsia="宋体" w:cs="宋体"/>
                <w:snapToGrid w:val="0"/>
                <w:sz w:val="24"/>
                <w:szCs w:val="24"/>
              </w:rPr>
            </w:pPr>
            <w:r>
              <w:rPr>
                <w:rFonts w:hint="eastAsia" w:ascii="宋体" w:hAnsi="宋体" w:eastAsia="宋体" w:cs="宋体"/>
                <w:snapToGrid w:val="0"/>
                <w:sz w:val="24"/>
                <w:szCs w:val="24"/>
              </w:rPr>
              <w:t>测试验收</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1D41FB3C">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a）应制订测试验收方案，并依据测试验收方案实施测验收，形成测试验收报告；</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074FF6D4">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应提供测试验收方案。</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21BCE82D">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4217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continue"/>
            <w:tcBorders>
              <w:left w:val="single" w:color="auto" w:sz="4" w:space="0"/>
              <w:bottom w:val="single" w:color="auto" w:sz="4" w:space="0"/>
              <w:right w:val="single" w:color="auto" w:sz="4" w:space="0"/>
            </w:tcBorders>
            <w:shd w:val="clear" w:color="auto" w:fill="auto"/>
            <w:vAlign w:val="center"/>
          </w:tcPr>
          <w:p w14:paraId="645F9A00">
            <w:pPr>
              <w:pStyle w:val="22"/>
              <w:spacing w:line="288" w:lineRule="auto"/>
              <w:rPr>
                <w:rFonts w:hint="eastAsia" w:ascii="宋体" w:hAnsi="宋体" w:eastAsia="宋体" w:cs="宋体"/>
                <w:snapToGrid w:val="0"/>
                <w:sz w:val="24"/>
                <w:szCs w:val="24"/>
              </w:rPr>
            </w:pP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42A3CBEA">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b）应进行上线前的安全性测试，并出具安全测试报告，安全测试报告应包含密码应用安全性测试相关内容。</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20D2A8A6">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应提供系统安全性测试报告。</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4C9CBD93">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0A274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restart"/>
            <w:tcBorders>
              <w:top w:val="single" w:color="auto" w:sz="4" w:space="0"/>
              <w:left w:val="single" w:color="auto" w:sz="4" w:space="0"/>
              <w:right w:val="single" w:color="auto" w:sz="4" w:space="0"/>
            </w:tcBorders>
            <w:shd w:val="clear" w:color="auto" w:fill="auto"/>
            <w:vAlign w:val="center"/>
          </w:tcPr>
          <w:p w14:paraId="04121199">
            <w:pPr>
              <w:pStyle w:val="22"/>
              <w:spacing w:line="288" w:lineRule="auto"/>
              <w:rPr>
                <w:rFonts w:hint="eastAsia" w:ascii="宋体" w:hAnsi="宋体" w:eastAsia="宋体" w:cs="宋体"/>
                <w:snapToGrid w:val="0"/>
                <w:sz w:val="24"/>
                <w:szCs w:val="24"/>
              </w:rPr>
            </w:pPr>
            <w:r>
              <w:rPr>
                <w:rFonts w:hint="eastAsia" w:ascii="宋体" w:hAnsi="宋体" w:eastAsia="宋体" w:cs="宋体"/>
                <w:snapToGrid w:val="0"/>
                <w:sz w:val="24"/>
                <w:szCs w:val="24"/>
              </w:rPr>
              <w:t>系统交付</w:t>
            </w: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4439D1F4">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a）应制定交付清单，并根据交付清单对所交接的设备、软件和文档等进行清点；</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79386065">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应制定系统交付清单，内容包括各类设备、系统软件以及相关文档等。</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02D6EBF8">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DA2D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continue"/>
            <w:tcBorders>
              <w:left w:val="single" w:color="auto" w:sz="4" w:space="0"/>
              <w:right w:val="single" w:color="auto" w:sz="4" w:space="0"/>
            </w:tcBorders>
            <w:shd w:val="clear" w:color="auto" w:fill="auto"/>
            <w:vAlign w:val="center"/>
          </w:tcPr>
          <w:p w14:paraId="1F7C3102">
            <w:pPr>
              <w:pStyle w:val="22"/>
              <w:spacing w:line="288" w:lineRule="auto"/>
              <w:rPr>
                <w:rFonts w:hint="eastAsia" w:ascii="宋体" w:hAnsi="宋体" w:eastAsia="宋体" w:cs="宋体"/>
                <w:snapToGrid w:val="0"/>
                <w:sz w:val="24"/>
                <w:szCs w:val="24"/>
              </w:rPr>
            </w:pP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7A70D4E8">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b）应对负责运行维护的技术人员进行相应的技能培训；</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55A4CC44">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应对负责系统运行维护的技术人员进行技能培训。未提供运维人员的培训记录，记录内容包括培训时间、培训地点、培训对象、培训内容，未包括培训参与人员签字。</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2E3D383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1207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08" w:type="pct"/>
            <w:vMerge w:val="continue"/>
            <w:tcBorders>
              <w:left w:val="single" w:color="auto" w:sz="4" w:space="0"/>
              <w:bottom w:val="single" w:color="auto" w:sz="4" w:space="0"/>
              <w:right w:val="single" w:color="auto" w:sz="4" w:space="0"/>
            </w:tcBorders>
            <w:shd w:val="clear" w:color="auto" w:fill="auto"/>
            <w:vAlign w:val="center"/>
          </w:tcPr>
          <w:p w14:paraId="6AEB0D34">
            <w:pPr>
              <w:pStyle w:val="22"/>
              <w:spacing w:line="288" w:lineRule="auto"/>
              <w:rPr>
                <w:rFonts w:hint="eastAsia" w:ascii="宋体" w:hAnsi="宋体" w:eastAsia="宋体" w:cs="宋体"/>
                <w:snapToGrid w:val="0"/>
                <w:sz w:val="24"/>
                <w:szCs w:val="24"/>
              </w:rPr>
            </w:pPr>
          </w:p>
        </w:tc>
        <w:tc>
          <w:tcPr>
            <w:tcW w:w="1335" w:type="pct"/>
            <w:tcBorders>
              <w:top w:val="single" w:color="auto" w:sz="4" w:space="0"/>
              <w:left w:val="single" w:color="auto" w:sz="4" w:space="0"/>
              <w:bottom w:val="single" w:color="auto" w:sz="4" w:space="0"/>
              <w:right w:val="single" w:color="auto" w:sz="4" w:space="0"/>
            </w:tcBorders>
            <w:shd w:val="clear" w:color="auto" w:fill="auto"/>
            <w:vAlign w:val="center"/>
          </w:tcPr>
          <w:p w14:paraId="5666843E">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c）应提供建设过程文档和运行维护文档。</w:t>
            </w:r>
          </w:p>
        </w:tc>
        <w:tc>
          <w:tcPr>
            <w:tcW w:w="1492" w:type="pct"/>
            <w:tcBorders>
              <w:top w:val="single" w:color="auto" w:sz="4" w:space="0"/>
              <w:left w:val="single" w:color="auto" w:sz="4" w:space="0"/>
              <w:bottom w:val="single" w:color="auto" w:sz="4" w:space="0"/>
              <w:right w:val="single" w:color="auto" w:sz="4" w:space="0"/>
            </w:tcBorders>
            <w:shd w:val="clear" w:color="auto" w:fill="auto"/>
            <w:vAlign w:val="center"/>
          </w:tcPr>
          <w:p w14:paraId="35EC1E35">
            <w:pPr>
              <w:pStyle w:val="22"/>
              <w:spacing w:line="288" w:lineRule="auto"/>
              <w:jc w:val="left"/>
              <w:rPr>
                <w:rFonts w:hint="eastAsia" w:ascii="宋体" w:hAnsi="宋体" w:eastAsia="宋体" w:cs="宋体"/>
                <w:snapToGrid w:val="0"/>
                <w:sz w:val="24"/>
                <w:szCs w:val="24"/>
              </w:rPr>
            </w:pPr>
            <w:r>
              <w:rPr>
                <w:rFonts w:hint="eastAsia" w:ascii="宋体" w:hAnsi="宋体" w:eastAsia="宋体" w:cs="宋体"/>
                <w:snapToGrid w:val="0"/>
                <w:sz w:val="24"/>
                <w:szCs w:val="24"/>
              </w:rPr>
              <w:t>应提供建设过程文档和运行维护文档移交记录。</w:t>
            </w:r>
          </w:p>
        </w:tc>
        <w:tc>
          <w:tcPr>
            <w:tcW w:w="1563" w:type="pct"/>
            <w:tcBorders>
              <w:top w:val="single" w:color="auto" w:sz="4" w:space="0"/>
              <w:left w:val="single" w:color="auto" w:sz="4" w:space="0"/>
              <w:bottom w:val="single" w:color="auto" w:sz="4" w:space="0"/>
              <w:right w:val="single" w:color="auto" w:sz="4" w:space="0"/>
            </w:tcBorders>
            <w:shd w:val="clear" w:color="auto" w:fill="auto"/>
            <w:vAlign w:val="center"/>
          </w:tcPr>
          <w:p w14:paraId="3E4FAF5F">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bl>
    <w:p w14:paraId="48B9CD3B">
      <w:pPr>
        <w:pStyle w:val="11"/>
        <w:numPr>
          <w:ilvl w:val="4"/>
          <w:numId w:val="0"/>
        </w:numPr>
        <w:spacing w:line="288" w:lineRule="auto"/>
        <w:rPr>
          <w:rFonts w:hint="eastAsia" w:ascii="宋体" w:hAnsi="宋体" w:eastAsia="宋体" w:cs="宋体"/>
          <w:sz w:val="24"/>
        </w:rPr>
      </w:pPr>
      <w:r>
        <w:rPr>
          <w:rFonts w:hint="eastAsia" w:ascii="宋体" w:hAnsi="宋体" w:eastAsia="宋体" w:cs="宋体"/>
          <w:sz w:val="24"/>
        </w:rPr>
        <w:t>3.4.1.2.5安全运维管理需求</w:t>
      </w:r>
    </w:p>
    <w:p w14:paraId="1B033C68">
      <w:pPr>
        <w:pStyle w:val="19"/>
        <w:spacing w:line="288" w:lineRule="auto"/>
        <w:ind w:firstLine="480"/>
        <w:rPr>
          <w:rFonts w:hint="eastAsia" w:ascii="宋体" w:hAnsi="宋体" w:eastAsia="宋体"/>
          <w:sz w:val="24"/>
        </w:rPr>
      </w:pPr>
      <w:r>
        <w:rPr>
          <w:rFonts w:hint="eastAsia" w:ascii="宋体" w:hAnsi="宋体" w:eastAsia="宋体"/>
          <w:sz w:val="24"/>
        </w:rPr>
        <w:t>应将本项目建设内容和范围纳入法院整体的安全运维管理中进行统一运维管理，本项目安全运维管理具体需求如下：</w:t>
      </w:r>
    </w:p>
    <w:p w14:paraId="663131CD">
      <w:pPr>
        <w:pStyle w:val="13"/>
        <w:spacing w:line="288" w:lineRule="auto"/>
        <w:rPr>
          <w:rFonts w:hint="eastAsia" w:ascii="宋体" w:hAnsi="宋体" w:eastAsia="宋体" w:cs="宋体"/>
          <w:sz w:val="24"/>
        </w:rPr>
      </w:pPr>
      <w:r>
        <w:rPr>
          <w:rFonts w:hint="eastAsia" w:ascii="宋体" w:hAnsi="宋体" w:eastAsia="宋体" w:cs="宋体"/>
          <w:sz w:val="24"/>
        </w:rPr>
        <w:t>安全运维管理需求分析表</w:t>
      </w:r>
    </w:p>
    <w:tbl>
      <w:tblPr>
        <w:tblStyle w:val="17"/>
        <w:tblW w:w="5012"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16"/>
        <w:gridCol w:w="2827"/>
        <w:gridCol w:w="1815"/>
        <w:gridCol w:w="2678"/>
      </w:tblGrid>
      <w:tr w14:paraId="7976A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blHeader/>
        </w:trPr>
        <w:tc>
          <w:tcPr>
            <w:tcW w:w="609" w:type="pct"/>
            <w:shd w:val="clear" w:color="auto" w:fill="auto"/>
            <w:vAlign w:val="center"/>
          </w:tcPr>
          <w:p w14:paraId="08508561">
            <w:pPr>
              <w:pStyle w:val="21"/>
              <w:spacing w:line="288" w:lineRule="auto"/>
              <w:jc w:val="center"/>
              <w:rPr>
                <w:rFonts w:hint="eastAsia" w:ascii="宋体" w:hAnsi="宋体" w:cs="宋体"/>
                <w:b/>
                <w:szCs w:val="24"/>
              </w:rPr>
            </w:pPr>
            <w:r>
              <w:rPr>
                <w:rFonts w:hint="eastAsia" w:ascii="宋体" w:hAnsi="宋体" w:cs="宋体"/>
                <w:b/>
                <w:szCs w:val="24"/>
              </w:rPr>
              <w:t>控制点</w:t>
            </w:r>
          </w:p>
        </w:tc>
        <w:tc>
          <w:tcPr>
            <w:tcW w:w="1695" w:type="pct"/>
            <w:shd w:val="clear" w:color="auto" w:fill="auto"/>
            <w:vAlign w:val="center"/>
          </w:tcPr>
          <w:p w14:paraId="1419900A">
            <w:pPr>
              <w:pStyle w:val="21"/>
              <w:spacing w:line="288" w:lineRule="auto"/>
              <w:jc w:val="center"/>
              <w:rPr>
                <w:rFonts w:hint="eastAsia" w:ascii="宋体" w:hAnsi="宋体" w:cs="宋体"/>
                <w:b/>
                <w:szCs w:val="24"/>
              </w:rPr>
            </w:pPr>
            <w:r>
              <w:rPr>
                <w:rFonts w:hint="eastAsia" w:ascii="宋体" w:hAnsi="宋体" w:cs="宋体"/>
                <w:b/>
                <w:szCs w:val="24"/>
              </w:rPr>
              <w:t>通用要求</w:t>
            </w:r>
          </w:p>
        </w:tc>
        <w:tc>
          <w:tcPr>
            <w:tcW w:w="1088" w:type="pct"/>
            <w:shd w:val="clear" w:color="auto" w:fill="auto"/>
            <w:vAlign w:val="center"/>
          </w:tcPr>
          <w:p w14:paraId="33B79325">
            <w:pPr>
              <w:pStyle w:val="21"/>
              <w:spacing w:line="288" w:lineRule="auto"/>
              <w:jc w:val="center"/>
              <w:rPr>
                <w:rFonts w:hint="eastAsia" w:ascii="宋体" w:hAnsi="宋体" w:cs="宋体"/>
                <w:b/>
                <w:szCs w:val="24"/>
              </w:rPr>
            </w:pPr>
            <w:r>
              <w:rPr>
                <w:rFonts w:hint="eastAsia" w:ascii="宋体" w:hAnsi="宋体" w:cs="宋体"/>
                <w:b/>
                <w:szCs w:val="24"/>
              </w:rPr>
              <w:t>差距与不足</w:t>
            </w:r>
          </w:p>
        </w:tc>
        <w:tc>
          <w:tcPr>
            <w:tcW w:w="1606" w:type="pct"/>
            <w:shd w:val="clear" w:color="auto" w:fill="auto"/>
            <w:vAlign w:val="center"/>
          </w:tcPr>
          <w:p w14:paraId="2494BF2C">
            <w:pPr>
              <w:pStyle w:val="21"/>
              <w:spacing w:line="288" w:lineRule="auto"/>
              <w:jc w:val="center"/>
              <w:rPr>
                <w:rFonts w:hint="eastAsia" w:ascii="宋体" w:hAnsi="宋体" w:cs="宋体"/>
                <w:b/>
                <w:szCs w:val="24"/>
              </w:rPr>
            </w:pPr>
            <w:r>
              <w:rPr>
                <w:rFonts w:hint="eastAsia" w:ascii="宋体" w:hAnsi="宋体" w:cs="宋体"/>
                <w:b/>
                <w:szCs w:val="24"/>
              </w:rPr>
              <w:t>需求分析</w:t>
            </w:r>
          </w:p>
        </w:tc>
      </w:tr>
      <w:tr w14:paraId="0926C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trPr>
        <w:tc>
          <w:tcPr>
            <w:tcW w:w="609" w:type="pct"/>
            <w:vMerge w:val="restart"/>
            <w:shd w:val="clear" w:color="auto" w:fill="auto"/>
            <w:vAlign w:val="center"/>
          </w:tcPr>
          <w:p w14:paraId="590FB68A">
            <w:pPr>
              <w:pStyle w:val="22"/>
              <w:spacing w:line="288" w:lineRule="auto"/>
              <w:rPr>
                <w:rFonts w:hint="eastAsia" w:ascii="宋体" w:hAnsi="宋体" w:eastAsia="宋体" w:cs="宋体"/>
                <w:sz w:val="24"/>
                <w:szCs w:val="24"/>
              </w:rPr>
            </w:pPr>
            <w:r>
              <w:rPr>
                <w:rFonts w:hint="eastAsia" w:ascii="宋体" w:hAnsi="宋体" w:eastAsia="宋体" w:cs="宋体"/>
                <w:sz w:val="24"/>
                <w:szCs w:val="24"/>
              </w:rPr>
              <w:t>介质管理</w:t>
            </w:r>
          </w:p>
        </w:tc>
        <w:tc>
          <w:tcPr>
            <w:tcW w:w="1695" w:type="pct"/>
            <w:shd w:val="clear" w:color="auto" w:fill="auto"/>
            <w:vAlign w:val="center"/>
          </w:tcPr>
          <w:p w14:paraId="4ADAA5AC">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a）应将介质存放在安全的环境中，对各类介质进行控制和保护，实行存储环境专人管理，并根据存档介质的目录清单定期盘点；</w:t>
            </w:r>
          </w:p>
        </w:tc>
        <w:tc>
          <w:tcPr>
            <w:tcW w:w="1088" w:type="pct"/>
            <w:shd w:val="clear" w:color="auto" w:fill="auto"/>
            <w:vAlign w:val="center"/>
          </w:tcPr>
          <w:p w14:paraId="411293A5">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提供对存档介质定期盘点的记录</w:t>
            </w:r>
            <w:r>
              <w:rPr>
                <w:rFonts w:hint="eastAsia" w:ascii="宋体" w:hAnsi="宋体" w:eastAsia="宋体" w:cs="宋体"/>
                <w:sz w:val="24"/>
                <w:szCs w:val="24"/>
              </w:rPr>
              <w:t>。</w:t>
            </w:r>
          </w:p>
        </w:tc>
        <w:tc>
          <w:tcPr>
            <w:tcW w:w="1606" w:type="pct"/>
            <w:shd w:val="clear" w:color="auto" w:fill="auto"/>
            <w:vAlign w:val="center"/>
          </w:tcPr>
          <w:p w14:paraId="00B70AD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0F6B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2EB9A082">
            <w:pPr>
              <w:pStyle w:val="22"/>
              <w:spacing w:line="288" w:lineRule="auto"/>
              <w:rPr>
                <w:rFonts w:hint="eastAsia" w:ascii="宋体" w:hAnsi="宋体" w:eastAsia="宋体" w:cs="宋体"/>
                <w:sz w:val="24"/>
                <w:szCs w:val="24"/>
              </w:rPr>
            </w:pPr>
          </w:p>
        </w:tc>
        <w:tc>
          <w:tcPr>
            <w:tcW w:w="1695" w:type="pct"/>
            <w:shd w:val="clear" w:color="auto" w:fill="auto"/>
            <w:vAlign w:val="center"/>
          </w:tcPr>
          <w:p w14:paraId="224F786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b）应对介质在物理传输过程中的人员选择、打包、交付等情况进行控制，并对介质的归档和查询等进行登记记录。</w:t>
            </w:r>
          </w:p>
        </w:tc>
        <w:tc>
          <w:tcPr>
            <w:tcW w:w="1088" w:type="pct"/>
            <w:shd w:val="clear" w:color="auto" w:fill="auto"/>
            <w:vAlign w:val="center"/>
          </w:tcPr>
          <w:p w14:paraId="5DCAC917">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提供介质管理制度和介质使用的登记管理记录</w:t>
            </w:r>
            <w:r>
              <w:rPr>
                <w:rFonts w:hint="eastAsia" w:ascii="宋体" w:hAnsi="宋体" w:eastAsia="宋体" w:cs="宋体"/>
                <w:sz w:val="24"/>
                <w:szCs w:val="24"/>
              </w:rPr>
              <w:t>。</w:t>
            </w:r>
          </w:p>
        </w:tc>
        <w:tc>
          <w:tcPr>
            <w:tcW w:w="1606" w:type="pct"/>
            <w:shd w:val="clear" w:color="auto" w:fill="auto"/>
            <w:vAlign w:val="center"/>
          </w:tcPr>
          <w:p w14:paraId="47916C5B">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6A58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restart"/>
            <w:shd w:val="clear" w:color="auto" w:fill="auto"/>
            <w:vAlign w:val="center"/>
          </w:tcPr>
          <w:p w14:paraId="04E0B891">
            <w:pPr>
              <w:pStyle w:val="22"/>
              <w:spacing w:line="288" w:lineRule="auto"/>
              <w:rPr>
                <w:rFonts w:hint="eastAsia" w:ascii="宋体" w:hAnsi="宋体" w:eastAsia="宋体" w:cs="宋体"/>
                <w:sz w:val="24"/>
                <w:szCs w:val="24"/>
              </w:rPr>
            </w:pPr>
            <w:r>
              <w:rPr>
                <w:rFonts w:hint="eastAsia" w:ascii="宋体" w:hAnsi="宋体" w:eastAsia="宋体" w:cs="宋体"/>
                <w:sz w:val="24"/>
                <w:szCs w:val="24"/>
              </w:rPr>
              <w:t>设备维护管理</w:t>
            </w:r>
          </w:p>
        </w:tc>
        <w:tc>
          <w:tcPr>
            <w:tcW w:w="1695" w:type="pct"/>
            <w:shd w:val="clear" w:color="auto" w:fill="auto"/>
            <w:vAlign w:val="center"/>
          </w:tcPr>
          <w:p w14:paraId="3C153E2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b）应建立配套设施、软硬件维护方面的管理制度，对其维护进行有效的管理，包括明确维护人员的责任、维修和服务的审批、维修过程的监督控制等；</w:t>
            </w:r>
          </w:p>
        </w:tc>
        <w:tc>
          <w:tcPr>
            <w:tcW w:w="1088" w:type="pct"/>
            <w:shd w:val="clear" w:color="auto" w:fill="auto"/>
            <w:vAlign w:val="center"/>
          </w:tcPr>
          <w:p w14:paraId="15FD85AE">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提供涉外维修和服务的审批、维修过程记录</w:t>
            </w:r>
            <w:r>
              <w:rPr>
                <w:rFonts w:hint="eastAsia" w:ascii="宋体" w:hAnsi="宋体" w:eastAsia="宋体" w:cs="宋体"/>
                <w:sz w:val="24"/>
                <w:szCs w:val="24"/>
              </w:rPr>
              <w:t>。</w:t>
            </w:r>
          </w:p>
        </w:tc>
        <w:tc>
          <w:tcPr>
            <w:tcW w:w="1606" w:type="pct"/>
            <w:shd w:val="clear" w:color="auto" w:fill="auto"/>
            <w:vAlign w:val="center"/>
          </w:tcPr>
          <w:p w14:paraId="39FE2A3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06A10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7812410D">
            <w:pPr>
              <w:pStyle w:val="22"/>
              <w:spacing w:line="288" w:lineRule="auto"/>
              <w:rPr>
                <w:rFonts w:hint="eastAsia" w:ascii="宋体" w:hAnsi="宋体" w:eastAsia="宋体" w:cs="宋体"/>
                <w:sz w:val="24"/>
                <w:szCs w:val="24"/>
              </w:rPr>
            </w:pPr>
          </w:p>
        </w:tc>
        <w:tc>
          <w:tcPr>
            <w:tcW w:w="1695" w:type="pct"/>
            <w:shd w:val="clear" w:color="auto" w:fill="auto"/>
            <w:vAlign w:val="center"/>
          </w:tcPr>
          <w:p w14:paraId="6F56941E">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c）信息处理设备应经过审批才能带离机房或办公地点，含有存储介质的设备带出工作环境时其中重要数据应加密；</w:t>
            </w:r>
          </w:p>
        </w:tc>
        <w:tc>
          <w:tcPr>
            <w:tcW w:w="1088" w:type="pct"/>
            <w:shd w:val="clear" w:color="auto" w:fill="auto"/>
            <w:vAlign w:val="center"/>
          </w:tcPr>
          <w:p w14:paraId="677D419A">
            <w:pPr>
              <w:pStyle w:val="22"/>
              <w:spacing w:line="288" w:lineRule="auto"/>
              <w:jc w:val="left"/>
              <w:rPr>
                <w:rFonts w:hint="eastAsia" w:ascii="宋体" w:hAnsi="宋体" w:eastAsia="宋体" w:cs="宋体"/>
                <w:sz w:val="24"/>
                <w:szCs w:val="24"/>
              </w:rPr>
            </w:pPr>
            <w:r>
              <w:rPr>
                <w:rFonts w:hint="eastAsia" w:ascii="宋体" w:hAnsi="宋体" w:eastAsia="宋体" w:cs="宋体"/>
                <w:color w:val="000000"/>
                <w:sz w:val="24"/>
                <w:szCs w:val="24"/>
              </w:rPr>
              <w:t>设备未经授权带离机房</w:t>
            </w:r>
            <w:r>
              <w:rPr>
                <w:rFonts w:hint="eastAsia" w:ascii="宋体" w:hAnsi="宋体" w:eastAsia="宋体" w:cs="宋体"/>
                <w:sz w:val="24"/>
                <w:szCs w:val="24"/>
              </w:rPr>
              <w:t>。</w:t>
            </w:r>
          </w:p>
        </w:tc>
        <w:tc>
          <w:tcPr>
            <w:tcW w:w="1606" w:type="pct"/>
            <w:shd w:val="clear" w:color="auto" w:fill="auto"/>
            <w:vAlign w:val="center"/>
          </w:tcPr>
          <w:p w14:paraId="4B4A90C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53C6F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restart"/>
            <w:shd w:val="clear" w:color="auto" w:fill="auto"/>
            <w:vAlign w:val="center"/>
          </w:tcPr>
          <w:p w14:paraId="6ACA00F1">
            <w:pPr>
              <w:pStyle w:val="22"/>
              <w:spacing w:line="288" w:lineRule="auto"/>
              <w:rPr>
                <w:rFonts w:hint="eastAsia" w:ascii="宋体" w:hAnsi="宋体" w:eastAsia="宋体" w:cs="宋体"/>
                <w:sz w:val="24"/>
                <w:szCs w:val="24"/>
              </w:rPr>
            </w:pPr>
            <w:r>
              <w:rPr>
                <w:rFonts w:hint="eastAsia" w:ascii="宋体" w:hAnsi="宋体" w:eastAsia="宋体" w:cs="宋体"/>
                <w:color w:val="000000"/>
                <w:sz w:val="24"/>
                <w:szCs w:val="24"/>
              </w:rPr>
              <w:t>漏洞和风险管理</w:t>
            </w:r>
          </w:p>
        </w:tc>
        <w:tc>
          <w:tcPr>
            <w:tcW w:w="1695" w:type="pct"/>
            <w:shd w:val="clear" w:color="auto" w:fill="auto"/>
            <w:vAlign w:val="center"/>
          </w:tcPr>
          <w:p w14:paraId="629309BF">
            <w:pPr>
              <w:pStyle w:val="22"/>
              <w:spacing w:line="288" w:lineRule="auto"/>
              <w:jc w:val="left"/>
              <w:rPr>
                <w:rFonts w:hint="eastAsia" w:ascii="宋体" w:hAnsi="宋体" w:eastAsia="宋体" w:cs="宋体"/>
                <w:sz w:val="24"/>
                <w:szCs w:val="24"/>
              </w:rPr>
            </w:pPr>
            <w:r>
              <w:rPr>
                <w:rFonts w:hint="eastAsia" w:ascii="宋体" w:hAnsi="宋体" w:eastAsia="宋体" w:cs="宋体"/>
                <w:color w:val="000000"/>
                <w:sz w:val="24"/>
                <w:szCs w:val="24"/>
              </w:rPr>
              <w:t>a）应采取必要的措施识别安全漏洞和隐患，对发现的安全漏洞和隐患及时进行修补或评估可能的影响后进行修补；</w:t>
            </w:r>
          </w:p>
        </w:tc>
        <w:tc>
          <w:tcPr>
            <w:tcW w:w="1088" w:type="pct"/>
            <w:shd w:val="clear" w:color="auto" w:fill="auto"/>
            <w:vAlign w:val="center"/>
          </w:tcPr>
          <w:p w14:paraId="3DE9C951">
            <w:pPr>
              <w:pStyle w:val="22"/>
              <w:spacing w:line="288"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缺乏识别安全漏洞和隐患的措施。</w:t>
            </w:r>
          </w:p>
        </w:tc>
        <w:tc>
          <w:tcPr>
            <w:tcW w:w="1606" w:type="pct"/>
            <w:shd w:val="clear" w:color="auto" w:fill="auto"/>
            <w:vAlign w:val="center"/>
          </w:tcPr>
          <w:p w14:paraId="4CDCF59A">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5BE0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1247A0BF">
            <w:pPr>
              <w:pStyle w:val="22"/>
              <w:spacing w:line="288" w:lineRule="auto"/>
              <w:rPr>
                <w:rFonts w:hint="eastAsia" w:ascii="宋体" w:hAnsi="宋体" w:eastAsia="宋体" w:cs="宋体"/>
                <w:sz w:val="24"/>
                <w:szCs w:val="24"/>
              </w:rPr>
            </w:pPr>
          </w:p>
        </w:tc>
        <w:tc>
          <w:tcPr>
            <w:tcW w:w="1695" w:type="pct"/>
            <w:shd w:val="clear" w:color="auto" w:fill="auto"/>
            <w:vAlign w:val="center"/>
          </w:tcPr>
          <w:p w14:paraId="60EE74A9">
            <w:pPr>
              <w:pStyle w:val="22"/>
              <w:spacing w:line="288" w:lineRule="auto"/>
              <w:jc w:val="left"/>
              <w:rPr>
                <w:rFonts w:hint="eastAsia" w:ascii="宋体" w:hAnsi="宋体" w:eastAsia="宋体" w:cs="宋体"/>
                <w:sz w:val="24"/>
                <w:szCs w:val="24"/>
              </w:rPr>
            </w:pPr>
            <w:r>
              <w:rPr>
                <w:rFonts w:hint="eastAsia" w:ascii="宋体" w:hAnsi="宋体" w:eastAsia="宋体" w:cs="宋体"/>
                <w:color w:val="000000"/>
                <w:sz w:val="24"/>
                <w:szCs w:val="24"/>
              </w:rPr>
              <w:t>b）应定期开展安全测评，形成安全测评报告，采取措施应对发现的安全问题。</w:t>
            </w:r>
          </w:p>
        </w:tc>
        <w:tc>
          <w:tcPr>
            <w:tcW w:w="1088" w:type="pct"/>
            <w:shd w:val="clear" w:color="auto" w:fill="auto"/>
            <w:vAlign w:val="center"/>
          </w:tcPr>
          <w:p w14:paraId="36FE56DB">
            <w:pPr>
              <w:pStyle w:val="22"/>
              <w:spacing w:line="288" w:lineRule="auto"/>
              <w:jc w:val="left"/>
              <w:rPr>
                <w:rFonts w:hint="eastAsia" w:ascii="宋体" w:hAnsi="宋体" w:eastAsia="宋体" w:cs="宋体"/>
                <w:color w:val="000000"/>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定期开展安全测评。</w:t>
            </w:r>
          </w:p>
        </w:tc>
        <w:tc>
          <w:tcPr>
            <w:tcW w:w="1606" w:type="pct"/>
            <w:shd w:val="clear" w:color="auto" w:fill="auto"/>
            <w:vAlign w:val="center"/>
          </w:tcPr>
          <w:p w14:paraId="5656D2C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0F76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restart"/>
            <w:shd w:val="clear" w:color="auto" w:fill="auto"/>
            <w:vAlign w:val="center"/>
          </w:tcPr>
          <w:p w14:paraId="546B30FB">
            <w:pPr>
              <w:pStyle w:val="22"/>
              <w:spacing w:line="288" w:lineRule="auto"/>
              <w:rPr>
                <w:rFonts w:hint="eastAsia" w:ascii="宋体" w:hAnsi="宋体" w:eastAsia="宋体" w:cs="宋体"/>
                <w:sz w:val="24"/>
                <w:szCs w:val="24"/>
              </w:rPr>
            </w:pPr>
            <w:r>
              <w:rPr>
                <w:rFonts w:hint="eastAsia" w:ascii="宋体" w:hAnsi="宋体" w:eastAsia="宋体" w:cs="宋体"/>
                <w:spacing w:val="-6"/>
                <w:sz w:val="24"/>
                <w:szCs w:val="24"/>
              </w:rPr>
              <w:t>网络和系统安</w:t>
            </w:r>
            <w:r>
              <w:rPr>
                <w:rFonts w:hint="eastAsia" w:ascii="宋体" w:hAnsi="宋体" w:eastAsia="宋体" w:cs="宋体"/>
                <w:spacing w:val="-2"/>
                <w:sz w:val="24"/>
                <w:szCs w:val="24"/>
              </w:rPr>
              <w:t>全管理</w:t>
            </w:r>
          </w:p>
        </w:tc>
        <w:tc>
          <w:tcPr>
            <w:tcW w:w="1695" w:type="pct"/>
            <w:shd w:val="clear" w:color="auto" w:fill="auto"/>
            <w:vAlign w:val="center"/>
          </w:tcPr>
          <w:p w14:paraId="2F42DD5C">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c）应建立网络和系统安全管理制度，对安全策略、账户管理、配置管理、日志管理、日常操作、升级与打补丁、口令更新周期等方面做出规定；</w:t>
            </w:r>
          </w:p>
        </w:tc>
        <w:tc>
          <w:tcPr>
            <w:tcW w:w="1088" w:type="pct"/>
            <w:shd w:val="clear" w:color="auto" w:fill="auto"/>
            <w:vAlign w:val="center"/>
          </w:tcPr>
          <w:p w14:paraId="3332D389">
            <w:pPr>
              <w:pStyle w:val="22"/>
              <w:spacing w:line="288" w:lineRule="auto"/>
              <w:jc w:val="left"/>
              <w:rPr>
                <w:rFonts w:hint="eastAsia" w:ascii="宋体" w:hAnsi="宋体" w:eastAsia="宋体" w:cs="宋体"/>
                <w:sz w:val="24"/>
                <w:szCs w:val="24"/>
              </w:rPr>
            </w:pPr>
            <w:r>
              <w:rPr>
                <w:rFonts w:hint="eastAsia" w:ascii="宋体" w:hAnsi="宋体" w:eastAsia="宋体" w:cs="宋体"/>
                <w:color w:val="000000"/>
                <w:sz w:val="24"/>
                <w:szCs w:val="24"/>
              </w:rPr>
              <w:t>网络和系统安全管理制度应涵盖安全策略、账户管理、配置管理、日志管理、日常操作、升级与打补丁、口令更新周期等方面规定内容</w:t>
            </w:r>
            <w:r>
              <w:rPr>
                <w:rFonts w:hint="eastAsia" w:ascii="宋体" w:hAnsi="宋体" w:eastAsia="宋体" w:cs="宋体"/>
                <w:sz w:val="24"/>
                <w:szCs w:val="24"/>
              </w:rPr>
              <w:t>。</w:t>
            </w:r>
          </w:p>
        </w:tc>
        <w:tc>
          <w:tcPr>
            <w:tcW w:w="1606" w:type="pct"/>
            <w:shd w:val="clear" w:color="auto" w:fill="auto"/>
            <w:vAlign w:val="center"/>
          </w:tcPr>
          <w:p w14:paraId="3FEA02B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5E515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3D99CDFF">
            <w:pPr>
              <w:pStyle w:val="22"/>
              <w:spacing w:line="288" w:lineRule="auto"/>
              <w:rPr>
                <w:rFonts w:hint="eastAsia" w:ascii="宋体" w:hAnsi="宋体" w:eastAsia="宋体" w:cs="宋体"/>
                <w:spacing w:val="-6"/>
                <w:sz w:val="24"/>
                <w:szCs w:val="24"/>
              </w:rPr>
            </w:pPr>
          </w:p>
        </w:tc>
        <w:tc>
          <w:tcPr>
            <w:tcW w:w="1695" w:type="pct"/>
            <w:shd w:val="clear" w:color="auto" w:fill="auto"/>
            <w:vAlign w:val="center"/>
          </w:tcPr>
          <w:p w14:paraId="508086A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d）应制定重要设备的配置和操作手册，依据手册对设备进行安全配置和优化配置等；</w:t>
            </w:r>
          </w:p>
        </w:tc>
        <w:tc>
          <w:tcPr>
            <w:tcW w:w="1088" w:type="pct"/>
            <w:shd w:val="clear" w:color="auto" w:fill="auto"/>
            <w:vAlign w:val="center"/>
          </w:tcPr>
          <w:p w14:paraId="6DB9A3E7">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提供重要设备的配置和操作手册</w:t>
            </w:r>
            <w:r>
              <w:rPr>
                <w:rFonts w:hint="eastAsia" w:ascii="宋体" w:hAnsi="宋体" w:eastAsia="宋体" w:cs="宋体"/>
                <w:sz w:val="24"/>
                <w:szCs w:val="24"/>
              </w:rPr>
              <w:t>。</w:t>
            </w:r>
          </w:p>
        </w:tc>
        <w:tc>
          <w:tcPr>
            <w:tcW w:w="1606" w:type="pct"/>
            <w:shd w:val="clear" w:color="auto" w:fill="auto"/>
            <w:vAlign w:val="center"/>
          </w:tcPr>
          <w:p w14:paraId="05D1D7D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2D2C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70F78925">
            <w:pPr>
              <w:pStyle w:val="22"/>
              <w:spacing w:line="288" w:lineRule="auto"/>
              <w:rPr>
                <w:rFonts w:hint="eastAsia" w:ascii="宋体" w:hAnsi="宋体" w:eastAsia="宋体" w:cs="宋体"/>
                <w:spacing w:val="-6"/>
                <w:sz w:val="24"/>
                <w:szCs w:val="24"/>
              </w:rPr>
            </w:pPr>
          </w:p>
        </w:tc>
        <w:tc>
          <w:tcPr>
            <w:tcW w:w="1695" w:type="pct"/>
            <w:shd w:val="clear" w:color="auto" w:fill="auto"/>
            <w:vAlign w:val="center"/>
          </w:tcPr>
          <w:p w14:paraId="63554E6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e）应详细记录运维操作日志，包括日常巡检工作、运行维护记录、参数的设置和修改等内容；</w:t>
            </w:r>
          </w:p>
        </w:tc>
        <w:tc>
          <w:tcPr>
            <w:tcW w:w="1088" w:type="pct"/>
            <w:shd w:val="clear" w:color="auto" w:fill="auto"/>
            <w:vAlign w:val="center"/>
          </w:tcPr>
          <w:p w14:paraId="5AAD5F91">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详细记录运维操作日志。</w:t>
            </w:r>
          </w:p>
        </w:tc>
        <w:tc>
          <w:tcPr>
            <w:tcW w:w="1606" w:type="pct"/>
            <w:shd w:val="clear" w:color="auto" w:fill="auto"/>
            <w:vAlign w:val="center"/>
          </w:tcPr>
          <w:p w14:paraId="48382693">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不在法院整体网络安全建设中考虑：购买安全管理制度完善服务，由服务方进行优化修改</w:t>
            </w:r>
          </w:p>
        </w:tc>
      </w:tr>
      <w:tr w14:paraId="57477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28009B8A">
            <w:pPr>
              <w:pStyle w:val="22"/>
              <w:spacing w:line="288" w:lineRule="auto"/>
              <w:rPr>
                <w:rFonts w:hint="eastAsia" w:ascii="宋体" w:hAnsi="宋体" w:eastAsia="宋体" w:cs="宋体"/>
                <w:spacing w:val="-6"/>
                <w:sz w:val="24"/>
                <w:szCs w:val="24"/>
              </w:rPr>
            </w:pPr>
          </w:p>
        </w:tc>
        <w:tc>
          <w:tcPr>
            <w:tcW w:w="1695" w:type="pct"/>
            <w:shd w:val="clear" w:color="auto" w:fill="auto"/>
            <w:vAlign w:val="center"/>
          </w:tcPr>
          <w:p w14:paraId="3A5BC9EF">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f）应指定专门的部门或人员对日志、监测和报警数据等进行分析、统计，及时发现可疑行为；</w:t>
            </w:r>
          </w:p>
        </w:tc>
        <w:tc>
          <w:tcPr>
            <w:tcW w:w="1088" w:type="pct"/>
            <w:shd w:val="clear" w:color="auto" w:fill="auto"/>
            <w:vAlign w:val="center"/>
          </w:tcPr>
          <w:p w14:paraId="6E5EB6A1">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提供日志、监测、报警等分析统计报告</w:t>
            </w:r>
            <w:r>
              <w:rPr>
                <w:rFonts w:hint="eastAsia" w:ascii="宋体" w:hAnsi="宋体" w:eastAsia="宋体" w:cs="宋体"/>
                <w:sz w:val="24"/>
                <w:szCs w:val="24"/>
              </w:rPr>
              <w:t>。</w:t>
            </w:r>
          </w:p>
        </w:tc>
        <w:tc>
          <w:tcPr>
            <w:tcW w:w="1606" w:type="pct"/>
            <w:shd w:val="clear" w:color="auto" w:fill="auto"/>
            <w:vAlign w:val="center"/>
          </w:tcPr>
          <w:p w14:paraId="4291326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2A48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6B1D7CA5">
            <w:pPr>
              <w:pStyle w:val="22"/>
              <w:spacing w:line="288" w:lineRule="auto"/>
              <w:rPr>
                <w:rFonts w:hint="eastAsia" w:ascii="宋体" w:hAnsi="宋体" w:eastAsia="宋体" w:cs="宋体"/>
                <w:spacing w:val="-6"/>
                <w:sz w:val="24"/>
                <w:szCs w:val="24"/>
              </w:rPr>
            </w:pPr>
          </w:p>
        </w:tc>
        <w:tc>
          <w:tcPr>
            <w:tcW w:w="1695" w:type="pct"/>
            <w:shd w:val="clear" w:color="auto" w:fill="auto"/>
            <w:vAlign w:val="center"/>
          </w:tcPr>
          <w:p w14:paraId="6543C5B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g）应严格控制变更性运维，经过审批后才可改变连接、安装系统组件或调整配置参数，操作过程中应保留不可更改的审计日志，操作结束后应同步更新配置信息库；</w:t>
            </w:r>
          </w:p>
        </w:tc>
        <w:tc>
          <w:tcPr>
            <w:tcW w:w="1088" w:type="pct"/>
            <w:shd w:val="clear" w:color="auto" w:fill="auto"/>
            <w:vAlign w:val="center"/>
          </w:tcPr>
          <w:p w14:paraId="74040BF6">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提供变更管理制度、运维过程中的变更操作审批记录以及运维操作过程中不可更改的审计日志</w:t>
            </w:r>
            <w:r>
              <w:rPr>
                <w:rFonts w:hint="eastAsia" w:ascii="宋体" w:hAnsi="宋体" w:eastAsia="宋体" w:cs="宋体"/>
                <w:sz w:val="24"/>
                <w:szCs w:val="24"/>
              </w:rPr>
              <w:t>。</w:t>
            </w:r>
          </w:p>
        </w:tc>
        <w:tc>
          <w:tcPr>
            <w:tcW w:w="1606" w:type="pct"/>
            <w:shd w:val="clear" w:color="auto" w:fill="auto"/>
            <w:vAlign w:val="center"/>
          </w:tcPr>
          <w:p w14:paraId="5A4BD573">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398E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3C0939E5">
            <w:pPr>
              <w:pStyle w:val="22"/>
              <w:spacing w:line="288" w:lineRule="auto"/>
              <w:rPr>
                <w:rFonts w:hint="eastAsia" w:ascii="宋体" w:hAnsi="宋体" w:eastAsia="宋体" w:cs="宋体"/>
                <w:sz w:val="24"/>
                <w:szCs w:val="24"/>
              </w:rPr>
            </w:pPr>
          </w:p>
        </w:tc>
        <w:tc>
          <w:tcPr>
            <w:tcW w:w="1695" w:type="pct"/>
            <w:shd w:val="clear" w:color="auto" w:fill="auto"/>
            <w:vAlign w:val="center"/>
          </w:tcPr>
          <w:p w14:paraId="48FED73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h）应严格控制运维工具的使用，经过审批后才可接入进行操作，操作过程中应保留不可更改的审计日志，操作结束后应删除工具中的敏感数据；</w:t>
            </w:r>
          </w:p>
        </w:tc>
        <w:tc>
          <w:tcPr>
            <w:tcW w:w="1088" w:type="pct"/>
            <w:shd w:val="clear" w:color="auto" w:fill="auto"/>
            <w:vAlign w:val="center"/>
          </w:tcPr>
          <w:p w14:paraId="739233D6">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提供运维工具的接入管理规定和运维工具接入后操作过程中不可更改的审计日志</w:t>
            </w:r>
            <w:r>
              <w:rPr>
                <w:rFonts w:hint="eastAsia" w:ascii="宋体" w:hAnsi="宋体" w:eastAsia="宋体" w:cs="宋体"/>
                <w:sz w:val="24"/>
                <w:szCs w:val="24"/>
              </w:rPr>
              <w:t>。</w:t>
            </w:r>
          </w:p>
        </w:tc>
        <w:tc>
          <w:tcPr>
            <w:tcW w:w="1606" w:type="pct"/>
            <w:shd w:val="clear" w:color="auto" w:fill="auto"/>
            <w:vAlign w:val="center"/>
          </w:tcPr>
          <w:p w14:paraId="4ADB8C0E">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A020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7B6C078E">
            <w:pPr>
              <w:pStyle w:val="22"/>
              <w:spacing w:line="288" w:lineRule="auto"/>
              <w:rPr>
                <w:rFonts w:hint="eastAsia" w:ascii="宋体" w:hAnsi="宋体" w:eastAsia="宋体" w:cs="宋体"/>
                <w:sz w:val="24"/>
                <w:szCs w:val="24"/>
              </w:rPr>
            </w:pPr>
          </w:p>
        </w:tc>
        <w:tc>
          <w:tcPr>
            <w:tcW w:w="1695" w:type="pct"/>
            <w:shd w:val="clear" w:color="auto" w:fill="auto"/>
            <w:vAlign w:val="center"/>
          </w:tcPr>
          <w:p w14:paraId="7A6ACF5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i）应严格控制远程运维的开通，经过审批后才可开通远程运维接口或通道，操作过程中应保留不可更改的审计日志，操作结束后立即关闭接口或通道；</w:t>
            </w:r>
          </w:p>
        </w:tc>
        <w:tc>
          <w:tcPr>
            <w:tcW w:w="1088" w:type="pct"/>
            <w:shd w:val="clear" w:color="auto" w:fill="auto"/>
            <w:vAlign w:val="center"/>
          </w:tcPr>
          <w:p w14:paraId="6EA12713">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应有</w:t>
            </w:r>
            <w:r>
              <w:rPr>
                <w:rFonts w:hint="eastAsia" w:ascii="宋体" w:hAnsi="宋体" w:eastAsia="宋体" w:cs="宋体"/>
                <w:color w:val="000000"/>
                <w:sz w:val="24"/>
                <w:szCs w:val="24"/>
              </w:rPr>
              <w:t>远程运维的管理规定，未提供远程运维的管理规定和相关申请审批记录</w:t>
            </w:r>
            <w:r>
              <w:rPr>
                <w:rFonts w:hint="eastAsia" w:ascii="宋体" w:hAnsi="宋体" w:eastAsia="宋体" w:cs="宋体"/>
                <w:sz w:val="24"/>
                <w:szCs w:val="24"/>
              </w:rPr>
              <w:t>。</w:t>
            </w:r>
          </w:p>
        </w:tc>
        <w:tc>
          <w:tcPr>
            <w:tcW w:w="1606" w:type="pct"/>
            <w:shd w:val="clear" w:color="auto" w:fill="auto"/>
            <w:vAlign w:val="center"/>
          </w:tcPr>
          <w:p w14:paraId="37650874">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76D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7B489299">
            <w:pPr>
              <w:pStyle w:val="22"/>
              <w:spacing w:line="288" w:lineRule="auto"/>
              <w:rPr>
                <w:rFonts w:hint="eastAsia" w:ascii="宋体" w:hAnsi="宋体" w:eastAsia="宋体" w:cs="宋体"/>
                <w:sz w:val="24"/>
                <w:szCs w:val="24"/>
              </w:rPr>
            </w:pPr>
          </w:p>
        </w:tc>
        <w:tc>
          <w:tcPr>
            <w:tcW w:w="1695" w:type="pct"/>
            <w:shd w:val="clear" w:color="auto" w:fill="auto"/>
            <w:vAlign w:val="center"/>
          </w:tcPr>
          <w:p w14:paraId="2A2CFDC8">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j）应保证所有与外部的连接均得到授权和批准，应定期检查违反规定无线上网及其他违反网络安全策略的行为。</w:t>
            </w:r>
          </w:p>
        </w:tc>
        <w:tc>
          <w:tcPr>
            <w:tcW w:w="1088" w:type="pct"/>
            <w:shd w:val="clear" w:color="auto" w:fill="auto"/>
            <w:vAlign w:val="center"/>
          </w:tcPr>
          <w:p w14:paraId="1B10A16C">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对系统外部连接进行有效管理</w:t>
            </w:r>
            <w:r>
              <w:rPr>
                <w:rFonts w:hint="eastAsia" w:ascii="宋体" w:hAnsi="宋体" w:eastAsia="宋体" w:cs="宋体"/>
                <w:sz w:val="24"/>
                <w:szCs w:val="24"/>
              </w:rPr>
              <w:t>。</w:t>
            </w:r>
          </w:p>
        </w:tc>
        <w:tc>
          <w:tcPr>
            <w:tcW w:w="1606" w:type="pct"/>
            <w:shd w:val="clear" w:color="auto" w:fill="auto"/>
            <w:vAlign w:val="center"/>
          </w:tcPr>
          <w:p w14:paraId="680D75D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7A31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6" w:hRule="atLeast"/>
        </w:trPr>
        <w:tc>
          <w:tcPr>
            <w:tcW w:w="609" w:type="pct"/>
            <w:vMerge w:val="restart"/>
            <w:shd w:val="clear" w:color="auto" w:fill="auto"/>
            <w:vAlign w:val="center"/>
          </w:tcPr>
          <w:p w14:paraId="71EC1684">
            <w:pPr>
              <w:pStyle w:val="22"/>
              <w:spacing w:line="288" w:lineRule="auto"/>
              <w:rPr>
                <w:rFonts w:hint="eastAsia" w:ascii="宋体" w:hAnsi="宋体" w:eastAsia="宋体" w:cs="宋体"/>
                <w:sz w:val="24"/>
                <w:szCs w:val="24"/>
              </w:rPr>
            </w:pPr>
            <w:r>
              <w:rPr>
                <w:rFonts w:hint="eastAsia" w:ascii="宋体" w:hAnsi="宋体" w:eastAsia="宋体" w:cs="宋体"/>
                <w:sz w:val="24"/>
                <w:szCs w:val="24"/>
              </w:rPr>
              <w:t>恶意代码防范管理</w:t>
            </w:r>
          </w:p>
        </w:tc>
        <w:tc>
          <w:tcPr>
            <w:tcW w:w="1695" w:type="pct"/>
            <w:shd w:val="clear" w:color="auto" w:fill="auto"/>
            <w:vAlign w:val="center"/>
          </w:tcPr>
          <w:p w14:paraId="0928B5F9">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a）应提高所有用户的防恶意代码意识，对外来计算机或存储设备接入系统前进行恶意代码检查等；</w:t>
            </w:r>
          </w:p>
        </w:tc>
        <w:tc>
          <w:tcPr>
            <w:tcW w:w="1088" w:type="pct"/>
            <w:shd w:val="clear" w:color="auto" w:fill="auto"/>
            <w:vAlign w:val="center"/>
          </w:tcPr>
          <w:p w14:paraId="79D9DA36">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应有</w:t>
            </w:r>
            <w:r>
              <w:rPr>
                <w:rFonts w:hint="eastAsia" w:ascii="宋体" w:hAnsi="宋体" w:eastAsia="宋体" w:cs="宋体"/>
                <w:color w:val="000000"/>
                <w:sz w:val="24"/>
                <w:szCs w:val="24"/>
              </w:rPr>
              <w:t>防病毒知识和防恶意代码的培训记录和对外来计算机或存储设备接入系统前进行恶意代码检查的记录。</w:t>
            </w:r>
          </w:p>
        </w:tc>
        <w:tc>
          <w:tcPr>
            <w:tcW w:w="1606" w:type="pct"/>
            <w:shd w:val="clear" w:color="auto" w:fill="auto"/>
            <w:vAlign w:val="center"/>
          </w:tcPr>
          <w:p w14:paraId="359531C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21437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06F48599">
            <w:pPr>
              <w:pStyle w:val="22"/>
              <w:spacing w:line="288" w:lineRule="auto"/>
              <w:rPr>
                <w:rFonts w:hint="eastAsia" w:ascii="宋体" w:hAnsi="宋体" w:eastAsia="宋体" w:cs="宋体"/>
                <w:sz w:val="24"/>
                <w:szCs w:val="24"/>
              </w:rPr>
            </w:pPr>
          </w:p>
        </w:tc>
        <w:tc>
          <w:tcPr>
            <w:tcW w:w="1695" w:type="pct"/>
            <w:shd w:val="clear" w:color="auto" w:fill="auto"/>
            <w:vAlign w:val="center"/>
          </w:tcPr>
          <w:p w14:paraId="6DB5FF64">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b）应定期验证防范恶意代码攻击的技术措施的有效性。</w:t>
            </w:r>
          </w:p>
        </w:tc>
        <w:tc>
          <w:tcPr>
            <w:tcW w:w="1088" w:type="pct"/>
            <w:shd w:val="clear" w:color="auto" w:fill="auto"/>
            <w:vAlign w:val="center"/>
          </w:tcPr>
          <w:p w14:paraId="7A13A419">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提供对查杀恶意代码的书面分析报告</w:t>
            </w:r>
            <w:r>
              <w:rPr>
                <w:rFonts w:hint="eastAsia" w:ascii="宋体" w:hAnsi="宋体" w:eastAsia="宋体" w:cs="宋体"/>
                <w:sz w:val="24"/>
                <w:szCs w:val="24"/>
              </w:rPr>
              <w:t>。</w:t>
            </w:r>
          </w:p>
        </w:tc>
        <w:tc>
          <w:tcPr>
            <w:tcW w:w="1606" w:type="pct"/>
            <w:shd w:val="clear" w:color="auto" w:fill="auto"/>
            <w:vAlign w:val="center"/>
          </w:tcPr>
          <w:p w14:paraId="5E8B4E30">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22E9B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restart"/>
            <w:shd w:val="clear" w:color="auto" w:fill="auto"/>
            <w:vAlign w:val="center"/>
          </w:tcPr>
          <w:p w14:paraId="337B957F">
            <w:pPr>
              <w:pStyle w:val="22"/>
              <w:spacing w:line="288" w:lineRule="auto"/>
              <w:rPr>
                <w:rFonts w:hint="eastAsia" w:ascii="宋体" w:hAnsi="宋体" w:eastAsia="宋体" w:cs="宋体"/>
                <w:sz w:val="24"/>
                <w:szCs w:val="24"/>
              </w:rPr>
            </w:pPr>
            <w:r>
              <w:rPr>
                <w:rFonts w:hint="eastAsia" w:ascii="宋体" w:hAnsi="宋体" w:eastAsia="宋体" w:cs="宋体"/>
                <w:spacing w:val="-6"/>
                <w:sz w:val="24"/>
                <w:szCs w:val="24"/>
              </w:rPr>
              <w:t>变更管理</w:t>
            </w:r>
          </w:p>
        </w:tc>
        <w:tc>
          <w:tcPr>
            <w:tcW w:w="1695" w:type="pct"/>
            <w:shd w:val="clear" w:color="auto" w:fill="auto"/>
            <w:vAlign w:val="center"/>
          </w:tcPr>
          <w:p w14:paraId="27230021">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b）应建立变更的申报和审批控制程序，依据程序控制所有的变更，记录变更实施过程；</w:t>
            </w:r>
          </w:p>
        </w:tc>
        <w:tc>
          <w:tcPr>
            <w:tcW w:w="1088" w:type="pct"/>
            <w:shd w:val="clear" w:color="auto" w:fill="auto"/>
            <w:vAlign w:val="center"/>
          </w:tcPr>
          <w:p w14:paraId="04C8C769">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具有变更实施过程的记录文档，审批记录包含变更类型、申报流程、审批部门、批准人等方面内容。</w:t>
            </w:r>
          </w:p>
        </w:tc>
        <w:tc>
          <w:tcPr>
            <w:tcW w:w="1606" w:type="pct"/>
            <w:shd w:val="clear" w:color="auto" w:fill="auto"/>
            <w:vAlign w:val="center"/>
          </w:tcPr>
          <w:p w14:paraId="2596BD5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46B27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7A7C5AC6">
            <w:pPr>
              <w:pStyle w:val="22"/>
              <w:spacing w:line="288" w:lineRule="auto"/>
              <w:rPr>
                <w:rFonts w:hint="eastAsia" w:ascii="宋体" w:hAnsi="宋体" w:eastAsia="宋体" w:cs="宋体"/>
                <w:sz w:val="24"/>
                <w:szCs w:val="24"/>
              </w:rPr>
            </w:pPr>
          </w:p>
        </w:tc>
        <w:tc>
          <w:tcPr>
            <w:tcW w:w="1695" w:type="pct"/>
            <w:shd w:val="clear" w:color="auto" w:fill="auto"/>
            <w:vAlign w:val="center"/>
          </w:tcPr>
          <w:p w14:paraId="0FB3600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c）应建立中止变更并从失败变更中恢复的程序，明确过程控制方法和人员职责，必要时对恢复过程进行演练。</w:t>
            </w:r>
          </w:p>
        </w:tc>
        <w:tc>
          <w:tcPr>
            <w:tcW w:w="1088" w:type="pct"/>
            <w:shd w:val="clear" w:color="auto" w:fill="auto"/>
            <w:vAlign w:val="center"/>
          </w:tcPr>
          <w:p w14:paraId="6F76ECCA">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建立变更失败后的恢复程序。</w:t>
            </w:r>
          </w:p>
        </w:tc>
        <w:tc>
          <w:tcPr>
            <w:tcW w:w="1606" w:type="pct"/>
            <w:shd w:val="clear" w:color="auto" w:fill="auto"/>
            <w:vAlign w:val="center"/>
          </w:tcPr>
          <w:p w14:paraId="4066E6D6">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EF6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shd w:val="clear" w:color="auto" w:fill="auto"/>
            <w:vAlign w:val="center"/>
          </w:tcPr>
          <w:p w14:paraId="479E9E6C">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备份与恢复管理</w:t>
            </w:r>
          </w:p>
        </w:tc>
        <w:tc>
          <w:tcPr>
            <w:tcW w:w="1695" w:type="pct"/>
            <w:shd w:val="clear" w:color="auto" w:fill="auto"/>
            <w:vAlign w:val="center"/>
          </w:tcPr>
          <w:p w14:paraId="2B306EED">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a）应识别需要定期备份的重要业务信息、系统数据及软件系统等；</w:t>
            </w:r>
          </w:p>
        </w:tc>
        <w:tc>
          <w:tcPr>
            <w:tcW w:w="1088" w:type="pct"/>
            <w:shd w:val="clear" w:color="auto" w:fill="auto"/>
            <w:vAlign w:val="center"/>
          </w:tcPr>
          <w:p w14:paraId="7C1C3DD4">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提供定期备份的重要业务信息列表清单。</w:t>
            </w:r>
          </w:p>
        </w:tc>
        <w:tc>
          <w:tcPr>
            <w:tcW w:w="1606" w:type="pct"/>
            <w:shd w:val="clear" w:color="auto" w:fill="auto"/>
            <w:vAlign w:val="center"/>
          </w:tcPr>
          <w:p w14:paraId="627CF602">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E18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restart"/>
            <w:shd w:val="clear" w:color="auto" w:fill="auto"/>
            <w:vAlign w:val="center"/>
          </w:tcPr>
          <w:p w14:paraId="0630D359">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安全事件处置</w:t>
            </w:r>
          </w:p>
        </w:tc>
        <w:tc>
          <w:tcPr>
            <w:tcW w:w="1695" w:type="pct"/>
            <w:shd w:val="clear" w:color="auto" w:fill="auto"/>
            <w:vAlign w:val="center"/>
          </w:tcPr>
          <w:p w14:paraId="1A28A1D3">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a）应及时向安全管理部门报告所发现的安全弱点和可疑事件；</w:t>
            </w:r>
          </w:p>
        </w:tc>
        <w:tc>
          <w:tcPr>
            <w:tcW w:w="1088" w:type="pct"/>
            <w:shd w:val="clear" w:color="auto" w:fill="auto"/>
            <w:vAlign w:val="center"/>
          </w:tcPr>
          <w:p w14:paraId="23D4E0BD">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明确对于发现的安全弱点和可疑安全事件要进行汇报。</w:t>
            </w:r>
            <w:r>
              <w:rPr>
                <w:rFonts w:hint="eastAsia" w:ascii="宋体" w:hAnsi="宋体" w:eastAsia="宋体" w:cs="宋体"/>
                <w:snapToGrid w:val="0"/>
                <w:sz w:val="24"/>
                <w:szCs w:val="24"/>
              </w:rPr>
              <w:t>应</w:t>
            </w:r>
            <w:r>
              <w:rPr>
                <w:rFonts w:hint="eastAsia" w:ascii="宋体" w:hAnsi="宋体" w:eastAsia="宋体" w:cs="宋体"/>
                <w:sz w:val="24"/>
                <w:szCs w:val="24"/>
              </w:rPr>
              <w:t>提供系统运维过程中发现的安全弱点和可疑事件对应的记录。</w:t>
            </w:r>
            <w:r>
              <w:rPr>
                <w:rFonts w:hint="eastAsia" w:ascii="宋体" w:hAnsi="宋体" w:eastAsia="宋体" w:cs="宋体"/>
                <w:snapToGrid w:val="0"/>
                <w:sz w:val="24"/>
                <w:szCs w:val="24"/>
              </w:rPr>
              <w:t>应</w:t>
            </w:r>
            <w:r>
              <w:rPr>
                <w:rFonts w:hint="eastAsia" w:ascii="宋体" w:hAnsi="宋体" w:eastAsia="宋体" w:cs="宋体"/>
                <w:sz w:val="24"/>
                <w:szCs w:val="24"/>
              </w:rPr>
              <w:t>实现安全弱点和可疑事件报告文档内容详实。</w:t>
            </w:r>
          </w:p>
        </w:tc>
        <w:tc>
          <w:tcPr>
            <w:tcW w:w="1606" w:type="pct"/>
            <w:shd w:val="clear" w:color="auto" w:fill="auto"/>
            <w:vAlign w:val="center"/>
          </w:tcPr>
          <w:p w14:paraId="38BE7845">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3A806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1667AEE6">
            <w:pPr>
              <w:pStyle w:val="22"/>
              <w:spacing w:line="288" w:lineRule="auto"/>
              <w:rPr>
                <w:rFonts w:hint="eastAsia" w:ascii="宋体" w:hAnsi="宋体" w:eastAsia="宋体" w:cs="宋体"/>
                <w:sz w:val="24"/>
                <w:szCs w:val="24"/>
              </w:rPr>
            </w:pPr>
          </w:p>
        </w:tc>
        <w:tc>
          <w:tcPr>
            <w:tcW w:w="1695" w:type="pct"/>
            <w:shd w:val="clear" w:color="auto" w:fill="auto"/>
            <w:vAlign w:val="center"/>
          </w:tcPr>
          <w:p w14:paraId="22AD636E">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b）应制定安全事件报告和处置管理制度，明确不同安全事件的报告、处置和响应流程，规定安全事件的现场处理、事件报告和后期恢复的管理职责等；</w:t>
            </w:r>
          </w:p>
        </w:tc>
        <w:tc>
          <w:tcPr>
            <w:tcW w:w="1088" w:type="pct"/>
            <w:shd w:val="clear" w:color="auto" w:fill="auto"/>
            <w:vAlign w:val="center"/>
          </w:tcPr>
          <w:p w14:paraId="70CC3D70">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制定安全事件报告和处置管理类制度。</w:t>
            </w:r>
          </w:p>
        </w:tc>
        <w:tc>
          <w:tcPr>
            <w:tcW w:w="1606" w:type="pct"/>
            <w:shd w:val="clear" w:color="auto" w:fill="auto"/>
            <w:vAlign w:val="center"/>
          </w:tcPr>
          <w:p w14:paraId="665DE0A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D04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6B0889E8">
            <w:pPr>
              <w:pStyle w:val="22"/>
              <w:spacing w:line="288" w:lineRule="auto"/>
              <w:rPr>
                <w:rFonts w:hint="eastAsia" w:ascii="宋体" w:hAnsi="宋体" w:eastAsia="宋体" w:cs="宋体"/>
                <w:sz w:val="24"/>
                <w:szCs w:val="24"/>
              </w:rPr>
            </w:pPr>
          </w:p>
        </w:tc>
        <w:tc>
          <w:tcPr>
            <w:tcW w:w="1695" w:type="pct"/>
            <w:shd w:val="clear" w:color="auto" w:fill="auto"/>
            <w:vAlign w:val="center"/>
          </w:tcPr>
          <w:p w14:paraId="419F704F">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c）应在安全事件报告和响应处理过程中，分析和鉴定事件产生的原因，收集证据，记录处理过程，总结经验教训；</w:t>
            </w:r>
          </w:p>
        </w:tc>
        <w:tc>
          <w:tcPr>
            <w:tcW w:w="1088" w:type="pct"/>
            <w:shd w:val="clear" w:color="auto" w:fill="auto"/>
            <w:vAlign w:val="center"/>
          </w:tcPr>
          <w:p w14:paraId="1CA45740">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提供以往安全事件报告和响应处置记录，记录内容包括引发安全事件的系统弱点、发生的原因、处置过程、经验教训总结、补偿措施等。</w:t>
            </w:r>
          </w:p>
        </w:tc>
        <w:tc>
          <w:tcPr>
            <w:tcW w:w="1606" w:type="pct"/>
            <w:shd w:val="clear" w:color="auto" w:fill="auto"/>
            <w:vAlign w:val="center"/>
          </w:tcPr>
          <w:p w14:paraId="67B3EFD7">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709EE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vMerge w:val="continue"/>
            <w:shd w:val="clear" w:color="auto" w:fill="auto"/>
            <w:vAlign w:val="center"/>
          </w:tcPr>
          <w:p w14:paraId="41961527">
            <w:pPr>
              <w:pStyle w:val="22"/>
              <w:spacing w:line="288" w:lineRule="auto"/>
              <w:rPr>
                <w:rFonts w:hint="eastAsia" w:ascii="宋体" w:hAnsi="宋体" w:eastAsia="宋体" w:cs="宋体"/>
                <w:sz w:val="24"/>
                <w:szCs w:val="24"/>
              </w:rPr>
            </w:pPr>
          </w:p>
        </w:tc>
        <w:tc>
          <w:tcPr>
            <w:tcW w:w="1695" w:type="pct"/>
            <w:shd w:val="clear" w:color="auto" w:fill="auto"/>
            <w:vAlign w:val="center"/>
          </w:tcPr>
          <w:p w14:paraId="35B6539B">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d）对造成系统中断和造成信息泄漏的重大安全事件应采用不同的处理程序和报告程序。</w:t>
            </w:r>
          </w:p>
        </w:tc>
        <w:tc>
          <w:tcPr>
            <w:tcW w:w="1088" w:type="pct"/>
            <w:shd w:val="clear" w:color="auto" w:fill="auto"/>
            <w:vAlign w:val="center"/>
          </w:tcPr>
          <w:p w14:paraId="2EB2445D">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color w:val="000000"/>
                <w:sz w:val="24"/>
                <w:szCs w:val="24"/>
              </w:rPr>
              <w:t>明确系统中断和信息泄漏的重大安全事件的处理和报告流程。</w:t>
            </w:r>
          </w:p>
        </w:tc>
        <w:tc>
          <w:tcPr>
            <w:tcW w:w="1606" w:type="pct"/>
            <w:shd w:val="clear" w:color="auto" w:fill="auto"/>
            <w:vAlign w:val="center"/>
          </w:tcPr>
          <w:p w14:paraId="07F58293">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r w14:paraId="6BA4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2" w:hRule="atLeast"/>
        </w:trPr>
        <w:tc>
          <w:tcPr>
            <w:tcW w:w="609" w:type="pct"/>
            <w:shd w:val="clear" w:color="auto" w:fill="auto"/>
            <w:vAlign w:val="center"/>
          </w:tcPr>
          <w:p w14:paraId="1BDA9C49">
            <w:pPr>
              <w:pStyle w:val="22"/>
              <w:spacing w:line="288" w:lineRule="auto"/>
              <w:rPr>
                <w:rFonts w:hint="eastAsia" w:ascii="宋体" w:hAnsi="宋体" w:eastAsia="宋体" w:cs="宋体"/>
                <w:sz w:val="24"/>
                <w:szCs w:val="24"/>
              </w:rPr>
            </w:pPr>
            <w:r>
              <w:rPr>
                <w:rFonts w:hint="eastAsia" w:ascii="宋体" w:hAnsi="宋体" w:eastAsia="宋体" w:cs="宋体"/>
                <w:sz w:val="24"/>
                <w:szCs w:val="24"/>
              </w:rPr>
              <w:t>应急预案管理</w:t>
            </w:r>
          </w:p>
        </w:tc>
        <w:tc>
          <w:tcPr>
            <w:tcW w:w="1695" w:type="pct"/>
            <w:shd w:val="clear" w:color="auto" w:fill="auto"/>
            <w:vAlign w:val="center"/>
          </w:tcPr>
          <w:p w14:paraId="2CAA5D2F">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d）应定期对原有的应急预案重新评估，修订完善。</w:t>
            </w:r>
          </w:p>
        </w:tc>
        <w:tc>
          <w:tcPr>
            <w:tcW w:w="1088" w:type="pct"/>
            <w:shd w:val="clear" w:color="auto" w:fill="auto"/>
            <w:vAlign w:val="center"/>
          </w:tcPr>
          <w:p w14:paraId="1EC5A48D">
            <w:pPr>
              <w:pStyle w:val="22"/>
              <w:spacing w:line="288" w:lineRule="auto"/>
              <w:jc w:val="left"/>
              <w:rPr>
                <w:rFonts w:hint="eastAsia" w:ascii="宋体" w:hAnsi="宋体" w:eastAsia="宋体" w:cs="宋体"/>
                <w:sz w:val="24"/>
                <w:szCs w:val="24"/>
              </w:rPr>
            </w:pPr>
            <w:r>
              <w:rPr>
                <w:rFonts w:hint="eastAsia" w:ascii="宋体" w:hAnsi="宋体" w:eastAsia="宋体" w:cs="宋体"/>
                <w:snapToGrid w:val="0"/>
                <w:sz w:val="24"/>
                <w:szCs w:val="24"/>
              </w:rPr>
              <w:t>应</w:t>
            </w:r>
            <w:r>
              <w:rPr>
                <w:rFonts w:hint="eastAsia" w:ascii="宋体" w:hAnsi="宋体" w:eastAsia="宋体" w:cs="宋体"/>
                <w:sz w:val="24"/>
                <w:szCs w:val="24"/>
              </w:rPr>
              <w:t>提供应急预案修订记录，记录内容包括修订时间、参与人、修订内容、评审情况等。</w:t>
            </w:r>
          </w:p>
        </w:tc>
        <w:tc>
          <w:tcPr>
            <w:tcW w:w="1606" w:type="pct"/>
            <w:shd w:val="clear" w:color="auto" w:fill="auto"/>
            <w:vAlign w:val="center"/>
          </w:tcPr>
          <w:p w14:paraId="1F466BD9">
            <w:pPr>
              <w:pStyle w:val="22"/>
              <w:spacing w:line="288" w:lineRule="auto"/>
              <w:jc w:val="left"/>
              <w:rPr>
                <w:rFonts w:hint="eastAsia" w:ascii="宋体" w:hAnsi="宋体" w:eastAsia="宋体" w:cs="宋体"/>
                <w:sz w:val="24"/>
                <w:szCs w:val="24"/>
              </w:rPr>
            </w:pPr>
            <w:r>
              <w:rPr>
                <w:rFonts w:hint="eastAsia" w:ascii="宋体" w:hAnsi="宋体" w:eastAsia="宋体" w:cs="宋体"/>
                <w:sz w:val="24"/>
                <w:szCs w:val="24"/>
              </w:rPr>
              <w:t>在法院整体网络安全建设中考虑：购买安全管理制度完善服务，由服务方进行优化修改</w:t>
            </w:r>
          </w:p>
        </w:tc>
      </w:tr>
    </w:tbl>
    <w:p w14:paraId="138347D4">
      <w:pPr>
        <w:numPr>
          <w:ilvl w:val="0"/>
          <w:numId w:val="2"/>
        </w:numPr>
        <w:spacing w:line="288" w:lineRule="auto"/>
        <w:rPr>
          <w:rFonts w:hint="eastAsia" w:ascii="宋体" w:hAnsi="宋体" w:eastAsia="宋体" w:cs="宋体"/>
          <w:sz w:val="24"/>
        </w:rPr>
      </w:pPr>
      <w:r>
        <w:rPr>
          <w:rFonts w:hint="eastAsia" w:ascii="宋体" w:hAnsi="宋体" w:eastAsia="宋体" w:cs="宋体"/>
          <w:b/>
          <w:bCs/>
          <w:sz w:val="24"/>
        </w:rPr>
        <w:t>总体建设方案</w:t>
      </w:r>
      <w:bookmarkStart w:id="215" w:name="_Toc493702801"/>
      <w:bookmarkStart w:id="216" w:name="_Toc85443547"/>
      <w:bookmarkStart w:id="217" w:name="_Toc32666"/>
      <w:bookmarkStart w:id="218" w:name="_Toc332971310"/>
      <w:bookmarkStart w:id="219" w:name="_Toc332971324"/>
    </w:p>
    <w:p w14:paraId="2E6747B0">
      <w:pPr>
        <w:spacing w:line="288" w:lineRule="auto"/>
        <w:rPr>
          <w:rFonts w:hint="eastAsia" w:ascii="宋体" w:hAnsi="宋体" w:eastAsia="宋体" w:cs="宋体"/>
          <w:sz w:val="24"/>
        </w:rPr>
      </w:pPr>
      <w:r>
        <w:rPr>
          <w:rFonts w:hint="eastAsia" w:ascii="宋体" w:hAnsi="宋体" w:eastAsia="宋体" w:cs="宋体"/>
          <w:sz w:val="24"/>
        </w:rPr>
        <w:t>4.1总体建设方案</w:t>
      </w:r>
      <w:bookmarkEnd w:id="215"/>
      <w:bookmarkEnd w:id="216"/>
      <w:bookmarkEnd w:id="217"/>
      <w:bookmarkStart w:id="220" w:name="_Toc85443548"/>
      <w:bookmarkStart w:id="221" w:name="_Toc13165"/>
      <w:bookmarkStart w:id="222" w:name="_Toc493702802"/>
    </w:p>
    <w:p w14:paraId="4B360334">
      <w:pPr>
        <w:spacing w:line="288" w:lineRule="auto"/>
        <w:rPr>
          <w:rFonts w:hint="eastAsia" w:ascii="宋体" w:hAnsi="宋体" w:eastAsia="宋体" w:cs="宋体"/>
          <w:sz w:val="24"/>
        </w:rPr>
      </w:pPr>
      <w:r>
        <w:rPr>
          <w:rFonts w:hint="eastAsia" w:ascii="宋体" w:hAnsi="宋体" w:eastAsia="宋体" w:cs="宋体"/>
          <w:sz w:val="24"/>
        </w:rPr>
        <w:t>4.1.1总体框架</w:t>
      </w:r>
      <w:bookmarkEnd w:id="220"/>
      <w:bookmarkEnd w:id="221"/>
      <w:bookmarkEnd w:id="222"/>
    </w:p>
    <w:p w14:paraId="7225BAAE">
      <w:pPr>
        <w:pStyle w:val="19"/>
        <w:spacing w:line="288" w:lineRule="auto"/>
        <w:ind w:firstLine="480"/>
        <w:rPr>
          <w:rFonts w:hint="eastAsia" w:ascii="宋体" w:hAnsi="宋体" w:eastAsia="宋体"/>
          <w:sz w:val="24"/>
        </w:rPr>
      </w:pPr>
      <w:r>
        <w:rPr>
          <w:rFonts w:hint="eastAsia" w:ascii="宋体" w:hAnsi="宋体" w:eastAsia="宋体"/>
          <w:sz w:val="24"/>
        </w:rPr>
        <w:t>本项目信息化总体架构按照三纵五横设计，其中五横包括基础设施层、数据服务层、应用支撑层、应用层和用户展示层，三纵包括标准规范体系、安全管理体系和运维保障体系。信息化总体架构如下图：</w:t>
      </w:r>
    </w:p>
    <w:p w14:paraId="2C77886B">
      <w:pPr>
        <w:pStyle w:val="19"/>
        <w:ind w:firstLine="0" w:firstLineChars="0"/>
        <w:rPr>
          <w:rFonts w:hint="eastAsia" w:ascii="宋体" w:hAnsi="宋体" w:eastAsia="宋体"/>
          <w:sz w:val="24"/>
        </w:rPr>
      </w:pPr>
      <w:r>
        <w:rPr>
          <w:rFonts w:hint="eastAsia" w:ascii="宋体" w:hAnsi="宋体" w:eastAsia="宋体"/>
          <w:sz w:val="24"/>
        </w:rPr>
        <w:object>
          <v:shape id="_x0000_i1025" o:spt="75" type="#_x0000_t75" style="height:364.5pt;width:414.75pt;" o:ole="t" filled="f" o:preferrelative="t" stroked="f" coordsize="21600,21600">
            <v:path/>
            <v:fill on="f" focussize="0,0"/>
            <v:stroke on="f" joinstyle="miter"/>
            <v:imagedata r:id="rId5" o:title=""/>
            <o:lock v:ext="edit" aspectratio="f"/>
            <w10:wrap type="none"/>
            <w10:anchorlock/>
          </v:shape>
          <o:OLEObject Type="Embed" ProgID="Visio.Drawing.15" ShapeID="_x0000_i1025" DrawAspect="Content" ObjectID="_1468075725" r:id="rId4">
            <o:LockedField>false</o:LockedField>
          </o:OLEObject>
        </w:object>
      </w:r>
    </w:p>
    <w:p w14:paraId="00B9373C">
      <w:pPr>
        <w:pStyle w:val="13"/>
        <w:rPr>
          <w:rFonts w:hint="eastAsia" w:ascii="宋体" w:hAnsi="宋体" w:eastAsia="宋体" w:cs="宋体"/>
          <w:sz w:val="24"/>
        </w:rPr>
      </w:pPr>
      <w:r>
        <w:rPr>
          <w:rFonts w:hint="eastAsia" w:ascii="宋体" w:hAnsi="宋体" w:eastAsia="宋体" w:cs="宋体"/>
          <w:sz w:val="24"/>
        </w:rPr>
        <w:t>信息化总体架构图</w:t>
      </w:r>
    </w:p>
    <w:p w14:paraId="5C889B6A">
      <w:pPr>
        <w:pStyle w:val="19"/>
        <w:ind w:firstLine="480"/>
        <w:rPr>
          <w:rFonts w:hint="eastAsia" w:ascii="宋体" w:hAnsi="宋体" w:eastAsia="宋体"/>
          <w:sz w:val="24"/>
        </w:rPr>
      </w:pPr>
      <w:bookmarkStart w:id="223" w:name="_Hlk493780508"/>
      <w:r>
        <w:rPr>
          <w:rFonts w:hint="eastAsia" w:ascii="宋体" w:hAnsi="宋体" w:eastAsia="宋体"/>
          <w:sz w:val="24"/>
        </w:rPr>
        <w:t>（1）基础设施层</w:t>
      </w:r>
    </w:p>
    <w:p w14:paraId="7FBF0833">
      <w:pPr>
        <w:pStyle w:val="19"/>
        <w:ind w:firstLine="480"/>
        <w:rPr>
          <w:rFonts w:hint="eastAsia" w:ascii="宋体" w:hAnsi="宋体" w:eastAsia="宋体"/>
          <w:sz w:val="24"/>
        </w:rPr>
      </w:pPr>
      <w:r>
        <w:rPr>
          <w:rFonts w:hint="eastAsia" w:ascii="宋体" w:hAnsi="宋体" w:eastAsia="宋体"/>
          <w:sz w:val="24"/>
        </w:rPr>
        <w:t>基础设施层为整个信息化系统提供基础能力支持，包括支撑系统、配套场所和网络环境三部分，其中支撑系统主要包括综合布线系统、网络系统、信息机房等；配套场所主要包括立案大厅、执行大厅、智慧法庭和执行指挥大厅等，网络环境主要包括法院专网和互联网。</w:t>
      </w:r>
    </w:p>
    <w:p w14:paraId="5EAA77E6">
      <w:pPr>
        <w:pStyle w:val="19"/>
        <w:ind w:firstLine="480"/>
        <w:rPr>
          <w:rFonts w:hint="eastAsia" w:ascii="宋体" w:hAnsi="宋体" w:eastAsia="宋体"/>
          <w:sz w:val="24"/>
        </w:rPr>
      </w:pPr>
      <w:r>
        <w:rPr>
          <w:rFonts w:hint="eastAsia" w:ascii="宋体" w:hAnsi="宋体" w:eastAsia="宋体"/>
          <w:sz w:val="24"/>
        </w:rPr>
        <w:t>（2）数据服务层</w:t>
      </w:r>
    </w:p>
    <w:p w14:paraId="4CC697A2">
      <w:pPr>
        <w:pStyle w:val="19"/>
        <w:ind w:firstLine="480"/>
        <w:rPr>
          <w:rFonts w:hint="eastAsia" w:ascii="宋体" w:hAnsi="宋体" w:eastAsia="宋体"/>
          <w:sz w:val="24"/>
        </w:rPr>
      </w:pPr>
      <w:r>
        <w:rPr>
          <w:rFonts w:hint="eastAsia" w:ascii="宋体" w:hAnsi="宋体" w:eastAsia="宋体"/>
          <w:sz w:val="24"/>
        </w:rPr>
        <w:t>通过对设备设施数据、业务系统数据、管理数据等的采集、清洗、转换，建立数据资源池，数据资源包含基础数据库、业务数据库、视图库、管理数据库、大数据分析数据库等。数据服务层提供数据集成、数据开发、数据交换、数据管理等数据服务。</w:t>
      </w:r>
    </w:p>
    <w:p w14:paraId="79B3FCF6">
      <w:pPr>
        <w:pStyle w:val="19"/>
        <w:ind w:firstLine="480"/>
        <w:rPr>
          <w:rFonts w:hint="eastAsia" w:ascii="宋体" w:hAnsi="宋体" w:eastAsia="宋体"/>
          <w:sz w:val="24"/>
        </w:rPr>
      </w:pPr>
      <w:r>
        <w:rPr>
          <w:rFonts w:hint="eastAsia" w:ascii="宋体" w:hAnsi="宋体" w:eastAsia="宋体"/>
          <w:sz w:val="24"/>
        </w:rPr>
        <w:t>（3）应用支撑层</w:t>
      </w:r>
    </w:p>
    <w:p w14:paraId="08FC64C7">
      <w:pPr>
        <w:pStyle w:val="19"/>
        <w:ind w:firstLine="480"/>
        <w:rPr>
          <w:rFonts w:hint="eastAsia" w:ascii="宋体" w:hAnsi="宋体" w:eastAsia="宋体"/>
          <w:sz w:val="24"/>
        </w:rPr>
      </w:pPr>
      <w:r>
        <w:rPr>
          <w:rFonts w:hint="eastAsia" w:ascii="宋体" w:hAnsi="宋体" w:eastAsia="宋体"/>
          <w:sz w:val="24"/>
        </w:rPr>
        <w:t>提供统一运行框架和基础智能服务，如消息服务、身份认证、权限管理、用户管理等应用支撑服务。</w:t>
      </w:r>
    </w:p>
    <w:p w14:paraId="55B2E010">
      <w:pPr>
        <w:pStyle w:val="19"/>
        <w:ind w:firstLine="480"/>
        <w:rPr>
          <w:rFonts w:hint="eastAsia" w:ascii="宋体" w:hAnsi="宋体" w:eastAsia="宋体"/>
          <w:sz w:val="24"/>
        </w:rPr>
      </w:pPr>
      <w:r>
        <w:rPr>
          <w:rFonts w:hint="eastAsia" w:ascii="宋体" w:hAnsi="宋体" w:eastAsia="宋体"/>
          <w:sz w:val="24"/>
        </w:rPr>
        <w:t>（4）应用层</w:t>
      </w:r>
    </w:p>
    <w:p w14:paraId="4A4AA160">
      <w:pPr>
        <w:pStyle w:val="19"/>
        <w:ind w:firstLine="480"/>
        <w:rPr>
          <w:rFonts w:hint="eastAsia" w:ascii="宋体" w:hAnsi="宋体" w:eastAsia="宋体"/>
          <w:sz w:val="24"/>
        </w:rPr>
      </w:pPr>
      <w:r>
        <w:rPr>
          <w:rFonts w:hint="eastAsia" w:ascii="宋体" w:hAnsi="宋体" w:eastAsia="宋体"/>
          <w:sz w:val="24"/>
        </w:rPr>
        <w:t>应用层主要为智慧审判、智慧执行、诉讼服务、司法管理等提供界面友好、稳定可靠的业务应用系统，包括省高院统建的系统和本地建设的业务系统。</w:t>
      </w:r>
    </w:p>
    <w:p w14:paraId="2C1DB85E">
      <w:pPr>
        <w:pStyle w:val="19"/>
        <w:ind w:firstLine="480"/>
        <w:rPr>
          <w:rFonts w:hint="eastAsia" w:ascii="宋体" w:hAnsi="宋体" w:eastAsia="宋体"/>
          <w:sz w:val="24"/>
        </w:rPr>
      </w:pPr>
      <w:r>
        <w:rPr>
          <w:rFonts w:hint="eastAsia" w:ascii="宋体" w:hAnsi="宋体" w:eastAsia="宋体"/>
          <w:sz w:val="24"/>
        </w:rPr>
        <w:t>（5）用户展示层</w:t>
      </w:r>
    </w:p>
    <w:p w14:paraId="0B36B57C">
      <w:pPr>
        <w:pStyle w:val="19"/>
        <w:ind w:firstLine="480"/>
        <w:rPr>
          <w:rFonts w:hint="eastAsia" w:ascii="宋体" w:hAnsi="宋体" w:eastAsia="宋体"/>
          <w:sz w:val="24"/>
        </w:rPr>
      </w:pPr>
      <w:r>
        <w:rPr>
          <w:rFonts w:hint="eastAsia" w:ascii="宋体" w:hAnsi="宋体" w:eastAsia="宋体"/>
          <w:sz w:val="24"/>
        </w:rPr>
        <w:t>用户包括群众、业务人员、管理人员和运维人员，展示包含大屏、PC端和移动终端等多种信息终端、信息界面和展示界面。以大屏为载体实现法院各业务情况展示，通过PC端实现法院日常业务的开展，通过移动终端随时随地接收各种业务信息。</w:t>
      </w:r>
    </w:p>
    <w:p w14:paraId="4CDD0686">
      <w:pPr>
        <w:pStyle w:val="19"/>
        <w:ind w:firstLine="480"/>
        <w:rPr>
          <w:rFonts w:hint="eastAsia" w:ascii="宋体" w:hAnsi="宋体" w:eastAsia="宋体"/>
          <w:sz w:val="24"/>
        </w:rPr>
      </w:pPr>
      <w:r>
        <w:rPr>
          <w:rFonts w:hint="eastAsia" w:ascii="宋体" w:hAnsi="宋体" w:eastAsia="宋体"/>
          <w:sz w:val="24"/>
        </w:rPr>
        <w:t>（6）标准规范体系</w:t>
      </w:r>
    </w:p>
    <w:p w14:paraId="56503086">
      <w:pPr>
        <w:pStyle w:val="19"/>
        <w:ind w:firstLine="480"/>
        <w:rPr>
          <w:rFonts w:hint="eastAsia" w:ascii="宋体" w:hAnsi="宋体" w:eastAsia="宋体"/>
          <w:sz w:val="24"/>
        </w:rPr>
      </w:pPr>
      <w:r>
        <w:rPr>
          <w:rFonts w:hint="eastAsia" w:ascii="宋体" w:hAnsi="宋体" w:eastAsia="宋体"/>
          <w:sz w:val="24"/>
        </w:rPr>
        <w:t>标准规范体系主要包含系统建设的统一技术体系、数据体系以及应用体系，是信息化系统的建设依据。标准规范体系建设有利于整个信息系统建设的规范性、正确性和科学性，实现数据资源的共享和业务流程的规范。</w:t>
      </w:r>
    </w:p>
    <w:p w14:paraId="5D626975">
      <w:pPr>
        <w:pStyle w:val="19"/>
        <w:ind w:firstLine="480"/>
        <w:rPr>
          <w:rFonts w:hint="eastAsia" w:ascii="宋体" w:hAnsi="宋体" w:eastAsia="宋体"/>
          <w:sz w:val="24"/>
        </w:rPr>
      </w:pPr>
      <w:r>
        <w:rPr>
          <w:rFonts w:hint="eastAsia" w:ascii="宋体" w:hAnsi="宋体" w:eastAsia="宋体"/>
          <w:sz w:val="24"/>
        </w:rPr>
        <w:t>（7）安全保障体系</w:t>
      </w:r>
    </w:p>
    <w:p w14:paraId="2374931C">
      <w:pPr>
        <w:pStyle w:val="19"/>
        <w:ind w:firstLine="480"/>
        <w:rPr>
          <w:rFonts w:hint="eastAsia" w:ascii="宋体" w:hAnsi="宋体" w:eastAsia="宋体"/>
          <w:sz w:val="24"/>
        </w:rPr>
      </w:pPr>
      <w:r>
        <w:rPr>
          <w:rFonts w:hint="eastAsia" w:ascii="宋体" w:hAnsi="宋体" w:eastAsia="宋体"/>
          <w:sz w:val="24"/>
        </w:rPr>
        <w:t>按照“严控边界、纵深防御、主动监测、全面审计”的安全策略，对法院专网、互联网等传输网络从网络接入与安全防护、终端管控与审计、业务安全与保障、数据交换与安全等方面构建全网防控的安全保障技术体系。</w:t>
      </w:r>
    </w:p>
    <w:p w14:paraId="4A3C5856">
      <w:pPr>
        <w:pStyle w:val="19"/>
        <w:ind w:firstLine="480"/>
        <w:rPr>
          <w:rFonts w:hint="eastAsia" w:ascii="宋体" w:hAnsi="宋体" w:eastAsia="宋体"/>
          <w:sz w:val="24"/>
        </w:rPr>
      </w:pPr>
      <w:r>
        <w:rPr>
          <w:rFonts w:hint="eastAsia" w:ascii="宋体" w:hAnsi="宋体" w:eastAsia="宋体"/>
          <w:sz w:val="24"/>
        </w:rPr>
        <w:t>（8）运维保障体系</w:t>
      </w:r>
    </w:p>
    <w:p w14:paraId="0815B9CE">
      <w:pPr>
        <w:pStyle w:val="19"/>
        <w:ind w:firstLine="480"/>
        <w:rPr>
          <w:rFonts w:hint="eastAsia" w:ascii="宋体" w:hAnsi="宋体" w:eastAsia="宋体"/>
          <w:sz w:val="24"/>
        </w:rPr>
      </w:pPr>
      <w:r>
        <w:rPr>
          <w:rFonts w:hint="eastAsia" w:ascii="宋体" w:hAnsi="宋体" w:eastAsia="宋体"/>
          <w:sz w:val="24"/>
        </w:rPr>
        <w:t>统一运维包含数据运维、安全运维、基础运维、应用运维。统一的运行维护体系主要涵盖组织管理模式、制度规范体系、技术支撑体系等三个层面的内容，运维管理范围包括法院专网、互联网中的各类业务系统、IT设备等。</w:t>
      </w:r>
      <w:bookmarkEnd w:id="218"/>
      <w:bookmarkEnd w:id="223"/>
      <w:bookmarkStart w:id="224" w:name="_Toc493702803"/>
      <w:bookmarkStart w:id="225" w:name="_Toc32669"/>
      <w:bookmarkStart w:id="226" w:name="_Toc85443549"/>
      <w:bookmarkStart w:id="227" w:name="_Toc332971311"/>
    </w:p>
    <w:p w14:paraId="4485D027">
      <w:pPr>
        <w:pStyle w:val="19"/>
        <w:ind w:firstLine="0" w:firstLineChars="0"/>
        <w:rPr>
          <w:rFonts w:hint="eastAsia" w:ascii="宋体" w:hAnsi="宋体" w:eastAsia="宋体"/>
          <w:sz w:val="24"/>
        </w:rPr>
      </w:pPr>
      <w:r>
        <w:rPr>
          <w:rFonts w:hint="eastAsia" w:ascii="宋体" w:hAnsi="宋体" w:eastAsia="宋体"/>
          <w:sz w:val="24"/>
        </w:rPr>
        <w:t>4.1.2技术路线</w:t>
      </w:r>
      <w:bookmarkEnd w:id="224"/>
      <w:bookmarkEnd w:id="225"/>
      <w:bookmarkEnd w:id="226"/>
    </w:p>
    <w:p w14:paraId="5C8F4A79">
      <w:pPr>
        <w:pStyle w:val="19"/>
        <w:ind w:firstLine="480"/>
        <w:rPr>
          <w:rFonts w:hint="eastAsia" w:ascii="宋体" w:hAnsi="宋体" w:eastAsia="宋体"/>
          <w:sz w:val="24"/>
        </w:rPr>
      </w:pPr>
      <w:r>
        <w:rPr>
          <w:rFonts w:hint="eastAsia" w:ascii="宋体" w:hAnsi="宋体" w:eastAsia="宋体"/>
          <w:sz w:val="24"/>
        </w:rPr>
        <w:t>1.物联网技术</w:t>
      </w:r>
    </w:p>
    <w:p w14:paraId="0028E9CA">
      <w:pPr>
        <w:pStyle w:val="19"/>
        <w:ind w:firstLine="480"/>
        <w:rPr>
          <w:rFonts w:hint="eastAsia" w:ascii="宋体" w:hAnsi="宋体" w:eastAsia="宋体"/>
          <w:sz w:val="24"/>
        </w:rPr>
      </w:pPr>
      <w:r>
        <w:rPr>
          <w:rFonts w:hint="eastAsia" w:ascii="宋体" w:hAnsi="宋体" w:eastAsia="宋体"/>
          <w:sz w:val="24"/>
        </w:rPr>
        <w:t>我国在物联网方面研发水平处于世界前列，同时也是世界传感网领域的标准制定主导国之一，拥有大量的专利技术。随着经济社会数字化转型和智能升级步伐加快，物联网逐渐成为新型基础设施的重要组成部分。工信部等8部门联合印发《物联网新型基础设施建设三年行动计划（2021—2023年）》，明确到2023年底，在国内主要城市初步建成物联网新型基础设施，物联网连接数突破20亿。</w:t>
      </w:r>
    </w:p>
    <w:p w14:paraId="3C9D9817">
      <w:pPr>
        <w:pStyle w:val="19"/>
        <w:ind w:firstLine="480"/>
        <w:rPr>
          <w:rFonts w:hint="eastAsia" w:ascii="宋体" w:hAnsi="宋体" w:eastAsia="宋体"/>
          <w:sz w:val="24"/>
        </w:rPr>
      </w:pPr>
      <w:r>
        <w:rPr>
          <w:rFonts w:hint="eastAsia" w:ascii="宋体" w:hAnsi="宋体" w:eastAsia="宋体"/>
          <w:sz w:val="24"/>
        </w:rPr>
        <w:t>本项目物联网技术包括视频监控、门禁系统等的管理与接入。</w:t>
      </w:r>
    </w:p>
    <w:p w14:paraId="04E07C8F">
      <w:pPr>
        <w:pStyle w:val="19"/>
        <w:ind w:firstLine="480"/>
        <w:rPr>
          <w:rFonts w:hint="eastAsia" w:ascii="宋体" w:hAnsi="宋体" w:eastAsia="宋体"/>
          <w:sz w:val="24"/>
        </w:rPr>
      </w:pPr>
      <w:r>
        <w:rPr>
          <w:rFonts w:hint="eastAsia" w:ascii="宋体" w:hAnsi="宋体" w:eastAsia="宋体"/>
          <w:sz w:val="24"/>
        </w:rPr>
        <w:t>2.互联网技术</w:t>
      </w:r>
    </w:p>
    <w:p w14:paraId="33171F6A">
      <w:pPr>
        <w:pStyle w:val="19"/>
        <w:ind w:firstLine="480"/>
        <w:rPr>
          <w:rFonts w:hint="eastAsia" w:ascii="宋体" w:hAnsi="宋体" w:eastAsia="宋体"/>
          <w:sz w:val="24"/>
        </w:rPr>
      </w:pPr>
      <w:r>
        <w:rPr>
          <w:rFonts w:hint="eastAsia" w:ascii="宋体" w:hAnsi="宋体" w:eastAsia="宋体"/>
          <w:sz w:val="24"/>
        </w:rPr>
        <w:t>是指在</w:t>
      </w:r>
      <w:r>
        <w:fldChar w:fldCharType="begin"/>
      </w:r>
      <w:r>
        <w:instrText xml:space="preserve"> HYPERLINK "https://baike.baidu.com/item/%E8%AE%A1%E7%AE%97%E6%9C%BA%E6%8A%80%E6%9C%AF/1127562?fromModule=lemma_inlink" \t "https://baike.baidu.com/item/%E4%BA%92%E8%81%94%E7%BD%91%E6%8A%80%E6%9C%AF/_blank" </w:instrText>
      </w:r>
      <w:r>
        <w:fldChar w:fldCharType="separate"/>
      </w:r>
      <w:r>
        <w:rPr>
          <w:rFonts w:hint="eastAsia" w:ascii="宋体" w:hAnsi="宋体" w:eastAsia="宋体"/>
          <w:sz w:val="24"/>
        </w:rPr>
        <w:t>计算机技术</w:t>
      </w:r>
      <w:r>
        <w:rPr>
          <w:rFonts w:hint="eastAsia" w:ascii="宋体" w:hAnsi="宋体" w:eastAsia="宋体"/>
          <w:sz w:val="24"/>
        </w:rPr>
        <w:fldChar w:fldCharType="end"/>
      </w:r>
      <w:r>
        <w:rPr>
          <w:rFonts w:hint="eastAsia" w:ascii="宋体" w:hAnsi="宋体" w:eastAsia="宋体"/>
          <w:sz w:val="24"/>
        </w:rPr>
        <w:t>的基础上开发建立的一种</w:t>
      </w:r>
      <w:r>
        <w:fldChar w:fldCharType="begin"/>
      </w:r>
      <w:r>
        <w:instrText xml:space="preserve"> HYPERLINK "https://baike.baidu.com/item/%E4%BF%A1%E6%81%AF%E6%8A%80%E6%9C%AF/138928?fromModule=lemma_inlink" \t "https://baike.baidu.com/item/%E4%BA%92%E8%81%94%E7%BD%91%E6%8A%80%E6%9C%AF/_blank" </w:instrText>
      </w:r>
      <w:r>
        <w:fldChar w:fldCharType="separate"/>
      </w:r>
      <w:r>
        <w:rPr>
          <w:rFonts w:hint="eastAsia" w:ascii="宋体" w:hAnsi="宋体" w:eastAsia="宋体"/>
          <w:sz w:val="24"/>
        </w:rPr>
        <w:t>信息技术</w:t>
      </w:r>
      <w:r>
        <w:rPr>
          <w:rFonts w:hint="eastAsia" w:ascii="宋体" w:hAnsi="宋体" w:eastAsia="宋体"/>
          <w:sz w:val="24"/>
        </w:rPr>
        <w:fldChar w:fldCharType="end"/>
      </w:r>
      <w:r>
        <w:rPr>
          <w:rFonts w:hint="eastAsia" w:ascii="宋体" w:hAnsi="宋体" w:eastAsia="宋体"/>
          <w:sz w:val="24"/>
        </w:rPr>
        <w:t>。互联网技术通过</w:t>
      </w:r>
      <w:r>
        <w:fldChar w:fldCharType="begin"/>
      </w:r>
      <w:r>
        <w:instrText xml:space="preserve"> HYPERLINK "https://baike.baidu.com/item/%E8%AE%A1%E7%AE%97%E6%9C%BA%E7%BD%91%E7%BB%9C/18763?fromModule=lemma_inlink" \t "https://baike.baidu.com/item/%E4%BA%92%E8%81%94%E7%BD%91%E6%8A%80%E6%9C%AF/_blank" </w:instrText>
      </w:r>
      <w:r>
        <w:fldChar w:fldCharType="separate"/>
      </w:r>
      <w:r>
        <w:rPr>
          <w:rFonts w:hint="eastAsia" w:ascii="宋体" w:hAnsi="宋体" w:eastAsia="宋体"/>
          <w:sz w:val="24"/>
        </w:rPr>
        <w:t>计算机网络</w:t>
      </w:r>
      <w:r>
        <w:rPr>
          <w:rFonts w:hint="eastAsia" w:ascii="宋体" w:hAnsi="宋体" w:eastAsia="宋体"/>
          <w:sz w:val="24"/>
        </w:rPr>
        <w:fldChar w:fldCharType="end"/>
      </w:r>
      <w:r>
        <w:rPr>
          <w:rFonts w:hint="eastAsia" w:ascii="宋体" w:hAnsi="宋体" w:eastAsia="宋体"/>
          <w:sz w:val="24"/>
        </w:rPr>
        <w:t>的广域网使不同的设备相互连接，加快信息的传输速度和拓宽信息的获取渠道，促进各种不同的软件应用的开发，互联网技术的普遍应用，是进入信息社会的标志。</w:t>
      </w:r>
    </w:p>
    <w:p w14:paraId="191CF875">
      <w:pPr>
        <w:pStyle w:val="19"/>
        <w:ind w:firstLine="480"/>
        <w:rPr>
          <w:rFonts w:hint="eastAsia" w:ascii="宋体" w:hAnsi="宋体" w:eastAsia="宋体"/>
          <w:sz w:val="24"/>
        </w:rPr>
      </w:pPr>
      <w:r>
        <w:rPr>
          <w:rFonts w:hint="eastAsia" w:ascii="宋体" w:hAnsi="宋体" w:eastAsia="宋体"/>
          <w:sz w:val="24"/>
        </w:rPr>
        <w:t>3.web service接口</w:t>
      </w:r>
    </w:p>
    <w:p w14:paraId="077456E8">
      <w:pPr>
        <w:pStyle w:val="19"/>
        <w:ind w:firstLine="480"/>
        <w:rPr>
          <w:rFonts w:hint="eastAsia" w:ascii="宋体" w:hAnsi="宋体" w:eastAsia="宋体"/>
          <w:sz w:val="24"/>
        </w:rPr>
      </w:pPr>
      <w:r>
        <w:rPr>
          <w:rFonts w:hint="eastAsia" w:ascii="宋体" w:hAnsi="宋体" w:eastAsia="宋体"/>
          <w:sz w:val="24"/>
        </w:rPr>
        <w:t>采用Web Service技术，使应用程序可以用与平台无关和与编程语言无关的方式进行相互通信。Web服务（Web service）是一种面向服务的架构的技术，通过标准的Web协议提供服务，目的是保证不同平台的应用服务可以互操作。</w:t>
      </w:r>
    </w:p>
    <w:p w14:paraId="1536B0D1">
      <w:pPr>
        <w:pStyle w:val="19"/>
        <w:ind w:firstLine="480"/>
        <w:rPr>
          <w:rFonts w:hint="eastAsia" w:ascii="宋体" w:hAnsi="宋体" w:eastAsia="宋体"/>
          <w:sz w:val="24"/>
        </w:rPr>
      </w:pPr>
      <w:r>
        <w:rPr>
          <w:rFonts w:hint="eastAsia" w:ascii="宋体" w:hAnsi="宋体" w:eastAsia="宋体"/>
          <w:sz w:val="24"/>
        </w:rPr>
        <w:t>4.国产化</w:t>
      </w:r>
    </w:p>
    <w:p w14:paraId="6E29EDAE">
      <w:pPr>
        <w:pStyle w:val="19"/>
        <w:ind w:firstLine="480"/>
        <w:rPr>
          <w:rFonts w:hint="eastAsia" w:ascii="宋体" w:hAnsi="宋体" w:eastAsia="宋体"/>
          <w:sz w:val="24"/>
        </w:rPr>
      </w:pPr>
      <w:r>
        <w:rPr>
          <w:rFonts w:hint="eastAsia" w:ascii="宋体" w:hAnsi="宋体" w:eastAsia="宋体"/>
          <w:sz w:val="24"/>
        </w:rPr>
        <w:t>为进一步落实信创要求，本项目涉及的硬件设备、操作系统原则上采用符合名录要求的产品，同时为不影响项目后续工作的正常开展，在进行国产化适配前，必须开展严格的性能分析和性能测试，经过严格论证后符合性能要求的产品才能开展国产化适配，若经论证现有国产化产品无法达到平台性能要求，应遵循统筹规划、分步推进的原则逐步开展国产化适配，优先保障系统的正常运行，在未来国产化产品满足性能要求后，及时开展国产化适配。</w:t>
      </w:r>
      <w:bookmarkEnd w:id="227"/>
      <w:bookmarkStart w:id="228" w:name="_Toc18438"/>
      <w:bookmarkStart w:id="229" w:name="_Toc493702804"/>
      <w:bookmarkStart w:id="230" w:name="_Toc85443550"/>
    </w:p>
    <w:p w14:paraId="59902F69">
      <w:pPr>
        <w:pStyle w:val="19"/>
        <w:ind w:firstLine="0" w:firstLineChars="0"/>
        <w:rPr>
          <w:rFonts w:hint="eastAsia" w:ascii="宋体" w:hAnsi="宋体" w:eastAsia="宋体"/>
          <w:sz w:val="24"/>
        </w:rPr>
      </w:pPr>
      <w:r>
        <w:rPr>
          <w:rFonts w:hint="eastAsia" w:ascii="宋体" w:hAnsi="宋体" w:eastAsia="宋体"/>
          <w:sz w:val="24"/>
        </w:rPr>
        <w:t>4.1.3应用系统建设方案</w:t>
      </w:r>
      <w:bookmarkEnd w:id="228"/>
      <w:bookmarkEnd w:id="229"/>
      <w:bookmarkEnd w:id="230"/>
    </w:p>
    <w:p w14:paraId="0B77AB16">
      <w:pPr>
        <w:pStyle w:val="19"/>
        <w:ind w:firstLine="480"/>
        <w:rPr>
          <w:rFonts w:hint="eastAsia" w:ascii="宋体" w:hAnsi="宋体" w:eastAsia="宋体"/>
          <w:sz w:val="24"/>
        </w:rPr>
      </w:pPr>
      <w:bookmarkStart w:id="231" w:name="_Hlk493751901"/>
      <w:r>
        <w:rPr>
          <w:rFonts w:hint="eastAsia" w:ascii="宋体" w:hAnsi="宋体" w:eastAsia="宋体"/>
          <w:sz w:val="24"/>
        </w:rPr>
        <w:t>本项目在充分使用原有应用系统的基础上进行1号楼和2号楼两栋新建大楼的基础支撑系统、综合安防系统、司法业务配套系统的建设。</w:t>
      </w:r>
      <w:bookmarkEnd w:id="231"/>
      <w:bookmarkStart w:id="232" w:name="_Toc31764"/>
    </w:p>
    <w:p w14:paraId="08EB199A">
      <w:pPr>
        <w:pStyle w:val="19"/>
        <w:ind w:firstLine="0" w:firstLineChars="0"/>
        <w:rPr>
          <w:rFonts w:hint="eastAsia" w:ascii="宋体" w:hAnsi="宋体" w:eastAsia="宋体"/>
          <w:sz w:val="24"/>
        </w:rPr>
      </w:pPr>
      <w:r>
        <w:rPr>
          <w:rFonts w:hint="eastAsia" w:ascii="宋体" w:hAnsi="宋体" w:eastAsia="宋体"/>
          <w:sz w:val="24"/>
        </w:rPr>
        <w:t>4.1.4基础支撑系统</w:t>
      </w:r>
      <w:bookmarkEnd w:id="232"/>
    </w:p>
    <w:p w14:paraId="3E41DBAC">
      <w:pPr>
        <w:pStyle w:val="19"/>
        <w:ind w:firstLine="480"/>
        <w:rPr>
          <w:rFonts w:hint="eastAsia" w:ascii="宋体" w:hAnsi="宋体" w:eastAsia="宋体"/>
          <w:sz w:val="24"/>
        </w:rPr>
      </w:pPr>
      <w:r>
        <w:rPr>
          <w:rFonts w:hint="eastAsia" w:ascii="宋体" w:hAnsi="宋体" w:eastAsia="宋体"/>
          <w:sz w:val="24"/>
        </w:rPr>
        <w:t>基础支撑系统包括综合布线系统、网络系统、设备间系统和机房系统。</w:t>
      </w:r>
    </w:p>
    <w:p w14:paraId="7F952E32">
      <w:pPr>
        <w:pStyle w:val="19"/>
        <w:ind w:firstLine="0" w:firstLineChars="0"/>
        <w:rPr>
          <w:rFonts w:hint="eastAsia" w:ascii="宋体" w:hAnsi="宋体" w:eastAsia="宋体"/>
          <w:sz w:val="24"/>
        </w:rPr>
      </w:pPr>
      <w:r>
        <w:rPr>
          <w:rFonts w:hint="eastAsia" w:ascii="宋体" w:hAnsi="宋体" w:eastAsia="宋体"/>
          <w:sz w:val="24"/>
        </w:rPr>
        <w:t>4.1.4.1综合布线系统</w:t>
      </w:r>
    </w:p>
    <w:p w14:paraId="191A36C4">
      <w:pPr>
        <w:pStyle w:val="19"/>
        <w:ind w:firstLine="0" w:firstLineChars="0"/>
        <w:rPr>
          <w:rFonts w:hint="eastAsia" w:ascii="宋体" w:hAnsi="宋体" w:eastAsia="宋体"/>
          <w:sz w:val="24"/>
        </w:rPr>
      </w:pPr>
      <w:r>
        <w:rPr>
          <w:rFonts w:hint="eastAsia" w:ascii="宋体" w:hAnsi="宋体" w:eastAsia="宋体"/>
          <w:sz w:val="24"/>
        </w:rPr>
        <w:t>4.1.4.1.1系统概述</w:t>
      </w:r>
    </w:p>
    <w:p w14:paraId="1DB3C7C2">
      <w:pPr>
        <w:pStyle w:val="19"/>
        <w:ind w:firstLine="480"/>
        <w:rPr>
          <w:rFonts w:hint="eastAsia" w:ascii="宋体" w:hAnsi="宋体" w:eastAsia="宋体"/>
          <w:sz w:val="24"/>
        </w:rPr>
      </w:pPr>
      <w:r>
        <w:rPr>
          <w:rFonts w:hint="eastAsia" w:ascii="宋体" w:hAnsi="宋体" w:eastAsia="宋体"/>
          <w:sz w:val="24"/>
        </w:rPr>
        <w:t>综合布线是一种模块化的、灵活性极高的建筑物内或建筑群之间的信息传输通道。通过它可使话音设备、数据设备、交换设备及各种控制设备与信息管理系统连接起来，同时也是这些设备与外部通信网络相连的综合布线。综合布线由不同系列和规格的部件组成，其中包括：传输介质、相关链接硬件（如配线架、连接器、插座、插头、适配器）以及电气保护设备等。这些部件可用来构建各种子系统，它们都有各自的具体用途，不仅易于实施，而且能随需求的变化而平稳升级。</w:t>
      </w:r>
    </w:p>
    <w:p w14:paraId="15032D0E">
      <w:pPr>
        <w:pStyle w:val="19"/>
        <w:ind w:firstLine="480"/>
        <w:rPr>
          <w:rFonts w:hint="eastAsia" w:ascii="宋体" w:hAnsi="宋体" w:eastAsia="宋体"/>
          <w:sz w:val="24"/>
        </w:rPr>
      </w:pPr>
      <w:bookmarkStart w:id="233" w:name="_Hlk101464875"/>
      <w:r>
        <w:rPr>
          <w:rFonts w:hint="eastAsia" w:ascii="宋体" w:hAnsi="宋体" w:eastAsia="宋体"/>
          <w:sz w:val="24"/>
        </w:rPr>
        <w:t>本系统是法院所有智能化信息系统的基础传输系统，根据本工程使用特点，新建的1号楼和2号楼分别设置法院专网、互联网，</w:t>
      </w:r>
      <w:bookmarkEnd w:id="233"/>
      <w:r>
        <w:rPr>
          <w:rFonts w:hint="eastAsia" w:ascii="宋体" w:hAnsi="宋体" w:eastAsia="宋体"/>
          <w:sz w:val="24"/>
        </w:rPr>
        <w:t>其中法院专网满足新建大楼访问法院专网的使用需求，互联网满足新建大楼互联网信息传递及其他互联网工作业务需求，语音网本次设计根据实际现场情况只做链路敷设设计。</w:t>
      </w:r>
    </w:p>
    <w:p w14:paraId="35E421D1">
      <w:pPr>
        <w:pStyle w:val="19"/>
        <w:ind w:firstLine="0" w:firstLineChars="0"/>
        <w:rPr>
          <w:rFonts w:hint="eastAsia" w:ascii="宋体" w:hAnsi="宋体" w:eastAsia="宋体"/>
          <w:sz w:val="24"/>
        </w:rPr>
      </w:pPr>
      <w:r>
        <w:rPr>
          <w:rFonts w:hint="eastAsia" w:ascii="宋体" w:hAnsi="宋体" w:eastAsia="宋体"/>
          <w:sz w:val="24"/>
        </w:rPr>
        <w:t>4.1.4.1.2系统功能</w:t>
      </w:r>
    </w:p>
    <w:p w14:paraId="0BF21D74">
      <w:pPr>
        <w:pStyle w:val="19"/>
        <w:ind w:firstLine="480"/>
        <w:rPr>
          <w:rFonts w:hint="eastAsia" w:ascii="宋体" w:hAnsi="宋体" w:eastAsia="宋体"/>
          <w:sz w:val="24"/>
        </w:rPr>
      </w:pPr>
      <w:r>
        <w:rPr>
          <w:rFonts w:hint="eastAsia" w:ascii="宋体" w:hAnsi="宋体" w:eastAsia="宋体"/>
          <w:sz w:val="24"/>
        </w:rPr>
        <w:t>综合布线是一个模块化的、灵活性极高的建筑物内或建筑群之间的信息传输通道，是智能建筑的“信息高速公路”。它既能使语音、数据、图像设备和交换设备与其他信息管理系统彼此相连，也能使这些设备与外部通信网相连接。</w:t>
      </w:r>
    </w:p>
    <w:p w14:paraId="6260AC67">
      <w:pPr>
        <w:pStyle w:val="19"/>
        <w:ind w:firstLine="480"/>
        <w:rPr>
          <w:rFonts w:hint="eastAsia" w:ascii="宋体" w:hAnsi="宋体" w:eastAsia="宋体"/>
          <w:sz w:val="24"/>
        </w:rPr>
      </w:pPr>
      <w:r>
        <w:rPr>
          <w:rFonts w:hint="eastAsia" w:ascii="宋体" w:hAnsi="宋体" w:eastAsia="宋体"/>
          <w:sz w:val="24"/>
        </w:rPr>
        <w:t>综合布线系统的特点可以概括为：</w:t>
      </w:r>
    </w:p>
    <w:p w14:paraId="31C2CD47">
      <w:pPr>
        <w:pStyle w:val="19"/>
        <w:ind w:firstLine="480"/>
        <w:rPr>
          <w:rFonts w:hint="eastAsia" w:ascii="宋体" w:hAnsi="宋体" w:eastAsia="宋体"/>
          <w:sz w:val="24"/>
        </w:rPr>
      </w:pPr>
      <w:r>
        <w:rPr>
          <w:rFonts w:hint="eastAsia" w:ascii="宋体" w:hAnsi="宋体" w:eastAsia="宋体"/>
          <w:sz w:val="24"/>
        </w:rPr>
        <w:t>实用性：实施后，布线系统将能够适应现代和未来通信技术的发展，并且实现话音、数据通信等信号的统一传输。</w:t>
      </w:r>
    </w:p>
    <w:p w14:paraId="1949D8D0">
      <w:pPr>
        <w:pStyle w:val="19"/>
        <w:ind w:firstLine="480"/>
        <w:rPr>
          <w:rFonts w:hint="eastAsia" w:ascii="宋体" w:hAnsi="宋体" w:eastAsia="宋体"/>
          <w:sz w:val="24"/>
        </w:rPr>
      </w:pPr>
      <w:r>
        <w:rPr>
          <w:rFonts w:hint="eastAsia" w:ascii="宋体" w:hAnsi="宋体" w:eastAsia="宋体"/>
          <w:sz w:val="24"/>
        </w:rPr>
        <w:t>灵活性：布线系统能满足各种应用的要求，即任一信息点能够连接不同类型的终端设备，如电话、打印机、电脑终端、各种传感器件以及图像监控设备等。</w:t>
      </w:r>
    </w:p>
    <w:p w14:paraId="410F69FF">
      <w:pPr>
        <w:pStyle w:val="19"/>
        <w:ind w:firstLine="480"/>
        <w:rPr>
          <w:rFonts w:hint="eastAsia" w:ascii="宋体" w:hAnsi="宋体" w:eastAsia="宋体"/>
          <w:sz w:val="24"/>
        </w:rPr>
      </w:pPr>
      <w:r>
        <w:rPr>
          <w:rFonts w:hint="eastAsia" w:ascii="宋体" w:hAnsi="宋体" w:eastAsia="宋体"/>
          <w:sz w:val="24"/>
        </w:rPr>
        <w:t>模块化：综合布线系统中除去固定于建筑物内的水平缆线外，其余所有的接插件都是基本式的标准件，可互连所有话音、数据、图像、网络和楼宇自动化设备，以方便使用、搬迁、更改、扩容和管理。</w:t>
      </w:r>
    </w:p>
    <w:p w14:paraId="07622B97">
      <w:pPr>
        <w:pStyle w:val="19"/>
        <w:ind w:firstLine="480"/>
        <w:rPr>
          <w:rFonts w:hint="eastAsia" w:ascii="宋体" w:hAnsi="宋体" w:eastAsia="宋体"/>
          <w:sz w:val="24"/>
        </w:rPr>
      </w:pPr>
      <w:r>
        <w:rPr>
          <w:rFonts w:hint="eastAsia" w:ascii="宋体" w:hAnsi="宋体" w:eastAsia="宋体"/>
          <w:sz w:val="24"/>
        </w:rPr>
        <w:t>扩展性：综合布线系统是可扩充的，以便将来有更大的用途时，很容易将新设备扩充进去。</w:t>
      </w:r>
    </w:p>
    <w:p w14:paraId="5C2EEC10">
      <w:pPr>
        <w:pStyle w:val="19"/>
        <w:ind w:firstLine="480"/>
        <w:rPr>
          <w:rFonts w:hint="eastAsia" w:ascii="宋体" w:hAnsi="宋体" w:eastAsia="宋体"/>
          <w:sz w:val="24"/>
        </w:rPr>
      </w:pPr>
      <w:r>
        <w:rPr>
          <w:rFonts w:hint="eastAsia" w:ascii="宋体" w:hAnsi="宋体" w:eastAsia="宋体"/>
          <w:sz w:val="24"/>
        </w:rPr>
        <w:t>经济性：采用综合布线系统后可以使管理人员减少，同时，因为模块化的结构，工作难度大大降低了日后因更改或搬迁系统时的费用。</w:t>
      </w:r>
    </w:p>
    <w:p w14:paraId="0F230219">
      <w:pPr>
        <w:pStyle w:val="19"/>
        <w:ind w:firstLine="480"/>
        <w:rPr>
          <w:rFonts w:hint="eastAsia" w:ascii="宋体" w:hAnsi="宋体" w:eastAsia="宋体"/>
          <w:sz w:val="24"/>
        </w:rPr>
      </w:pPr>
      <w:r>
        <w:rPr>
          <w:rFonts w:hint="eastAsia" w:ascii="宋体" w:hAnsi="宋体" w:eastAsia="宋体"/>
          <w:sz w:val="24"/>
        </w:rPr>
        <w:t>通用性：对符合国际通信标准的各种计算机和网络拓扑结构均能适应，对不同传递速度的通信要求均能适应，可以支持和容纳多种计算机网络的运行。</w:t>
      </w:r>
    </w:p>
    <w:p w14:paraId="4D143C38">
      <w:pPr>
        <w:pStyle w:val="19"/>
        <w:ind w:firstLine="0" w:firstLineChars="0"/>
        <w:rPr>
          <w:rFonts w:hint="eastAsia" w:ascii="宋体" w:hAnsi="宋体" w:eastAsia="宋体"/>
          <w:sz w:val="24"/>
        </w:rPr>
      </w:pPr>
      <w:r>
        <w:rPr>
          <w:rFonts w:hint="eastAsia" w:ascii="宋体" w:hAnsi="宋体" w:eastAsia="宋体"/>
          <w:sz w:val="24"/>
        </w:rPr>
        <w:t>4.1.4.1.3系统架构</w:t>
      </w:r>
    </w:p>
    <w:p w14:paraId="1C570098">
      <w:pPr>
        <w:pStyle w:val="19"/>
        <w:ind w:firstLine="480"/>
        <w:rPr>
          <w:rFonts w:hint="eastAsia" w:ascii="宋体" w:hAnsi="宋体" w:eastAsia="宋体"/>
          <w:sz w:val="24"/>
        </w:rPr>
      </w:pPr>
      <w:r>
        <w:rPr>
          <w:rFonts w:hint="eastAsia" w:ascii="宋体" w:hAnsi="宋体" w:eastAsia="宋体"/>
          <w:sz w:val="24"/>
        </w:rPr>
        <w:t>在综合布线系统的结构组成上，根据本项目实际情况可分成三个子系统：工作区子系统、水平布线子系统、垂直干线子系统。</w:t>
      </w:r>
    </w:p>
    <w:p w14:paraId="50BE8F4D">
      <w:pPr>
        <w:pStyle w:val="19"/>
        <w:ind w:firstLine="480"/>
        <w:rPr>
          <w:rFonts w:hint="eastAsia" w:ascii="宋体" w:hAnsi="宋体" w:eastAsia="宋体"/>
          <w:sz w:val="24"/>
        </w:rPr>
      </w:pPr>
      <w:r>
        <w:rPr>
          <w:rFonts w:hint="eastAsia" w:ascii="宋体" w:hAnsi="宋体" w:eastAsia="宋体"/>
          <w:sz w:val="24"/>
        </w:rPr>
        <w:t>1.工作区子系统</w:t>
      </w:r>
    </w:p>
    <w:p w14:paraId="398C4CC6">
      <w:pPr>
        <w:pStyle w:val="19"/>
        <w:ind w:firstLine="480"/>
        <w:rPr>
          <w:rFonts w:hint="eastAsia" w:ascii="宋体" w:hAnsi="宋体" w:eastAsia="宋体"/>
          <w:sz w:val="24"/>
        </w:rPr>
      </w:pPr>
      <w:r>
        <w:rPr>
          <w:rFonts w:hint="eastAsia" w:ascii="宋体" w:hAnsi="宋体" w:eastAsia="宋体"/>
          <w:sz w:val="24"/>
        </w:rPr>
        <w:t>本系统由信息插座的软线和终端设备连接而成，包括装配、连接、扩展软线，并将它们搭建在输入、输出插座与设备终端之间，其中信息插座分为墙、地、桌、软基型多种形式。</w:t>
      </w:r>
    </w:p>
    <w:p w14:paraId="566A0C90">
      <w:pPr>
        <w:pStyle w:val="19"/>
        <w:ind w:firstLine="480"/>
        <w:rPr>
          <w:rFonts w:hint="eastAsia" w:ascii="宋体" w:hAnsi="宋体" w:eastAsia="宋体"/>
          <w:sz w:val="24"/>
        </w:rPr>
      </w:pPr>
      <w:r>
        <w:rPr>
          <w:rFonts w:hint="eastAsia" w:ascii="宋体" w:hAnsi="宋体" w:eastAsia="宋体"/>
          <w:sz w:val="24"/>
        </w:rPr>
        <w:t>2.水平布线子系统</w:t>
      </w:r>
    </w:p>
    <w:p w14:paraId="3D70D8D7">
      <w:pPr>
        <w:pStyle w:val="19"/>
        <w:ind w:firstLine="480"/>
        <w:rPr>
          <w:rFonts w:hint="eastAsia" w:ascii="宋体" w:hAnsi="宋体" w:eastAsia="宋体"/>
          <w:sz w:val="24"/>
        </w:rPr>
      </w:pPr>
      <w:r>
        <w:rPr>
          <w:rFonts w:hint="eastAsia" w:ascii="宋体" w:hAnsi="宋体" w:eastAsia="宋体"/>
          <w:sz w:val="24"/>
        </w:rPr>
        <w:t>本系统主要负责将管理子系统配线架的电缆从干线子系统延伸至信息插座位置，这些系统都处在同一楼层。</w:t>
      </w:r>
    </w:p>
    <w:p w14:paraId="2D3B727E">
      <w:pPr>
        <w:pStyle w:val="19"/>
        <w:ind w:firstLine="480"/>
        <w:rPr>
          <w:rFonts w:hint="eastAsia" w:ascii="宋体" w:hAnsi="宋体" w:eastAsia="宋体"/>
          <w:sz w:val="24"/>
        </w:rPr>
      </w:pPr>
      <w:r>
        <w:rPr>
          <w:rFonts w:hint="eastAsia" w:ascii="宋体" w:hAnsi="宋体" w:eastAsia="宋体"/>
          <w:sz w:val="24"/>
        </w:rPr>
        <w:t>3.垂直干线子系统</w:t>
      </w:r>
    </w:p>
    <w:p w14:paraId="5CA42310">
      <w:pPr>
        <w:pStyle w:val="19"/>
        <w:ind w:firstLine="480"/>
        <w:rPr>
          <w:rFonts w:hint="eastAsia" w:ascii="宋体" w:hAnsi="宋体" w:eastAsia="宋体"/>
          <w:sz w:val="24"/>
        </w:rPr>
      </w:pPr>
      <w:r>
        <w:rPr>
          <w:rFonts w:hint="eastAsia" w:ascii="宋体" w:hAnsi="宋体" w:eastAsia="宋体"/>
          <w:sz w:val="24"/>
        </w:rPr>
        <w:t>本系统是综合布线系统的中心系统，主要负责连接楼层配线架系统与主配线架系统。</w:t>
      </w:r>
    </w:p>
    <w:p w14:paraId="1FE20E1B">
      <w:pPr>
        <w:pStyle w:val="19"/>
        <w:ind w:firstLine="480"/>
        <w:rPr>
          <w:rFonts w:hint="eastAsia" w:ascii="宋体" w:hAnsi="宋体" w:eastAsia="宋体"/>
          <w:sz w:val="24"/>
        </w:rPr>
      </w:pPr>
      <w:r>
        <w:rPr>
          <w:rFonts w:hint="eastAsia" w:ascii="宋体" w:hAnsi="宋体" w:eastAsia="宋体"/>
          <w:sz w:val="24"/>
        </w:rPr>
        <w:t>综合布线桥架：</w:t>
      </w:r>
    </w:p>
    <w:p w14:paraId="3E43EDDC">
      <w:pPr>
        <w:pStyle w:val="19"/>
        <w:ind w:firstLine="480"/>
        <w:rPr>
          <w:rFonts w:hint="eastAsia" w:ascii="宋体" w:hAnsi="宋体" w:eastAsia="宋体"/>
          <w:sz w:val="24"/>
        </w:rPr>
      </w:pPr>
      <w:r>
        <w:rPr>
          <w:rFonts w:hint="eastAsia" w:ascii="宋体" w:hAnsi="宋体" w:eastAsia="宋体"/>
          <w:sz w:val="24"/>
        </w:rPr>
        <w:t>在桥架的结构组成上，根据本项目实际情况可划分成水平桥架及垂直桥架，本次项目利旧使用《审判辅助用房室内装修工程》建设的综合布线桥架。</w:t>
      </w:r>
    </w:p>
    <w:p w14:paraId="4F08F8C6">
      <w:pPr>
        <w:pStyle w:val="19"/>
        <w:ind w:firstLine="0" w:firstLineChars="0"/>
        <w:rPr>
          <w:rFonts w:hint="eastAsia" w:ascii="宋体" w:hAnsi="宋体" w:eastAsia="宋体"/>
          <w:sz w:val="24"/>
        </w:rPr>
      </w:pPr>
      <w:r>
        <w:rPr>
          <w:rFonts w:hint="eastAsia" w:ascii="宋体" w:hAnsi="宋体" w:eastAsia="宋体"/>
          <w:sz w:val="24"/>
        </w:rPr>
        <w:t>4.1.4.1.4部署方案</w:t>
      </w:r>
    </w:p>
    <w:p w14:paraId="263C9454">
      <w:pPr>
        <w:pStyle w:val="19"/>
        <w:ind w:firstLine="520"/>
        <w:rPr>
          <w:rFonts w:hint="eastAsia" w:ascii="宋体" w:hAnsi="宋体" w:eastAsia="宋体"/>
          <w:sz w:val="24"/>
        </w:rPr>
      </w:pPr>
      <w:r>
        <w:rPr>
          <w:rFonts w:hint="eastAsia" w:ascii="宋体" w:hAnsi="宋体" w:eastAsia="宋体"/>
          <w:spacing w:val="10"/>
          <w:sz w:val="24"/>
        </w:rPr>
        <w:t>水平干线系统及工作间子系统</w:t>
      </w:r>
      <w:r>
        <w:rPr>
          <w:rFonts w:hint="eastAsia" w:ascii="宋体" w:hAnsi="宋体" w:eastAsia="宋体"/>
          <w:sz w:val="24"/>
        </w:rPr>
        <w:t>均采用6类非屏蔽线缆，以满足互换及功能扩展用途。1号楼汇聚交换机、2号楼汇聚交换机均通过12芯单模光纤接入至2号楼三楼机房核心交换机，核心交换机通过12芯单模光纤接入至原有审判大楼机房。水平线缆经垂直及水平走线槽与墙面暗埋管敷设至各信息插座点位，信息插座点位详见“综合布线图纸”。网络信息插座与语音插座设置相同，均使用六类RJ-45标准接口。信息点按照室内装饰要求，采用墙装与地插相配合的方法，即：墙面离地300mm安装或者根据二次装修要求，在桌面或者隔断处设置信息点安装孔，装配面板。</w:t>
      </w:r>
    </w:p>
    <w:p w14:paraId="7D133088">
      <w:pPr>
        <w:pStyle w:val="19"/>
        <w:ind w:firstLine="0" w:firstLineChars="0"/>
        <w:rPr>
          <w:rFonts w:hint="eastAsia" w:ascii="宋体" w:hAnsi="宋体" w:eastAsia="宋体"/>
          <w:sz w:val="24"/>
        </w:rPr>
      </w:pPr>
      <w:r>
        <w:rPr>
          <w:rFonts w:hint="eastAsia" w:ascii="宋体" w:hAnsi="宋体" w:eastAsia="宋体"/>
          <w:sz w:val="24"/>
        </w:rPr>
        <w:t>4.1.4.1.5物理隔离方案</w:t>
      </w:r>
    </w:p>
    <w:p w14:paraId="6439BF53">
      <w:pPr>
        <w:pStyle w:val="19"/>
        <w:ind w:firstLine="520"/>
        <w:rPr>
          <w:rFonts w:hint="eastAsia" w:ascii="宋体" w:hAnsi="宋体" w:eastAsia="宋体"/>
          <w:snapToGrid w:val="0"/>
          <w:spacing w:val="10"/>
          <w:sz w:val="24"/>
        </w:rPr>
      </w:pPr>
      <w:r>
        <w:rPr>
          <w:rFonts w:hint="eastAsia" w:ascii="宋体" w:hAnsi="宋体" w:eastAsia="宋体"/>
          <w:snapToGrid w:val="0"/>
          <w:spacing w:val="10"/>
          <w:sz w:val="24"/>
        </w:rPr>
        <w:t>本次项目中法院专网和互联网为独立两张网，需要物理隔离，主要体现在网线隔离、电缆隔离、网络隔离方面。</w:t>
      </w:r>
    </w:p>
    <w:p w14:paraId="166DBEFA">
      <w:pPr>
        <w:pStyle w:val="19"/>
        <w:numPr>
          <w:ilvl w:val="1"/>
          <w:numId w:val="6"/>
        </w:numPr>
        <w:ind w:firstLine="480"/>
        <w:rPr>
          <w:rFonts w:hint="eastAsia" w:ascii="宋体" w:hAnsi="宋体" w:eastAsia="宋体"/>
          <w:sz w:val="24"/>
        </w:rPr>
      </w:pPr>
      <w:r>
        <w:rPr>
          <w:rFonts w:hint="eastAsia" w:ascii="宋体" w:hAnsi="宋体" w:eastAsia="宋体"/>
          <w:sz w:val="24"/>
        </w:rPr>
        <w:t>网线隔离：在本次综合布线中，不同网络之间通过使用独立的网线来实现物理隔离。</w:t>
      </w:r>
    </w:p>
    <w:p w14:paraId="0B443EE9">
      <w:pPr>
        <w:pStyle w:val="19"/>
        <w:numPr>
          <w:ilvl w:val="1"/>
          <w:numId w:val="6"/>
        </w:numPr>
        <w:ind w:firstLine="480"/>
        <w:rPr>
          <w:rFonts w:hint="eastAsia" w:ascii="宋体" w:hAnsi="宋体" w:eastAsia="宋体"/>
          <w:sz w:val="24"/>
        </w:rPr>
      </w:pPr>
      <w:r>
        <w:rPr>
          <w:rFonts w:hint="eastAsia" w:ascii="宋体" w:hAnsi="宋体" w:eastAsia="宋体"/>
          <w:sz w:val="24"/>
        </w:rPr>
        <w:t>电缆隔离：在本次综合布线中使用的电缆进行物理隔离。例如，将不同类型的电缆分开布置，避免它们之间的相互干扰。</w:t>
      </w:r>
    </w:p>
    <w:p w14:paraId="542E2C10">
      <w:pPr>
        <w:pStyle w:val="19"/>
        <w:numPr>
          <w:ilvl w:val="1"/>
          <w:numId w:val="6"/>
        </w:numPr>
        <w:ind w:firstLine="480"/>
        <w:rPr>
          <w:rFonts w:hint="eastAsia" w:ascii="宋体" w:hAnsi="宋体" w:eastAsia="宋体"/>
          <w:sz w:val="24"/>
        </w:rPr>
      </w:pPr>
      <w:r>
        <w:rPr>
          <w:rFonts w:hint="eastAsia" w:ascii="宋体" w:hAnsi="宋体" w:eastAsia="宋体"/>
          <w:sz w:val="24"/>
        </w:rPr>
        <w:t>网络隔离：在本次综合布线中，通过使用不同的网络设备来实现物理隔离。例如，使用不同的交换机将不同的网络分开。</w:t>
      </w:r>
    </w:p>
    <w:p w14:paraId="0A5D3D3B">
      <w:pPr>
        <w:pStyle w:val="19"/>
        <w:ind w:firstLine="0" w:firstLineChars="0"/>
        <w:rPr>
          <w:rFonts w:hint="eastAsia" w:ascii="宋体" w:hAnsi="宋体" w:eastAsia="宋体"/>
          <w:sz w:val="24"/>
        </w:rPr>
      </w:pPr>
      <w:r>
        <w:rPr>
          <w:rFonts w:hint="eastAsia" w:ascii="宋体" w:hAnsi="宋体" w:eastAsia="宋体"/>
          <w:sz w:val="24"/>
        </w:rPr>
        <w:t>4.1.4.1.6一般技术要求</w:t>
      </w:r>
    </w:p>
    <w:p w14:paraId="3602A4A0">
      <w:pPr>
        <w:pStyle w:val="19"/>
        <w:ind w:firstLine="480"/>
        <w:rPr>
          <w:rFonts w:hint="eastAsia" w:ascii="宋体" w:hAnsi="宋体" w:eastAsia="宋体"/>
          <w:sz w:val="24"/>
        </w:rPr>
      </w:pPr>
      <w:r>
        <w:rPr>
          <w:rFonts w:hint="eastAsia" w:ascii="宋体" w:hAnsi="宋体" w:eastAsia="宋体"/>
          <w:sz w:val="24"/>
        </w:rPr>
        <w:t>系统分级</w:t>
      </w:r>
    </w:p>
    <w:p w14:paraId="1E725DB4">
      <w:pPr>
        <w:pStyle w:val="19"/>
        <w:ind w:firstLine="520"/>
        <w:rPr>
          <w:rFonts w:hint="eastAsia" w:ascii="宋体" w:hAnsi="宋体" w:eastAsia="宋体"/>
          <w:snapToGrid w:val="0"/>
          <w:spacing w:val="10"/>
          <w:sz w:val="24"/>
        </w:rPr>
      </w:pPr>
      <w:r>
        <w:rPr>
          <w:rFonts w:hint="eastAsia" w:ascii="宋体" w:hAnsi="宋体" w:eastAsia="宋体"/>
          <w:snapToGrid w:val="0"/>
          <w:spacing w:val="10"/>
          <w:sz w:val="24"/>
        </w:rPr>
        <w:t>综合布线铜缆系统的分级与类别划分应符合下表的要求：</w:t>
      </w:r>
    </w:p>
    <w:p w14:paraId="2481721F">
      <w:pPr>
        <w:pStyle w:val="13"/>
        <w:rPr>
          <w:rFonts w:hint="eastAsia" w:ascii="宋体" w:hAnsi="宋体" w:eastAsia="宋体" w:cs="宋体"/>
          <w:sz w:val="24"/>
        </w:rPr>
      </w:pPr>
      <w:r>
        <w:rPr>
          <w:rFonts w:hint="eastAsia" w:ascii="宋体" w:hAnsi="宋体" w:eastAsia="宋体" w:cs="宋体"/>
          <w:sz w:val="24"/>
        </w:rPr>
        <w:t>综合布线铜缆系统的分级与类别</w:t>
      </w:r>
    </w:p>
    <w:tbl>
      <w:tblPr>
        <w:tblStyle w:val="1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2"/>
        <w:gridCol w:w="3066"/>
        <w:gridCol w:w="1624"/>
        <w:gridCol w:w="1918"/>
      </w:tblGrid>
      <w:tr w14:paraId="33C7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1122" w:type="pct"/>
            <w:vMerge w:val="restart"/>
            <w:vAlign w:val="center"/>
          </w:tcPr>
          <w:p w14:paraId="1503DDCA">
            <w:pPr>
              <w:widowControl/>
              <w:adjustRightInd w:val="0"/>
              <w:snapToGrid w:val="0"/>
              <w:jc w:val="center"/>
              <w:rPr>
                <w:rFonts w:hint="eastAsia" w:ascii="宋体" w:hAnsi="宋体" w:eastAsia="宋体" w:cs="宋体"/>
                <w:b/>
                <w:bCs/>
                <w:kern w:val="0"/>
                <w:sz w:val="24"/>
              </w:rPr>
            </w:pPr>
            <w:r>
              <w:rPr>
                <w:rFonts w:hint="eastAsia" w:ascii="宋体" w:hAnsi="宋体" w:eastAsia="宋体" w:cs="宋体"/>
                <w:b/>
                <w:bCs/>
                <w:kern w:val="0"/>
                <w:sz w:val="24"/>
              </w:rPr>
              <w:t>系统分级</w:t>
            </w:r>
          </w:p>
        </w:tc>
        <w:tc>
          <w:tcPr>
            <w:tcW w:w="1799" w:type="pct"/>
            <w:vMerge w:val="restart"/>
            <w:vAlign w:val="center"/>
          </w:tcPr>
          <w:p w14:paraId="50604FA5">
            <w:pPr>
              <w:widowControl/>
              <w:adjustRightInd w:val="0"/>
              <w:snapToGrid w:val="0"/>
              <w:jc w:val="center"/>
              <w:rPr>
                <w:rFonts w:hint="eastAsia" w:ascii="宋体" w:hAnsi="宋体" w:eastAsia="宋体" w:cs="宋体"/>
                <w:b/>
                <w:bCs/>
                <w:kern w:val="0"/>
                <w:sz w:val="24"/>
              </w:rPr>
            </w:pPr>
            <w:r>
              <w:rPr>
                <w:rFonts w:hint="eastAsia" w:ascii="宋体" w:hAnsi="宋体" w:eastAsia="宋体" w:cs="宋体"/>
                <w:b/>
                <w:bCs/>
                <w:kern w:val="0"/>
                <w:sz w:val="24"/>
              </w:rPr>
              <w:t>支持带宽（Hz）</w:t>
            </w:r>
          </w:p>
        </w:tc>
        <w:tc>
          <w:tcPr>
            <w:tcW w:w="2078" w:type="pct"/>
            <w:gridSpan w:val="2"/>
            <w:vAlign w:val="center"/>
          </w:tcPr>
          <w:p w14:paraId="19DC4ECD">
            <w:pPr>
              <w:widowControl/>
              <w:adjustRightInd w:val="0"/>
              <w:snapToGrid w:val="0"/>
              <w:jc w:val="center"/>
              <w:rPr>
                <w:rFonts w:hint="eastAsia" w:ascii="宋体" w:hAnsi="宋体" w:eastAsia="宋体" w:cs="宋体"/>
                <w:b/>
                <w:bCs/>
                <w:kern w:val="0"/>
                <w:sz w:val="24"/>
              </w:rPr>
            </w:pPr>
            <w:r>
              <w:rPr>
                <w:rFonts w:hint="eastAsia" w:ascii="宋体" w:hAnsi="宋体" w:eastAsia="宋体" w:cs="宋体"/>
                <w:b/>
                <w:bCs/>
                <w:kern w:val="0"/>
                <w:sz w:val="24"/>
              </w:rPr>
              <w:t>支持应用器件</w:t>
            </w:r>
          </w:p>
        </w:tc>
      </w:tr>
      <w:tr w14:paraId="436C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1122" w:type="pct"/>
            <w:vMerge w:val="continue"/>
            <w:vAlign w:val="center"/>
          </w:tcPr>
          <w:p w14:paraId="12B00A36">
            <w:pPr>
              <w:widowControl/>
              <w:adjustRightInd w:val="0"/>
              <w:snapToGrid w:val="0"/>
              <w:jc w:val="left"/>
              <w:rPr>
                <w:rFonts w:hint="eastAsia" w:ascii="宋体" w:hAnsi="宋体" w:eastAsia="宋体" w:cs="宋体"/>
                <w:b/>
                <w:bCs/>
                <w:kern w:val="0"/>
                <w:sz w:val="24"/>
              </w:rPr>
            </w:pPr>
          </w:p>
        </w:tc>
        <w:tc>
          <w:tcPr>
            <w:tcW w:w="1799" w:type="pct"/>
            <w:vMerge w:val="continue"/>
            <w:vAlign w:val="center"/>
          </w:tcPr>
          <w:p w14:paraId="06846335">
            <w:pPr>
              <w:widowControl/>
              <w:adjustRightInd w:val="0"/>
              <w:snapToGrid w:val="0"/>
              <w:jc w:val="left"/>
              <w:rPr>
                <w:rFonts w:hint="eastAsia" w:ascii="宋体" w:hAnsi="宋体" w:eastAsia="宋体" w:cs="宋体"/>
                <w:b/>
                <w:bCs/>
                <w:kern w:val="0"/>
                <w:sz w:val="24"/>
              </w:rPr>
            </w:pPr>
          </w:p>
        </w:tc>
        <w:tc>
          <w:tcPr>
            <w:tcW w:w="953" w:type="pct"/>
            <w:vAlign w:val="center"/>
          </w:tcPr>
          <w:p w14:paraId="1FDE9477">
            <w:pPr>
              <w:widowControl/>
              <w:adjustRightInd w:val="0"/>
              <w:snapToGrid w:val="0"/>
              <w:jc w:val="center"/>
              <w:rPr>
                <w:rFonts w:hint="eastAsia" w:ascii="宋体" w:hAnsi="宋体" w:eastAsia="宋体" w:cs="宋体"/>
                <w:b/>
                <w:bCs/>
                <w:kern w:val="0"/>
                <w:sz w:val="24"/>
              </w:rPr>
            </w:pPr>
            <w:r>
              <w:rPr>
                <w:rFonts w:hint="eastAsia" w:ascii="宋体" w:hAnsi="宋体" w:eastAsia="宋体" w:cs="宋体"/>
                <w:b/>
                <w:bCs/>
                <w:kern w:val="0"/>
                <w:sz w:val="24"/>
              </w:rPr>
              <w:t>电缆</w:t>
            </w:r>
          </w:p>
        </w:tc>
        <w:tc>
          <w:tcPr>
            <w:tcW w:w="1125" w:type="pct"/>
            <w:vAlign w:val="center"/>
          </w:tcPr>
          <w:p w14:paraId="38F25327">
            <w:pPr>
              <w:widowControl/>
              <w:adjustRightInd w:val="0"/>
              <w:snapToGrid w:val="0"/>
              <w:jc w:val="center"/>
              <w:rPr>
                <w:rFonts w:hint="eastAsia" w:ascii="宋体" w:hAnsi="宋体" w:eastAsia="宋体" w:cs="宋体"/>
                <w:b/>
                <w:bCs/>
                <w:kern w:val="0"/>
                <w:sz w:val="24"/>
              </w:rPr>
            </w:pPr>
            <w:r>
              <w:rPr>
                <w:rFonts w:hint="eastAsia" w:ascii="宋体" w:hAnsi="宋体" w:eastAsia="宋体" w:cs="宋体"/>
                <w:b/>
                <w:bCs/>
                <w:kern w:val="0"/>
                <w:sz w:val="24"/>
              </w:rPr>
              <w:t>连接硬件</w:t>
            </w:r>
          </w:p>
        </w:tc>
      </w:tr>
      <w:tr w14:paraId="08D1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2" w:type="pct"/>
            <w:vAlign w:val="center"/>
          </w:tcPr>
          <w:p w14:paraId="3E66FA96">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A</w:t>
            </w:r>
          </w:p>
        </w:tc>
        <w:tc>
          <w:tcPr>
            <w:tcW w:w="1799" w:type="pct"/>
            <w:vAlign w:val="center"/>
          </w:tcPr>
          <w:p w14:paraId="0FA81494">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100K</w:t>
            </w:r>
          </w:p>
        </w:tc>
        <w:tc>
          <w:tcPr>
            <w:tcW w:w="953" w:type="pct"/>
            <w:vAlign w:val="center"/>
          </w:tcPr>
          <w:p w14:paraId="3E2A1B34">
            <w:pPr>
              <w:widowControl/>
              <w:adjustRightInd w:val="0"/>
              <w:snapToGrid w:val="0"/>
              <w:jc w:val="center"/>
              <w:rPr>
                <w:rFonts w:hint="eastAsia" w:ascii="宋体" w:hAnsi="宋体" w:eastAsia="宋体" w:cs="宋体"/>
                <w:kern w:val="0"/>
                <w:sz w:val="24"/>
              </w:rPr>
            </w:pPr>
          </w:p>
        </w:tc>
        <w:tc>
          <w:tcPr>
            <w:tcW w:w="1125" w:type="pct"/>
            <w:vAlign w:val="center"/>
          </w:tcPr>
          <w:p w14:paraId="70625E86">
            <w:pPr>
              <w:widowControl/>
              <w:adjustRightInd w:val="0"/>
              <w:snapToGrid w:val="0"/>
              <w:jc w:val="center"/>
              <w:rPr>
                <w:rFonts w:hint="eastAsia" w:ascii="宋体" w:hAnsi="宋体" w:eastAsia="宋体" w:cs="宋体"/>
                <w:kern w:val="0"/>
                <w:sz w:val="24"/>
              </w:rPr>
            </w:pPr>
          </w:p>
        </w:tc>
      </w:tr>
      <w:tr w14:paraId="3E52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2" w:type="pct"/>
            <w:vAlign w:val="center"/>
          </w:tcPr>
          <w:p w14:paraId="5A406AB7">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B</w:t>
            </w:r>
          </w:p>
        </w:tc>
        <w:tc>
          <w:tcPr>
            <w:tcW w:w="1799" w:type="pct"/>
            <w:vAlign w:val="center"/>
          </w:tcPr>
          <w:p w14:paraId="744ACCBD">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1M</w:t>
            </w:r>
          </w:p>
        </w:tc>
        <w:tc>
          <w:tcPr>
            <w:tcW w:w="953" w:type="pct"/>
            <w:vAlign w:val="center"/>
          </w:tcPr>
          <w:p w14:paraId="749D5BD4">
            <w:pPr>
              <w:widowControl/>
              <w:adjustRightInd w:val="0"/>
              <w:snapToGrid w:val="0"/>
              <w:jc w:val="center"/>
              <w:rPr>
                <w:rFonts w:hint="eastAsia" w:ascii="宋体" w:hAnsi="宋体" w:eastAsia="宋体" w:cs="宋体"/>
                <w:kern w:val="0"/>
                <w:sz w:val="24"/>
              </w:rPr>
            </w:pPr>
          </w:p>
        </w:tc>
        <w:tc>
          <w:tcPr>
            <w:tcW w:w="1125" w:type="pct"/>
            <w:vAlign w:val="center"/>
          </w:tcPr>
          <w:p w14:paraId="53D8C6E1">
            <w:pPr>
              <w:widowControl/>
              <w:adjustRightInd w:val="0"/>
              <w:snapToGrid w:val="0"/>
              <w:jc w:val="center"/>
              <w:rPr>
                <w:rFonts w:hint="eastAsia" w:ascii="宋体" w:hAnsi="宋体" w:eastAsia="宋体" w:cs="宋体"/>
                <w:kern w:val="0"/>
                <w:sz w:val="24"/>
              </w:rPr>
            </w:pPr>
          </w:p>
        </w:tc>
      </w:tr>
      <w:tr w14:paraId="1F37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2" w:type="pct"/>
            <w:vAlign w:val="center"/>
          </w:tcPr>
          <w:p w14:paraId="0095C42E">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C</w:t>
            </w:r>
          </w:p>
        </w:tc>
        <w:tc>
          <w:tcPr>
            <w:tcW w:w="1799" w:type="pct"/>
            <w:vAlign w:val="center"/>
          </w:tcPr>
          <w:p w14:paraId="0C93C67F">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16M</w:t>
            </w:r>
          </w:p>
        </w:tc>
        <w:tc>
          <w:tcPr>
            <w:tcW w:w="953" w:type="pct"/>
            <w:vAlign w:val="center"/>
          </w:tcPr>
          <w:p w14:paraId="1C32A8F1">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3类</w:t>
            </w:r>
          </w:p>
        </w:tc>
        <w:tc>
          <w:tcPr>
            <w:tcW w:w="1125" w:type="pct"/>
            <w:vAlign w:val="center"/>
          </w:tcPr>
          <w:p w14:paraId="5E87EA5F">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3类</w:t>
            </w:r>
          </w:p>
        </w:tc>
      </w:tr>
      <w:tr w14:paraId="6603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2" w:type="pct"/>
            <w:vAlign w:val="center"/>
          </w:tcPr>
          <w:p w14:paraId="219DE006">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D</w:t>
            </w:r>
          </w:p>
        </w:tc>
        <w:tc>
          <w:tcPr>
            <w:tcW w:w="1799" w:type="pct"/>
            <w:vAlign w:val="center"/>
          </w:tcPr>
          <w:p w14:paraId="40A807BE">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100M</w:t>
            </w:r>
          </w:p>
        </w:tc>
        <w:tc>
          <w:tcPr>
            <w:tcW w:w="953" w:type="pct"/>
            <w:vAlign w:val="center"/>
          </w:tcPr>
          <w:p w14:paraId="093DDB65">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5/5e类</w:t>
            </w:r>
          </w:p>
        </w:tc>
        <w:tc>
          <w:tcPr>
            <w:tcW w:w="1125" w:type="pct"/>
            <w:vAlign w:val="center"/>
          </w:tcPr>
          <w:p w14:paraId="25165D3A">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5/5e类</w:t>
            </w:r>
          </w:p>
        </w:tc>
      </w:tr>
      <w:tr w14:paraId="59F5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2" w:type="pct"/>
            <w:vAlign w:val="center"/>
          </w:tcPr>
          <w:p w14:paraId="2607E23A">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E</w:t>
            </w:r>
          </w:p>
        </w:tc>
        <w:tc>
          <w:tcPr>
            <w:tcW w:w="1799" w:type="pct"/>
            <w:vAlign w:val="center"/>
          </w:tcPr>
          <w:p w14:paraId="177E97F3">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250M</w:t>
            </w:r>
          </w:p>
        </w:tc>
        <w:tc>
          <w:tcPr>
            <w:tcW w:w="953" w:type="pct"/>
            <w:vAlign w:val="center"/>
          </w:tcPr>
          <w:p w14:paraId="6E9806B0">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6类</w:t>
            </w:r>
          </w:p>
        </w:tc>
        <w:tc>
          <w:tcPr>
            <w:tcW w:w="1125" w:type="pct"/>
            <w:vAlign w:val="center"/>
          </w:tcPr>
          <w:p w14:paraId="59457DBB">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6类</w:t>
            </w:r>
          </w:p>
        </w:tc>
      </w:tr>
      <w:tr w14:paraId="250EC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2" w:type="pct"/>
            <w:vAlign w:val="center"/>
          </w:tcPr>
          <w:p w14:paraId="32012516">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F</w:t>
            </w:r>
          </w:p>
        </w:tc>
        <w:tc>
          <w:tcPr>
            <w:tcW w:w="1799" w:type="pct"/>
            <w:vAlign w:val="center"/>
          </w:tcPr>
          <w:p w14:paraId="70F885E5">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600M</w:t>
            </w:r>
          </w:p>
        </w:tc>
        <w:tc>
          <w:tcPr>
            <w:tcW w:w="953" w:type="pct"/>
            <w:vAlign w:val="center"/>
          </w:tcPr>
          <w:p w14:paraId="09359848">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7类</w:t>
            </w:r>
          </w:p>
        </w:tc>
        <w:tc>
          <w:tcPr>
            <w:tcW w:w="1125" w:type="pct"/>
            <w:vAlign w:val="center"/>
          </w:tcPr>
          <w:p w14:paraId="681FBFD2">
            <w:pPr>
              <w:widowControl/>
              <w:adjustRightInd w:val="0"/>
              <w:snapToGrid w:val="0"/>
              <w:jc w:val="center"/>
              <w:rPr>
                <w:rFonts w:hint="eastAsia" w:ascii="宋体" w:hAnsi="宋体" w:eastAsia="宋体" w:cs="宋体"/>
                <w:kern w:val="0"/>
                <w:sz w:val="24"/>
              </w:rPr>
            </w:pPr>
            <w:r>
              <w:rPr>
                <w:rFonts w:hint="eastAsia" w:ascii="宋体" w:hAnsi="宋体" w:eastAsia="宋体" w:cs="宋体"/>
                <w:kern w:val="0"/>
                <w:sz w:val="24"/>
              </w:rPr>
              <w:t>7类</w:t>
            </w:r>
          </w:p>
        </w:tc>
      </w:tr>
    </w:tbl>
    <w:p w14:paraId="43190433">
      <w:pPr>
        <w:pStyle w:val="19"/>
        <w:ind w:firstLine="480"/>
        <w:rPr>
          <w:rFonts w:hint="eastAsia" w:ascii="宋体" w:hAnsi="宋体" w:eastAsia="宋体"/>
          <w:sz w:val="24"/>
        </w:rPr>
      </w:pPr>
      <w:r>
        <w:rPr>
          <w:rFonts w:hint="eastAsia" w:ascii="宋体" w:hAnsi="宋体" w:eastAsia="宋体"/>
          <w:sz w:val="24"/>
        </w:rPr>
        <w:t>注：3类、5/5e类（超5类）、6 类、7类布线系统应能支持向下兼容的应用。</w:t>
      </w:r>
    </w:p>
    <w:p w14:paraId="31C2F357">
      <w:pPr>
        <w:pStyle w:val="19"/>
        <w:ind w:firstLine="520"/>
        <w:rPr>
          <w:rFonts w:hint="eastAsia" w:ascii="宋体" w:hAnsi="宋体" w:eastAsia="宋体"/>
          <w:snapToGrid w:val="0"/>
          <w:spacing w:val="10"/>
          <w:sz w:val="24"/>
        </w:rPr>
      </w:pPr>
      <w:r>
        <w:rPr>
          <w:rFonts w:hint="eastAsia" w:ascii="宋体" w:hAnsi="宋体" w:eastAsia="宋体"/>
          <w:snapToGrid w:val="0"/>
          <w:spacing w:val="10"/>
          <w:sz w:val="24"/>
        </w:rPr>
        <w:t>1.光纤信道分为OF-300、OF-500和OF-2000三个等级，各等级光纤信道应支持的应用长度不应小于300m、500m及2000m。</w:t>
      </w:r>
    </w:p>
    <w:p w14:paraId="1EFE3024">
      <w:pPr>
        <w:pStyle w:val="19"/>
        <w:ind w:firstLine="480"/>
        <w:rPr>
          <w:rFonts w:hint="eastAsia" w:ascii="宋体" w:hAnsi="宋体" w:eastAsia="宋体"/>
          <w:snapToGrid w:val="0"/>
          <w:sz w:val="24"/>
        </w:rPr>
      </w:pPr>
      <w:r>
        <w:rPr>
          <w:rFonts w:hint="eastAsia" w:ascii="宋体" w:hAnsi="宋体" w:eastAsia="宋体"/>
          <w:snapToGrid w:val="0"/>
          <w:sz w:val="24"/>
        </w:rPr>
        <w:t>2.综合布线系统信道应由最长90m水平缆线、最长10m的跳线和设备缆线及最多4个连接器件组成，永久链路则由90m水平缆线及3个连接器件组成。</w:t>
      </w:r>
    </w:p>
    <w:p w14:paraId="18899F43">
      <w:pPr>
        <w:pStyle w:val="19"/>
        <w:ind w:firstLine="480"/>
        <w:rPr>
          <w:rFonts w:hint="eastAsia" w:ascii="宋体" w:hAnsi="宋体" w:eastAsia="宋体"/>
          <w:sz w:val="24"/>
        </w:rPr>
      </w:pPr>
      <w:r>
        <w:rPr>
          <w:rFonts w:hint="eastAsia" w:ascii="宋体" w:hAnsi="宋体" w:eastAsia="宋体"/>
          <w:sz w:val="24"/>
        </w:rPr>
        <w:t>缆线长度划分</w:t>
      </w:r>
    </w:p>
    <w:p w14:paraId="72AF7A12">
      <w:pPr>
        <w:pStyle w:val="19"/>
        <w:ind w:firstLine="520"/>
        <w:rPr>
          <w:rFonts w:hint="eastAsia" w:ascii="宋体" w:hAnsi="宋体" w:eastAsia="宋体"/>
          <w:snapToGrid w:val="0"/>
          <w:spacing w:val="10"/>
          <w:sz w:val="24"/>
        </w:rPr>
      </w:pPr>
      <w:r>
        <w:rPr>
          <w:rFonts w:hint="eastAsia" w:ascii="宋体" w:hAnsi="宋体" w:eastAsia="宋体"/>
          <w:snapToGrid w:val="0"/>
          <w:spacing w:val="10"/>
          <w:sz w:val="24"/>
        </w:rPr>
        <w:t>1.综合布线系统水平缆线与建筑物主干缆线及建筑群主干缆线之和所成信道的总长度不应大于2000m。</w:t>
      </w:r>
    </w:p>
    <w:p w14:paraId="50EAEF3C">
      <w:pPr>
        <w:pStyle w:val="19"/>
        <w:ind w:firstLine="520"/>
        <w:rPr>
          <w:rFonts w:hint="eastAsia" w:ascii="宋体" w:hAnsi="宋体" w:eastAsia="宋体"/>
          <w:snapToGrid w:val="0"/>
          <w:spacing w:val="10"/>
          <w:sz w:val="24"/>
        </w:rPr>
      </w:pPr>
      <w:r>
        <w:rPr>
          <w:rFonts w:hint="eastAsia" w:ascii="宋体" w:hAnsi="宋体" w:eastAsia="宋体"/>
          <w:snapToGrid w:val="0"/>
          <w:spacing w:val="10"/>
          <w:sz w:val="24"/>
        </w:rPr>
        <w:t>2.建筑物或建筑群配线设备之间（FD与BD、FD与CD、BD与BD、BD与CD之间）组成的信道出现4个连接器件时，主干缆线的长度不应小于15m。</w:t>
      </w:r>
    </w:p>
    <w:p w14:paraId="5FE8C3CF">
      <w:pPr>
        <w:pStyle w:val="19"/>
        <w:ind w:firstLine="520"/>
        <w:rPr>
          <w:rFonts w:hint="eastAsia" w:ascii="宋体" w:hAnsi="宋体" w:eastAsia="宋体"/>
          <w:snapToGrid w:val="0"/>
          <w:spacing w:val="10"/>
          <w:sz w:val="24"/>
        </w:rPr>
      </w:pPr>
      <w:r>
        <w:rPr>
          <w:rFonts w:hint="eastAsia" w:ascii="宋体" w:hAnsi="宋体" w:eastAsia="宋体"/>
          <w:snapToGrid w:val="0"/>
          <w:spacing w:val="10"/>
          <w:sz w:val="24"/>
        </w:rPr>
        <w:t>3.配线子系统各缆线长度应符合下图的划分并应符合下列要求：</w:t>
      </w:r>
    </w:p>
    <w:p w14:paraId="7FACD56E">
      <w:pPr>
        <w:adjustRightInd w:val="0"/>
        <w:jc w:val="center"/>
        <w:rPr>
          <w:rFonts w:hint="eastAsia" w:ascii="宋体" w:hAnsi="宋体" w:eastAsia="宋体" w:cs="宋体"/>
          <w:spacing w:val="10"/>
          <w:kern w:val="0"/>
          <w:sz w:val="24"/>
        </w:rPr>
      </w:pPr>
      <w:r>
        <w:rPr>
          <w:rFonts w:hint="eastAsia" w:ascii="宋体" w:hAnsi="宋体" w:eastAsia="宋体" w:cs="宋体"/>
          <w:spacing w:val="10"/>
          <w:kern w:val="0"/>
          <w:sz w:val="24"/>
        </w:rPr>
        <w:drawing>
          <wp:inline distT="0" distB="0" distL="0" distR="0">
            <wp:extent cx="4619625" cy="1009650"/>
            <wp:effectExtent l="0" t="0" r="0" b="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6"/>
                    <a:srcRect/>
                    <a:stretch>
                      <a:fillRect/>
                    </a:stretch>
                  </pic:blipFill>
                  <pic:spPr>
                    <a:xfrm>
                      <a:off x="0" y="0"/>
                      <a:ext cx="4619625" cy="1009650"/>
                    </a:xfrm>
                    <a:prstGeom prst="rect">
                      <a:avLst/>
                    </a:prstGeom>
                    <a:noFill/>
                    <a:ln w="9525" cmpd="sng">
                      <a:noFill/>
                      <a:miter lim="800000"/>
                      <a:headEnd/>
                      <a:tailEnd/>
                    </a:ln>
                  </pic:spPr>
                </pic:pic>
              </a:graphicData>
            </a:graphic>
          </wp:inline>
        </w:drawing>
      </w:r>
    </w:p>
    <w:p w14:paraId="2484D91E">
      <w:pPr>
        <w:pStyle w:val="13"/>
        <w:rPr>
          <w:rFonts w:hint="eastAsia" w:ascii="宋体" w:hAnsi="宋体" w:eastAsia="宋体" w:cs="宋体"/>
          <w:sz w:val="24"/>
        </w:rPr>
      </w:pPr>
      <w:r>
        <w:rPr>
          <w:rFonts w:hint="eastAsia" w:ascii="宋体" w:hAnsi="宋体" w:eastAsia="宋体" w:cs="宋体"/>
          <w:sz w:val="24"/>
        </w:rPr>
        <w:t xml:space="preserve">图 </w:t>
      </w:r>
      <w:r>
        <w:rPr>
          <w:rFonts w:hint="eastAsia" w:ascii="宋体" w:hAnsi="宋体" w:eastAsia="宋体" w:cs="宋体"/>
          <w:sz w:val="24"/>
        </w:rPr>
        <w:fldChar w:fldCharType="begin"/>
      </w:r>
      <w:r>
        <w:rPr>
          <w:rFonts w:hint="eastAsia" w:ascii="宋体" w:hAnsi="宋体" w:eastAsia="宋体" w:cs="宋体"/>
          <w:sz w:val="24"/>
        </w:rPr>
        <w:instrText xml:space="preserve"> STYLEREF 1 \s </w:instrText>
      </w:r>
      <w:r>
        <w:rPr>
          <w:rFonts w:hint="eastAsia" w:ascii="宋体" w:hAnsi="宋体" w:eastAsia="宋体" w:cs="宋体"/>
          <w:sz w:val="24"/>
        </w:rPr>
        <w:fldChar w:fldCharType="separate"/>
      </w:r>
      <w:r>
        <w:rPr>
          <w:rFonts w:hint="eastAsia" w:ascii="宋体" w:hAnsi="宋体" w:eastAsia="宋体" w:cs="宋体"/>
          <w:sz w:val="24"/>
        </w:rPr>
        <w:t>5</w:t>
      </w:r>
      <w:r>
        <w:rPr>
          <w:rFonts w:hint="eastAsia" w:ascii="宋体" w:hAnsi="宋体" w:eastAsia="宋体" w:cs="宋体"/>
          <w:sz w:val="24"/>
        </w:rPr>
        <w:fldChar w:fldCharType="end"/>
      </w:r>
      <w:r>
        <w:rPr>
          <w:rFonts w:hint="eastAsia" w:ascii="宋体" w:hAnsi="宋体" w:eastAsia="宋体" w:cs="宋体"/>
          <w:sz w:val="24"/>
        </w:rPr>
        <w:noBreakHyphen/>
      </w:r>
      <w:r>
        <w:rPr>
          <w:rFonts w:hint="eastAsia" w:ascii="宋体" w:hAnsi="宋体" w:eastAsia="宋体" w:cs="宋体"/>
          <w:sz w:val="24"/>
        </w:rPr>
        <w:fldChar w:fldCharType="begin"/>
      </w:r>
      <w:r>
        <w:rPr>
          <w:rFonts w:hint="eastAsia" w:ascii="宋体" w:hAnsi="宋体" w:eastAsia="宋体" w:cs="宋体"/>
          <w:sz w:val="24"/>
        </w:rPr>
        <w:instrText xml:space="preserve"> SEQ 图 \* ARABIC \s 1 </w:instrText>
      </w:r>
      <w:r>
        <w:rPr>
          <w:rFonts w:hint="eastAsia" w:ascii="宋体" w:hAnsi="宋体" w:eastAsia="宋体" w:cs="宋体"/>
          <w:sz w:val="24"/>
        </w:rPr>
        <w:fldChar w:fldCharType="separate"/>
      </w:r>
      <w:r>
        <w:rPr>
          <w:rFonts w:hint="eastAsia" w:ascii="宋体" w:hAnsi="宋体" w:eastAsia="宋体" w:cs="宋体"/>
          <w:sz w:val="24"/>
        </w:rPr>
        <w:t>3</w:t>
      </w:r>
      <w:r>
        <w:rPr>
          <w:rFonts w:hint="eastAsia" w:ascii="宋体" w:hAnsi="宋体" w:eastAsia="宋体" w:cs="宋体"/>
          <w:sz w:val="24"/>
        </w:rPr>
        <w:fldChar w:fldCharType="end"/>
      </w:r>
      <w:r>
        <w:rPr>
          <w:rFonts w:hint="eastAsia" w:ascii="宋体" w:hAnsi="宋体" w:eastAsia="宋体" w:cs="宋体"/>
          <w:sz w:val="24"/>
        </w:rPr>
        <w:t xml:space="preserve"> 综合布线配线架构图</w:t>
      </w:r>
    </w:p>
    <w:p w14:paraId="178A2CFE">
      <w:pPr>
        <w:pStyle w:val="23"/>
        <w:adjustRightInd/>
        <w:ind w:left="420" w:leftChars="200" w:firstLine="0" w:firstLineChars="0"/>
        <w:rPr>
          <w:rFonts w:hint="eastAsia" w:ascii="宋体" w:hAnsi="宋体" w:eastAsia="宋体" w:cs="宋体"/>
          <w:sz w:val="24"/>
        </w:rPr>
      </w:pPr>
      <w:r>
        <w:rPr>
          <w:rFonts w:hint="eastAsia" w:ascii="宋体" w:hAnsi="宋体" w:eastAsia="宋体" w:cs="宋体"/>
          <w:sz w:val="24"/>
        </w:rPr>
        <w:t>（1）配线子系统信道的最大长度不应大于100m。</w:t>
      </w:r>
    </w:p>
    <w:p w14:paraId="2AECBEA0">
      <w:pPr>
        <w:pStyle w:val="19"/>
        <w:ind w:firstLine="480"/>
        <w:rPr>
          <w:rFonts w:hint="eastAsia" w:ascii="宋体" w:hAnsi="宋体" w:eastAsia="宋体"/>
          <w:sz w:val="24"/>
        </w:rPr>
      </w:pPr>
      <w:r>
        <w:rPr>
          <w:rFonts w:hint="eastAsia" w:ascii="宋体" w:hAnsi="宋体" w:eastAsia="宋体"/>
          <w:sz w:val="24"/>
        </w:rPr>
        <w:t>（2）工作区设备缆线、电信间配线设备的跳线和设备缆线之和不应大于10m，当大于10m时，水平缆线长度（90m）应适当减少。</w:t>
      </w:r>
    </w:p>
    <w:p w14:paraId="5759DC5C">
      <w:pPr>
        <w:pStyle w:val="19"/>
        <w:ind w:firstLine="480"/>
        <w:rPr>
          <w:rFonts w:hint="eastAsia" w:ascii="宋体" w:hAnsi="宋体" w:eastAsia="宋体"/>
          <w:sz w:val="24"/>
        </w:rPr>
      </w:pPr>
      <w:r>
        <w:rPr>
          <w:rFonts w:hint="eastAsia" w:ascii="宋体" w:hAnsi="宋体" w:eastAsia="宋体"/>
          <w:sz w:val="24"/>
        </w:rPr>
        <w:t>（3）楼层配线设备（FD）跳线、设备缆线及工作区设备缆线各自的长度不应大于5m。</w:t>
      </w:r>
    </w:p>
    <w:p w14:paraId="2D67A644">
      <w:pPr>
        <w:pStyle w:val="19"/>
        <w:ind w:firstLine="480"/>
        <w:rPr>
          <w:rFonts w:hint="eastAsia" w:ascii="宋体" w:hAnsi="宋体" w:eastAsia="宋体"/>
          <w:sz w:val="24"/>
        </w:rPr>
      </w:pPr>
      <w:r>
        <w:rPr>
          <w:rFonts w:hint="eastAsia" w:ascii="宋体" w:hAnsi="宋体" w:eastAsia="宋体"/>
          <w:sz w:val="24"/>
        </w:rPr>
        <w:t>对称电缆布线链路的性能指标和主要参数</w:t>
      </w:r>
    </w:p>
    <w:p w14:paraId="7C62474E">
      <w:pPr>
        <w:pStyle w:val="19"/>
        <w:ind w:firstLine="480"/>
        <w:rPr>
          <w:rFonts w:hint="eastAsia" w:ascii="宋体" w:hAnsi="宋体" w:eastAsia="宋体"/>
          <w:sz w:val="24"/>
          <w:lang w:val="en-GB"/>
        </w:rPr>
      </w:pPr>
      <w:r>
        <w:rPr>
          <w:rFonts w:hint="eastAsia" w:ascii="宋体" w:hAnsi="宋体" w:eastAsia="宋体"/>
          <w:sz w:val="24"/>
        </w:rPr>
        <w:t>1.</w:t>
      </w:r>
      <w:r>
        <w:rPr>
          <w:rFonts w:hint="eastAsia" w:ascii="宋体" w:hAnsi="宋体" w:eastAsia="宋体"/>
          <w:sz w:val="24"/>
          <w:lang w:val="en-GB"/>
        </w:rPr>
        <w:t>近端串音</w:t>
      </w:r>
    </w:p>
    <w:p w14:paraId="61567BE9">
      <w:pPr>
        <w:pStyle w:val="13"/>
        <w:rPr>
          <w:rFonts w:hint="eastAsia" w:ascii="宋体" w:hAnsi="宋体" w:eastAsia="宋体" w:cs="宋体"/>
          <w:sz w:val="24"/>
        </w:rPr>
      </w:pPr>
      <w:r>
        <w:rPr>
          <w:rFonts w:hint="eastAsia" w:ascii="宋体" w:hAnsi="宋体" w:eastAsia="宋体" w:cs="宋体"/>
          <w:sz w:val="24"/>
        </w:rPr>
        <w:t>信道近端串音值</w:t>
      </w:r>
    </w:p>
    <w:tbl>
      <w:tblPr>
        <w:tblStyle w:val="1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953"/>
        <w:gridCol w:w="1242"/>
        <w:gridCol w:w="1242"/>
        <w:gridCol w:w="1242"/>
        <w:gridCol w:w="1242"/>
        <w:gridCol w:w="1243"/>
        <w:gridCol w:w="1252"/>
      </w:tblGrid>
      <w:tr w14:paraId="289D0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566" w:type="pct"/>
            <w:vAlign w:val="center"/>
          </w:tcPr>
          <w:p w14:paraId="4DDC8E28">
            <w:pPr>
              <w:pStyle w:val="24"/>
              <w:ind w:left="0" w:leftChars="0" w:right="0" w:rightChars="0"/>
              <w:rPr>
                <w:rFonts w:cs="宋体"/>
                <w:b/>
                <w:bCs/>
                <w:sz w:val="24"/>
                <w:szCs w:val="24"/>
              </w:rPr>
            </w:pPr>
            <w:r>
              <w:rPr>
                <w:rFonts w:cs="宋体"/>
                <w:b/>
                <w:bCs/>
                <w:sz w:val="24"/>
                <w:szCs w:val="24"/>
              </w:rPr>
              <w:t>频率</w:t>
            </w:r>
          </w:p>
        </w:tc>
        <w:tc>
          <w:tcPr>
            <w:tcW w:w="4433" w:type="pct"/>
            <w:gridSpan w:val="6"/>
            <w:vAlign w:val="center"/>
          </w:tcPr>
          <w:p w14:paraId="21467FAE">
            <w:pPr>
              <w:pStyle w:val="24"/>
              <w:ind w:left="0" w:leftChars="0" w:right="0" w:rightChars="0"/>
              <w:rPr>
                <w:rFonts w:cs="宋体"/>
                <w:b/>
                <w:bCs/>
                <w:sz w:val="24"/>
                <w:szCs w:val="24"/>
              </w:rPr>
            </w:pPr>
            <w:r>
              <w:rPr>
                <w:rFonts w:cs="宋体"/>
                <w:b/>
                <w:bCs/>
                <w:sz w:val="24"/>
                <w:szCs w:val="24"/>
              </w:rPr>
              <w:t>最小近端串音（dB）</w:t>
            </w:r>
          </w:p>
        </w:tc>
      </w:tr>
      <w:tr w14:paraId="4A01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566" w:type="pct"/>
            <w:vAlign w:val="center"/>
          </w:tcPr>
          <w:p w14:paraId="2B07E535">
            <w:pPr>
              <w:pStyle w:val="24"/>
              <w:ind w:left="0" w:leftChars="0" w:right="0" w:rightChars="0"/>
              <w:rPr>
                <w:rFonts w:cs="宋体"/>
                <w:b/>
                <w:bCs/>
                <w:sz w:val="24"/>
                <w:szCs w:val="24"/>
              </w:rPr>
            </w:pPr>
            <w:r>
              <w:rPr>
                <w:rFonts w:cs="宋体"/>
                <w:b/>
                <w:bCs/>
                <w:sz w:val="24"/>
                <w:szCs w:val="24"/>
              </w:rPr>
              <w:t>(MHz)</w:t>
            </w:r>
          </w:p>
        </w:tc>
        <w:tc>
          <w:tcPr>
            <w:tcW w:w="738" w:type="pct"/>
            <w:vAlign w:val="center"/>
          </w:tcPr>
          <w:p w14:paraId="68F0FA4B">
            <w:pPr>
              <w:pStyle w:val="24"/>
              <w:ind w:left="0" w:leftChars="0" w:right="0" w:rightChars="0"/>
              <w:rPr>
                <w:rFonts w:cs="宋体"/>
                <w:b/>
                <w:bCs/>
                <w:sz w:val="24"/>
                <w:szCs w:val="24"/>
              </w:rPr>
            </w:pPr>
            <w:r>
              <w:rPr>
                <w:rFonts w:cs="宋体"/>
                <w:b/>
                <w:bCs/>
                <w:sz w:val="24"/>
                <w:szCs w:val="24"/>
              </w:rPr>
              <w:t>A级</w:t>
            </w:r>
          </w:p>
        </w:tc>
        <w:tc>
          <w:tcPr>
            <w:tcW w:w="738" w:type="pct"/>
            <w:vAlign w:val="center"/>
          </w:tcPr>
          <w:p w14:paraId="7FBEF97E">
            <w:pPr>
              <w:pStyle w:val="24"/>
              <w:ind w:left="0" w:leftChars="0" w:right="0" w:rightChars="0"/>
              <w:rPr>
                <w:rFonts w:cs="宋体"/>
                <w:b/>
                <w:bCs/>
                <w:sz w:val="24"/>
                <w:szCs w:val="24"/>
              </w:rPr>
            </w:pPr>
            <w:r>
              <w:rPr>
                <w:rFonts w:cs="宋体"/>
                <w:b/>
                <w:bCs/>
                <w:sz w:val="24"/>
                <w:szCs w:val="24"/>
              </w:rPr>
              <w:t>B级</w:t>
            </w:r>
          </w:p>
        </w:tc>
        <w:tc>
          <w:tcPr>
            <w:tcW w:w="738" w:type="pct"/>
            <w:vAlign w:val="center"/>
          </w:tcPr>
          <w:p w14:paraId="5C764657">
            <w:pPr>
              <w:pStyle w:val="24"/>
              <w:ind w:left="0" w:leftChars="0" w:right="0" w:rightChars="0"/>
              <w:rPr>
                <w:rFonts w:cs="宋体"/>
                <w:b/>
                <w:bCs/>
                <w:sz w:val="24"/>
                <w:szCs w:val="24"/>
              </w:rPr>
            </w:pPr>
            <w:r>
              <w:rPr>
                <w:rFonts w:cs="宋体"/>
                <w:b/>
                <w:bCs/>
                <w:sz w:val="24"/>
                <w:szCs w:val="24"/>
              </w:rPr>
              <w:t>C级</w:t>
            </w:r>
          </w:p>
        </w:tc>
        <w:tc>
          <w:tcPr>
            <w:tcW w:w="738" w:type="pct"/>
            <w:vAlign w:val="center"/>
          </w:tcPr>
          <w:p w14:paraId="40756347">
            <w:pPr>
              <w:pStyle w:val="24"/>
              <w:ind w:left="0" w:leftChars="0" w:right="0" w:rightChars="0"/>
              <w:rPr>
                <w:rFonts w:cs="宋体"/>
                <w:b/>
                <w:bCs/>
                <w:sz w:val="24"/>
                <w:szCs w:val="24"/>
              </w:rPr>
            </w:pPr>
            <w:r>
              <w:rPr>
                <w:rFonts w:cs="宋体"/>
                <w:b/>
                <w:bCs/>
                <w:sz w:val="24"/>
                <w:szCs w:val="24"/>
              </w:rPr>
              <w:t>D级</w:t>
            </w:r>
          </w:p>
        </w:tc>
        <w:tc>
          <w:tcPr>
            <w:tcW w:w="738" w:type="pct"/>
            <w:vAlign w:val="center"/>
          </w:tcPr>
          <w:p w14:paraId="726E754E">
            <w:pPr>
              <w:pStyle w:val="24"/>
              <w:ind w:left="0" w:leftChars="0" w:right="0" w:rightChars="0"/>
              <w:rPr>
                <w:rFonts w:cs="宋体"/>
                <w:b/>
                <w:bCs/>
                <w:sz w:val="24"/>
                <w:szCs w:val="24"/>
              </w:rPr>
            </w:pPr>
            <w:r>
              <w:rPr>
                <w:rFonts w:cs="宋体"/>
                <w:b/>
                <w:bCs/>
                <w:sz w:val="24"/>
                <w:szCs w:val="24"/>
              </w:rPr>
              <w:t>E级</w:t>
            </w:r>
          </w:p>
        </w:tc>
        <w:tc>
          <w:tcPr>
            <w:tcW w:w="741" w:type="pct"/>
            <w:vAlign w:val="center"/>
          </w:tcPr>
          <w:p w14:paraId="12971B5D">
            <w:pPr>
              <w:pStyle w:val="24"/>
              <w:ind w:left="0" w:leftChars="0" w:right="0" w:rightChars="0"/>
              <w:rPr>
                <w:rFonts w:cs="宋体"/>
                <w:b/>
                <w:bCs/>
                <w:sz w:val="24"/>
                <w:szCs w:val="24"/>
              </w:rPr>
            </w:pPr>
            <w:r>
              <w:rPr>
                <w:rFonts w:cs="宋体"/>
                <w:b/>
                <w:bCs/>
                <w:sz w:val="24"/>
                <w:szCs w:val="24"/>
              </w:rPr>
              <w:t>F级</w:t>
            </w:r>
          </w:p>
        </w:tc>
      </w:tr>
      <w:tr w14:paraId="2C020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566" w:type="pct"/>
            <w:vAlign w:val="center"/>
          </w:tcPr>
          <w:p w14:paraId="34ABC476">
            <w:pPr>
              <w:pStyle w:val="24"/>
              <w:ind w:left="0" w:leftChars="0" w:right="0" w:rightChars="0"/>
              <w:rPr>
                <w:rFonts w:cs="宋体"/>
                <w:sz w:val="24"/>
                <w:szCs w:val="24"/>
              </w:rPr>
            </w:pPr>
            <w:r>
              <w:rPr>
                <w:rFonts w:cs="宋体"/>
                <w:sz w:val="24"/>
                <w:szCs w:val="24"/>
              </w:rPr>
              <w:t>0.1</w:t>
            </w:r>
          </w:p>
        </w:tc>
        <w:tc>
          <w:tcPr>
            <w:tcW w:w="738" w:type="pct"/>
            <w:vAlign w:val="center"/>
          </w:tcPr>
          <w:p w14:paraId="3C9CB12B">
            <w:pPr>
              <w:pStyle w:val="24"/>
              <w:ind w:left="0" w:leftChars="0" w:right="0" w:rightChars="0"/>
              <w:rPr>
                <w:rFonts w:cs="宋体"/>
                <w:sz w:val="24"/>
                <w:szCs w:val="24"/>
              </w:rPr>
            </w:pPr>
            <w:r>
              <w:rPr>
                <w:rFonts w:cs="宋体"/>
                <w:sz w:val="24"/>
                <w:szCs w:val="24"/>
              </w:rPr>
              <w:t>27.0</w:t>
            </w:r>
          </w:p>
        </w:tc>
        <w:tc>
          <w:tcPr>
            <w:tcW w:w="738" w:type="pct"/>
            <w:vAlign w:val="center"/>
          </w:tcPr>
          <w:p w14:paraId="62459157">
            <w:pPr>
              <w:pStyle w:val="24"/>
              <w:ind w:left="0" w:leftChars="0" w:right="0" w:rightChars="0"/>
              <w:rPr>
                <w:rFonts w:cs="宋体"/>
                <w:sz w:val="24"/>
                <w:szCs w:val="24"/>
              </w:rPr>
            </w:pPr>
            <w:r>
              <w:rPr>
                <w:rFonts w:cs="宋体"/>
                <w:sz w:val="24"/>
                <w:szCs w:val="24"/>
              </w:rPr>
              <w:t>40.0</w:t>
            </w:r>
          </w:p>
        </w:tc>
        <w:tc>
          <w:tcPr>
            <w:tcW w:w="738" w:type="pct"/>
            <w:vAlign w:val="center"/>
          </w:tcPr>
          <w:p w14:paraId="21E5A4D4">
            <w:pPr>
              <w:pStyle w:val="24"/>
              <w:ind w:left="0" w:leftChars="0" w:right="0" w:rightChars="0"/>
              <w:rPr>
                <w:rFonts w:cs="宋体"/>
                <w:sz w:val="24"/>
                <w:szCs w:val="24"/>
              </w:rPr>
            </w:pPr>
          </w:p>
        </w:tc>
        <w:tc>
          <w:tcPr>
            <w:tcW w:w="738" w:type="pct"/>
            <w:vAlign w:val="center"/>
          </w:tcPr>
          <w:p w14:paraId="01F113EA">
            <w:pPr>
              <w:pStyle w:val="24"/>
              <w:ind w:left="0" w:leftChars="0" w:right="0" w:rightChars="0"/>
              <w:rPr>
                <w:rFonts w:cs="宋体"/>
                <w:sz w:val="24"/>
                <w:szCs w:val="24"/>
              </w:rPr>
            </w:pPr>
          </w:p>
        </w:tc>
        <w:tc>
          <w:tcPr>
            <w:tcW w:w="738" w:type="pct"/>
            <w:vAlign w:val="center"/>
          </w:tcPr>
          <w:p w14:paraId="1895A2A5">
            <w:pPr>
              <w:pStyle w:val="24"/>
              <w:ind w:left="0" w:leftChars="0" w:right="0" w:rightChars="0"/>
              <w:rPr>
                <w:rFonts w:cs="宋体"/>
                <w:sz w:val="24"/>
                <w:szCs w:val="24"/>
              </w:rPr>
            </w:pPr>
          </w:p>
        </w:tc>
        <w:tc>
          <w:tcPr>
            <w:tcW w:w="741" w:type="pct"/>
            <w:vAlign w:val="center"/>
          </w:tcPr>
          <w:p w14:paraId="3F8D54FB">
            <w:pPr>
              <w:pStyle w:val="24"/>
              <w:ind w:left="0" w:leftChars="0" w:right="0" w:rightChars="0"/>
              <w:rPr>
                <w:rFonts w:cs="宋体"/>
                <w:sz w:val="24"/>
                <w:szCs w:val="24"/>
              </w:rPr>
            </w:pPr>
          </w:p>
        </w:tc>
      </w:tr>
      <w:tr w14:paraId="1F29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566" w:type="pct"/>
            <w:vAlign w:val="center"/>
          </w:tcPr>
          <w:p w14:paraId="648BF564">
            <w:pPr>
              <w:pStyle w:val="24"/>
              <w:ind w:left="0" w:leftChars="0" w:right="0" w:rightChars="0"/>
              <w:rPr>
                <w:rFonts w:cs="宋体"/>
                <w:sz w:val="24"/>
                <w:szCs w:val="24"/>
              </w:rPr>
            </w:pPr>
            <w:r>
              <w:rPr>
                <w:rFonts w:cs="宋体"/>
                <w:sz w:val="24"/>
                <w:szCs w:val="24"/>
              </w:rPr>
              <w:t>1</w:t>
            </w:r>
          </w:p>
        </w:tc>
        <w:tc>
          <w:tcPr>
            <w:tcW w:w="738" w:type="pct"/>
            <w:vAlign w:val="center"/>
          </w:tcPr>
          <w:p w14:paraId="6851E9D2">
            <w:pPr>
              <w:pStyle w:val="24"/>
              <w:ind w:left="0" w:leftChars="0" w:right="0" w:rightChars="0"/>
              <w:rPr>
                <w:rFonts w:cs="宋体"/>
                <w:sz w:val="24"/>
                <w:szCs w:val="24"/>
              </w:rPr>
            </w:pPr>
          </w:p>
        </w:tc>
        <w:tc>
          <w:tcPr>
            <w:tcW w:w="738" w:type="pct"/>
            <w:vAlign w:val="center"/>
          </w:tcPr>
          <w:p w14:paraId="29841E18">
            <w:pPr>
              <w:pStyle w:val="24"/>
              <w:ind w:left="0" w:leftChars="0" w:right="0" w:rightChars="0"/>
              <w:rPr>
                <w:rFonts w:cs="宋体"/>
                <w:sz w:val="24"/>
                <w:szCs w:val="24"/>
              </w:rPr>
            </w:pPr>
            <w:r>
              <w:rPr>
                <w:rFonts w:cs="宋体"/>
                <w:sz w:val="24"/>
                <w:szCs w:val="24"/>
              </w:rPr>
              <w:t>25.0</w:t>
            </w:r>
          </w:p>
        </w:tc>
        <w:tc>
          <w:tcPr>
            <w:tcW w:w="738" w:type="pct"/>
            <w:vAlign w:val="center"/>
          </w:tcPr>
          <w:p w14:paraId="4C833B69">
            <w:pPr>
              <w:pStyle w:val="24"/>
              <w:ind w:left="0" w:leftChars="0" w:right="0" w:rightChars="0"/>
              <w:rPr>
                <w:rFonts w:cs="宋体"/>
                <w:sz w:val="24"/>
                <w:szCs w:val="24"/>
              </w:rPr>
            </w:pPr>
            <w:r>
              <w:rPr>
                <w:rFonts w:cs="宋体"/>
                <w:sz w:val="24"/>
                <w:szCs w:val="24"/>
              </w:rPr>
              <w:t>39.1</w:t>
            </w:r>
          </w:p>
        </w:tc>
        <w:tc>
          <w:tcPr>
            <w:tcW w:w="738" w:type="pct"/>
            <w:vAlign w:val="center"/>
          </w:tcPr>
          <w:p w14:paraId="618B09ED">
            <w:pPr>
              <w:pStyle w:val="24"/>
              <w:ind w:left="0" w:leftChars="0" w:right="0" w:rightChars="0"/>
              <w:rPr>
                <w:rFonts w:cs="宋体"/>
                <w:sz w:val="24"/>
                <w:szCs w:val="24"/>
              </w:rPr>
            </w:pPr>
            <w:r>
              <w:rPr>
                <w:rFonts w:cs="宋体"/>
                <w:sz w:val="24"/>
                <w:szCs w:val="24"/>
              </w:rPr>
              <w:t>60.0</w:t>
            </w:r>
          </w:p>
        </w:tc>
        <w:tc>
          <w:tcPr>
            <w:tcW w:w="738" w:type="pct"/>
            <w:vAlign w:val="center"/>
          </w:tcPr>
          <w:p w14:paraId="2E08C0AF">
            <w:pPr>
              <w:pStyle w:val="24"/>
              <w:ind w:left="0" w:leftChars="0" w:right="0" w:rightChars="0"/>
              <w:rPr>
                <w:rFonts w:cs="宋体"/>
                <w:sz w:val="24"/>
                <w:szCs w:val="24"/>
              </w:rPr>
            </w:pPr>
            <w:r>
              <w:rPr>
                <w:rFonts w:cs="宋体"/>
                <w:sz w:val="24"/>
                <w:szCs w:val="24"/>
              </w:rPr>
              <w:t>65.0</w:t>
            </w:r>
          </w:p>
        </w:tc>
        <w:tc>
          <w:tcPr>
            <w:tcW w:w="741" w:type="pct"/>
            <w:vAlign w:val="center"/>
          </w:tcPr>
          <w:p w14:paraId="20D4CF85">
            <w:pPr>
              <w:pStyle w:val="24"/>
              <w:ind w:left="0" w:leftChars="0" w:right="0" w:rightChars="0"/>
              <w:rPr>
                <w:rFonts w:cs="宋体"/>
                <w:sz w:val="24"/>
                <w:szCs w:val="24"/>
              </w:rPr>
            </w:pPr>
            <w:r>
              <w:rPr>
                <w:rFonts w:cs="宋体"/>
                <w:sz w:val="24"/>
                <w:szCs w:val="24"/>
              </w:rPr>
              <w:t>65.0</w:t>
            </w:r>
          </w:p>
        </w:tc>
      </w:tr>
      <w:tr w14:paraId="783F6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566" w:type="pct"/>
            <w:vAlign w:val="center"/>
          </w:tcPr>
          <w:p w14:paraId="24CC4ACA">
            <w:pPr>
              <w:pStyle w:val="24"/>
              <w:ind w:left="0" w:leftChars="0" w:right="0" w:rightChars="0"/>
              <w:rPr>
                <w:rFonts w:cs="宋体"/>
                <w:sz w:val="24"/>
                <w:szCs w:val="24"/>
              </w:rPr>
            </w:pPr>
            <w:r>
              <w:rPr>
                <w:rFonts w:cs="宋体"/>
                <w:sz w:val="24"/>
                <w:szCs w:val="24"/>
              </w:rPr>
              <w:t>16</w:t>
            </w:r>
          </w:p>
        </w:tc>
        <w:tc>
          <w:tcPr>
            <w:tcW w:w="738" w:type="pct"/>
            <w:vAlign w:val="center"/>
          </w:tcPr>
          <w:p w14:paraId="4C5DE220">
            <w:pPr>
              <w:pStyle w:val="24"/>
              <w:ind w:left="0" w:leftChars="0" w:right="0" w:rightChars="0"/>
              <w:rPr>
                <w:rFonts w:cs="宋体"/>
                <w:sz w:val="24"/>
                <w:szCs w:val="24"/>
              </w:rPr>
            </w:pPr>
          </w:p>
        </w:tc>
        <w:tc>
          <w:tcPr>
            <w:tcW w:w="738" w:type="pct"/>
            <w:vAlign w:val="center"/>
          </w:tcPr>
          <w:p w14:paraId="48B8CF0D">
            <w:pPr>
              <w:pStyle w:val="24"/>
              <w:ind w:left="0" w:leftChars="0" w:right="0" w:rightChars="0"/>
              <w:rPr>
                <w:rFonts w:cs="宋体"/>
                <w:sz w:val="24"/>
                <w:szCs w:val="24"/>
              </w:rPr>
            </w:pPr>
          </w:p>
        </w:tc>
        <w:tc>
          <w:tcPr>
            <w:tcW w:w="738" w:type="pct"/>
            <w:vAlign w:val="center"/>
          </w:tcPr>
          <w:p w14:paraId="74EBEF00">
            <w:pPr>
              <w:pStyle w:val="24"/>
              <w:ind w:left="0" w:leftChars="0" w:right="0" w:rightChars="0"/>
              <w:rPr>
                <w:rFonts w:cs="宋体"/>
                <w:sz w:val="24"/>
                <w:szCs w:val="24"/>
              </w:rPr>
            </w:pPr>
            <w:r>
              <w:rPr>
                <w:rFonts w:cs="宋体"/>
                <w:sz w:val="24"/>
                <w:szCs w:val="24"/>
              </w:rPr>
              <w:t>19.4</w:t>
            </w:r>
          </w:p>
        </w:tc>
        <w:tc>
          <w:tcPr>
            <w:tcW w:w="738" w:type="pct"/>
            <w:vAlign w:val="center"/>
          </w:tcPr>
          <w:p w14:paraId="1A3CC591">
            <w:pPr>
              <w:pStyle w:val="24"/>
              <w:ind w:left="0" w:leftChars="0" w:right="0" w:rightChars="0"/>
              <w:rPr>
                <w:rFonts w:cs="宋体"/>
                <w:sz w:val="24"/>
                <w:szCs w:val="24"/>
              </w:rPr>
            </w:pPr>
            <w:r>
              <w:rPr>
                <w:rFonts w:cs="宋体"/>
                <w:sz w:val="24"/>
                <w:szCs w:val="24"/>
              </w:rPr>
              <w:t>43.6</w:t>
            </w:r>
          </w:p>
        </w:tc>
        <w:tc>
          <w:tcPr>
            <w:tcW w:w="738" w:type="pct"/>
            <w:vAlign w:val="center"/>
          </w:tcPr>
          <w:p w14:paraId="28741B2D">
            <w:pPr>
              <w:pStyle w:val="24"/>
              <w:ind w:left="0" w:leftChars="0" w:right="0" w:rightChars="0"/>
              <w:rPr>
                <w:rFonts w:cs="宋体"/>
                <w:sz w:val="24"/>
                <w:szCs w:val="24"/>
              </w:rPr>
            </w:pPr>
            <w:r>
              <w:rPr>
                <w:rFonts w:cs="宋体"/>
                <w:sz w:val="24"/>
                <w:szCs w:val="24"/>
              </w:rPr>
              <w:t>53.2</w:t>
            </w:r>
          </w:p>
        </w:tc>
        <w:tc>
          <w:tcPr>
            <w:tcW w:w="741" w:type="pct"/>
            <w:vAlign w:val="center"/>
          </w:tcPr>
          <w:p w14:paraId="09435C7A">
            <w:pPr>
              <w:pStyle w:val="24"/>
              <w:ind w:left="0" w:leftChars="0" w:right="0" w:rightChars="0"/>
              <w:rPr>
                <w:rFonts w:cs="宋体"/>
                <w:sz w:val="24"/>
                <w:szCs w:val="24"/>
              </w:rPr>
            </w:pPr>
            <w:r>
              <w:rPr>
                <w:rFonts w:cs="宋体"/>
                <w:sz w:val="24"/>
                <w:szCs w:val="24"/>
              </w:rPr>
              <w:t>65.0</w:t>
            </w:r>
          </w:p>
        </w:tc>
      </w:tr>
      <w:tr w14:paraId="2AC15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566" w:type="pct"/>
            <w:vAlign w:val="center"/>
          </w:tcPr>
          <w:p w14:paraId="3269DB33">
            <w:pPr>
              <w:pStyle w:val="24"/>
              <w:ind w:left="0" w:leftChars="0" w:right="0" w:rightChars="0"/>
              <w:rPr>
                <w:rFonts w:cs="宋体"/>
                <w:sz w:val="24"/>
                <w:szCs w:val="24"/>
              </w:rPr>
            </w:pPr>
            <w:r>
              <w:rPr>
                <w:rFonts w:cs="宋体"/>
                <w:sz w:val="24"/>
                <w:szCs w:val="24"/>
              </w:rPr>
              <w:t>100</w:t>
            </w:r>
          </w:p>
        </w:tc>
        <w:tc>
          <w:tcPr>
            <w:tcW w:w="738" w:type="pct"/>
            <w:vAlign w:val="center"/>
          </w:tcPr>
          <w:p w14:paraId="220AF2B2">
            <w:pPr>
              <w:pStyle w:val="24"/>
              <w:ind w:left="0" w:leftChars="0" w:right="0" w:rightChars="0"/>
              <w:rPr>
                <w:rFonts w:cs="宋体"/>
                <w:sz w:val="24"/>
                <w:szCs w:val="24"/>
              </w:rPr>
            </w:pPr>
          </w:p>
        </w:tc>
        <w:tc>
          <w:tcPr>
            <w:tcW w:w="738" w:type="pct"/>
            <w:vAlign w:val="center"/>
          </w:tcPr>
          <w:p w14:paraId="190D4EDD">
            <w:pPr>
              <w:pStyle w:val="24"/>
              <w:ind w:left="0" w:leftChars="0" w:right="0" w:rightChars="0"/>
              <w:rPr>
                <w:rFonts w:cs="宋体"/>
                <w:sz w:val="24"/>
                <w:szCs w:val="24"/>
              </w:rPr>
            </w:pPr>
          </w:p>
        </w:tc>
        <w:tc>
          <w:tcPr>
            <w:tcW w:w="738" w:type="pct"/>
            <w:vAlign w:val="center"/>
          </w:tcPr>
          <w:p w14:paraId="2E97309B">
            <w:pPr>
              <w:pStyle w:val="24"/>
              <w:ind w:left="0" w:leftChars="0" w:right="0" w:rightChars="0"/>
              <w:rPr>
                <w:rFonts w:cs="宋体"/>
                <w:sz w:val="24"/>
                <w:szCs w:val="24"/>
              </w:rPr>
            </w:pPr>
          </w:p>
        </w:tc>
        <w:tc>
          <w:tcPr>
            <w:tcW w:w="738" w:type="pct"/>
            <w:vAlign w:val="center"/>
          </w:tcPr>
          <w:p w14:paraId="79306640">
            <w:pPr>
              <w:pStyle w:val="24"/>
              <w:ind w:left="0" w:leftChars="0" w:right="0" w:rightChars="0"/>
              <w:rPr>
                <w:rFonts w:cs="宋体"/>
                <w:sz w:val="24"/>
                <w:szCs w:val="24"/>
              </w:rPr>
            </w:pPr>
            <w:r>
              <w:rPr>
                <w:rFonts w:cs="宋体"/>
                <w:sz w:val="24"/>
                <w:szCs w:val="24"/>
              </w:rPr>
              <w:t>30.1</w:t>
            </w:r>
          </w:p>
        </w:tc>
        <w:tc>
          <w:tcPr>
            <w:tcW w:w="738" w:type="pct"/>
            <w:vAlign w:val="center"/>
          </w:tcPr>
          <w:p w14:paraId="50CF8B14">
            <w:pPr>
              <w:pStyle w:val="24"/>
              <w:ind w:left="0" w:leftChars="0" w:right="0" w:rightChars="0"/>
              <w:rPr>
                <w:rFonts w:cs="宋体"/>
                <w:sz w:val="24"/>
                <w:szCs w:val="24"/>
              </w:rPr>
            </w:pPr>
            <w:r>
              <w:rPr>
                <w:rFonts w:cs="宋体"/>
                <w:sz w:val="24"/>
                <w:szCs w:val="24"/>
              </w:rPr>
              <w:t>39.9</w:t>
            </w:r>
          </w:p>
        </w:tc>
        <w:tc>
          <w:tcPr>
            <w:tcW w:w="741" w:type="pct"/>
            <w:vAlign w:val="center"/>
          </w:tcPr>
          <w:p w14:paraId="45175269">
            <w:pPr>
              <w:pStyle w:val="24"/>
              <w:ind w:left="0" w:leftChars="0" w:right="0" w:rightChars="0"/>
              <w:rPr>
                <w:rFonts w:cs="宋体"/>
                <w:sz w:val="24"/>
                <w:szCs w:val="24"/>
              </w:rPr>
            </w:pPr>
            <w:r>
              <w:rPr>
                <w:rFonts w:cs="宋体"/>
                <w:sz w:val="24"/>
                <w:szCs w:val="24"/>
              </w:rPr>
              <w:t>62.9</w:t>
            </w:r>
          </w:p>
        </w:tc>
      </w:tr>
      <w:tr w14:paraId="01FCA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566" w:type="pct"/>
            <w:vAlign w:val="center"/>
          </w:tcPr>
          <w:p w14:paraId="57723962">
            <w:pPr>
              <w:pStyle w:val="24"/>
              <w:ind w:left="0" w:leftChars="0" w:right="0" w:rightChars="0"/>
              <w:rPr>
                <w:rFonts w:cs="宋体"/>
                <w:sz w:val="24"/>
                <w:szCs w:val="24"/>
              </w:rPr>
            </w:pPr>
            <w:r>
              <w:rPr>
                <w:rFonts w:cs="宋体"/>
                <w:sz w:val="24"/>
                <w:szCs w:val="24"/>
              </w:rPr>
              <w:t>250</w:t>
            </w:r>
          </w:p>
        </w:tc>
        <w:tc>
          <w:tcPr>
            <w:tcW w:w="738" w:type="pct"/>
            <w:vAlign w:val="center"/>
          </w:tcPr>
          <w:p w14:paraId="54103CB7">
            <w:pPr>
              <w:pStyle w:val="24"/>
              <w:ind w:left="0" w:leftChars="0" w:right="0" w:rightChars="0"/>
              <w:rPr>
                <w:rFonts w:cs="宋体"/>
                <w:sz w:val="24"/>
                <w:szCs w:val="24"/>
              </w:rPr>
            </w:pPr>
          </w:p>
        </w:tc>
        <w:tc>
          <w:tcPr>
            <w:tcW w:w="738" w:type="pct"/>
            <w:vAlign w:val="center"/>
          </w:tcPr>
          <w:p w14:paraId="0DF629B3">
            <w:pPr>
              <w:pStyle w:val="24"/>
              <w:ind w:left="0" w:leftChars="0" w:right="0" w:rightChars="0"/>
              <w:rPr>
                <w:rFonts w:cs="宋体"/>
                <w:sz w:val="24"/>
                <w:szCs w:val="24"/>
              </w:rPr>
            </w:pPr>
          </w:p>
        </w:tc>
        <w:tc>
          <w:tcPr>
            <w:tcW w:w="738" w:type="pct"/>
            <w:vAlign w:val="center"/>
          </w:tcPr>
          <w:p w14:paraId="37AA7D1D">
            <w:pPr>
              <w:pStyle w:val="24"/>
              <w:ind w:left="0" w:leftChars="0" w:right="0" w:rightChars="0"/>
              <w:rPr>
                <w:rFonts w:cs="宋体"/>
                <w:sz w:val="24"/>
                <w:szCs w:val="24"/>
              </w:rPr>
            </w:pPr>
          </w:p>
        </w:tc>
        <w:tc>
          <w:tcPr>
            <w:tcW w:w="738" w:type="pct"/>
            <w:vAlign w:val="center"/>
          </w:tcPr>
          <w:p w14:paraId="228E8725">
            <w:pPr>
              <w:pStyle w:val="24"/>
              <w:ind w:left="0" w:leftChars="0" w:right="0" w:rightChars="0"/>
              <w:rPr>
                <w:rFonts w:cs="宋体"/>
                <w:sz w:val="24"/>
                <w:szCs w:val="24"/>
              </w:rPr>
            </w:pPr>
          </w:p>
        </w:tc>
        <w:tc>
          <w:tcPr>
            <w:tcW w:w="738" w:type="pct"/>
            <w:vAlign w:val="center"/>
          </w:tcPr>
          <w:p w14:paraId="50E36677">
            <w:pPr>
              <w:pStyle w:val="24"/>
              <w:ind w:left="0" w:leftChars="0" w:right="0" w:rightChars="0"/>
              <w:rPr>
                <w:rFonts w:cs="宋体"/>
                <w:sz w:val="24"/>
                <w:szCs w:val="24"/>
              </w:rPr>
            </w:pPr>
            <w:r>
              <w:rPr>
                <w:rFonts w:cs="宋体"/>
                <w:sz w:val="24"/>
                <w:szCs w:val="24"/>
              </w:rPr>
              <w:t>33.1</w:t>
            </w:r>
          </w:p>
        </w:tc>
        <w:tc>
          <w:tcPr>
            <w:tcW w:w="741" w:type="pct"/>
            <w:vAlign w:val="center"/>
          </w:tcPr>
          <w:p w14:paraId="3EDEBCC5">
            <w:pPr>
              <w:pStyle w:val="24"/>
              <w:ind w:left="0" w:leftChars="0" w:right="0" w:rightChars="0"/>
              <w:rPr>
                <w:rFonts w:cs="宋体"/>
                <w:sz w:val="24"/>
                <w:szCs w:val="24"/>
              </w:rPr>
            </w:pPr>
            <w:r>
              <w:rPr>
                <w:rFonts w:cs="宋体"/>
                <w:sz w:val="24"/>
                <w:szCs w:val="24"/>
              </w:rPr>
              <w:t>56.9</w:t>
            </w:r>
          </w:p>
        </w:tc>
      </w:tr>
      <w:tr w14:paraId="539C6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566" w:type="pct"/>
            <w:vAlign w:val="center"/>
          </w:tcPr>
          <w:p w14:paraId="55A1A271">
            <w:pPr>
              <w:pStyle w:val="24"/>
              <w:ind w:left="0" w:leftChars="0" w:right="0" w:rightChars="0"/>
              <w:rPr>
                <w:rFonts w:cs="宋体"/>
                <w:sz w:val="24"/>
                <w:szCs w:val="24"/>
              </w:rPr>
            </w:pPr>
            <w:r>
              <w:rPr>
                <w:rFonts w:cs="宋体"/>
                <w:sz w:val="24"/>
                <w:szCs w:val="24"/>
              </w:rPr>
              <w:t>600</w:t>
            </w:r>
          </w:p>
        </w:tc>
        <w:tc>
          <w:tcPr>
            <w:tcW w:w="738" w:type="pct"/>
            <w:vAlign w:val="center"/>
          </w:tcPr>
          <w:p w14:paraId="34E1BC25">
            <w:pPr>
              <w:pStyle w:val="24"/>
              <w:ind w:left="0" w:leftChars="0" w:right="0" w:rightChars="0"/>
              <w:rPr>
                <w:rFonts w:cs="宋体"/>
                <w:sz w:val="24"/>
                <w:szCs w:val="24"/>
              </w:rPr>
            </w:pPr>
          </w:p>
        </w:tc>
        <w:tc>
          <w:tcPr>
            <w:tcW w:w="738" w:type="pct"/>
            <w:vAlign w:val="center"/>
          </w:tcPr>
          <w:p w14:paraId="52FBA1EB">
            <w:pPr>
              <w:pStyle w:val="24"/>
              <w:ind w:left="0" w:leftChars="0" w:right="0" w:rightChars="0"/>
              <w:rPr>
                <w:rFonts w:cs="宋体"/>
                <w:sz w:val="24"/>
                <w:szCs w:val="24"/>
              </w:rPr>
            </w:pPr>
          </w:p>
        </w:tc>
        <w:tc>
          <w:tcPr>
            <w:tcW w:w="738" w:type="pct"/>
            <w:vAlign w:val="center"/>
          </w:tcPr>
          <w:p w14:paraId="1A7FA358">
            <w:pPr>
              <w:pStyle w:val="24"/>
              <w:ind w:left="0" w:leftChars="0" w:right="0" w:rightChars="0"/>
              <w:rPr>
                <w:rFonts w:cs="宋体"/>
                <w:sz w:val="24"/>
                <w:szCs w:val="24"/>
              </w:rPr>
            </w:pPr>
          </w:p>
        </w:tc>
        <w:tc>
          <w:tcPr>
            <w:tcW w:w="738" w:type="pct"/>
            <w:vAlign w:val="center"/>
          </w:tcPr>
          <w:p w14:paraId="2DAA1AD2">
            <w:pPr>
              <w:pStyle w:val="24"/>
              <w:ind w:left="0" w:leftChars="0" w:right="0" w:rightChars="0"/>
              <w:rPr>
                <w:rFonts w:cs="宋体"/>
                <w:sz w:val="24"/>
                <w:szCs w:val="24"/>
              </w:rPr>
            </w:pPr>
          </w:p>
        </w:tc>
        <w:tc>
          <w:tcPr>
            <w:tcW w:w="738" w:type="pct"/>
            <w:vAlign w:val="center"/>
          </w:tcPr>
          <w:p w14:paraId="71D3B870">
            <w:pPr>
              <w:pStyle w:val="24"/>
              <w:ind w:left="0" w:leftChars="0" w:right="0" w:rightChars="0"/>
              <w:rPr>
                <w:rFonts w:cs="宋体"/>
                <w:sz w:val="24"/>
                <w:szCs w:val="24"/>
              </w:rPr>
            </w:pPr>
          </w:p>
        </w:tc>
        <w:tc>
          <w:tcPr>
            <w:tcW w:w="741" w:type="pct"/>
            <w:vAlign w:val="center"/>
          </w:tcPr>
          <w:p w14:paraId="62578BD5">
            <w:pPr>
              <w:pStyle w:val="24"/>
              <w:ind w:left="0" w:leftChars="0" w:right="0" w:rightChars="0"/>
              <w:rPr>
                <w:rFonts w:cs="宋体"/>
                <w:sz w:val="24"/>
                <w:szCs w:val="24"/>
              </w:rPr>
            </w:pPr>
            <w:r>
              <w:rPr>
                <w:rFonts w:cs="宋体"/>
                <w:sz w:val="24"/>
                <w:szCs w:val="24"/>
              </w:rPr>
              <w:t>51.2</w:t>
            </w:r>
          </w:p>
        </w:tc>
      </w:tr>
    </w:tbl>
    <w:p w14:paraId="3141B85B">
      <w:pPr>
        <w:pStyle w:val="19"/>
        <w:ind w:firstLine="480"/>
        <w:rPr>
          <w:rFonts w:hint="eastAsia" w:ascii="宋体" w:hAnsi="宋体" w:eastAsia="宋体"/>
          <w:sz w:val="24"/>
          <w:lang w:val="en-GB"/>
        </w:rPr>
      </w:pPr>
      <w:r>
        <w:rPr>
          <w:rFonts w:hint="eastAsia" w:ascii="宋体" w:hAnsi="宋体" w:eastAsia="宋体"/>
          <w:sz w:val="24"/>
        </w:rPr>
        <w:t>2.</w:t>
      </w:r>
      <w:r>
        <w:rPr>
          <w:rFonts w:hint="eastAsia" w:ascii="宋体" w:hAnsi="宋体" w:eastAsia="宋体"/>
          <w:sz w:val="24"/>
          <w:lang w:val="en-GB"/>
        </w:rPr>
        <w:t>衰减串扰比（ACR）</w:t>
      </w:r>
    </w:p>
    <w:p w14:paraId="414A4ADC">
      <w:pPr>
        <w:pStyle w:val="19"/>
        <w:ind w:firstLine="480"/>
        <w:rPr>
          <w:rFonts w:hint="eastAsia" w:ascii="宋体" w:hAnsi="宋体" w:eastAsia="宋体"/>
          <w:sz w:val="24"/>
          <w:lang w:val="en-GB"/>
        </w:rPr>
      </w:pPr>
      <w:r>
        <w:rPr>
          <w:rFonts w:hint="eastAsia" w:ascii="宋体" w:hAnsi="宋体" w:eastAsia="宋体"/>
          <w:sz w:val="24"/>
          <w:lang w:val="en-GB"/>
        </w:rPr>
        <w:t>布线系统信道的ACR值应符合下表规定：</w:t>
      </w:r>
    </w:p>
    <w:p w14:paraId="5A269E8E">
      <w:pPr>
        <w:pStyle w:val="13"/>
        <w:rPr>
          <w:rFonts w:hint="eastAsia" w:ascii="宋体" w:hAnsi="宋体" w:eastAsia="宋体" w:cs="宋体"/>
          <w:sz w:val="24"/>
        </w:rPr>
      </w:pPr>
      <w:r>
        <w:rPr>
          <w:rFonts w:hint="eastAsia" w:ascii="宋体" w:hAnsi="宋体" w:eastAsia="宋体" w:cs="宋体"/>
          <w:sz w:val="24"/>
          <w:lang w:val="en-GB"/>
        </w:rPr>
        <w:t>信道ACR功率和值</w:t>
      </w:r>
    </w:p>
    <w:tbl>
      <w:tblPr>
        <w:tblStyle w:val="1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1430"/>
        <w:gridCol w:w="2327"/>
        <w:gridCol w:w="2327"/>
        <w:gridCol w:w="2332"/>
      </w:tblGrid>
      <w:tr w14:paraId="7DBB6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2" w:hRule="exact"/>
          <w:tblHeader/>
        </w:trPr>
        <w:tc>
          <w:tcPr>
            <w:tcW w:w="850" w:type="pct"/>
            <w:vMerge w:val="restart"/>
            <w:vAlign w:val="center"/>
          </w:tcPr>
          <w:p w14:paraId="169D961D">
            <w:pPr>
              <w:pStyle w:val="24"/>
              <w:ind w:left="53" w:right="53"/>
              <w:rPr>
                <w:rFonts w:cs="宋体"/>
                <w:b/>
                <w:bCs/>
                <w:sz w:val="24"/>
                <w:szCs w:val="24"/>
              </w:rPr>
            </w:pPr>
            <w:r>
              <w:rPr>
                <w:rFonts w:cs="宋体"/>
                <w:b/>
                <w:bCs/>
                <w:sz w:val="24"/>
                <w:szCs w:val="24"/>
              </w:rPr>
              <w:t>频率（MHz）</w:t>
            </w:r>
          </w:p>
        </w:tc>
        <w:tc>
          <w:tcPr>
            <w:tcW w:w="4149" w:type="pct"/>
            <w:gridSpan w:val="3"/>
            <w:vAlign w:val="center"/>
          </w:tcPr>
          <w:p w14:paraId="369498EC">
            <w:pPr>
              <w:pStyle w:val="24"/>
              <w:ind w:left="53" w:right="53"/>
              <w:rPr>
                <w:rFonts w:cs="宋体"/>
                <w:b/>
                <w:bCs/>
                <w:sz w:val="24"/>
                <w:szCs w:val="24"/>
              </w:rPr>
            </w:pPr>
            <w:r>
              <w:rPr>
                <w:rFonts w:cs="宋体"/>
                <w:b/>
                <w:bCs/>
                <w:sz w:val="24"/>
                <w:szCs w:val="24"/>
              </w:rPr>
              <w:t>最小ACR功率和（dB）</w:t>
            </w:r>
          </w:p>
        </w:tc>
      </w:tr>
      <w:tr w14:paraId="75275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2" w:hRule="exact"/>
          <w:tblHeader/>
        </w:trPr>
        <w:tc>
          <w:tcPr>
            <w:tcW w:w="850" w:type="pct"/>
            <w:vMerge w:val="continue"/>
            <w:vAlign w:val="center"/>
          </w:tcPr>
          <w:p w14:paraId="1A527079">
            <w:pPr>
              <w:pStyle w:val="24"/>
              <w:ind w:left="53" w:right="53"/>
              <w:rPr>
                <w:rFonts w:cs="宋体"/>
                <w:b/>
                <w:bCs/>
                <w:sz w:val="24"/>
                <w:szCs w:val="24"/>
              </w:rPr>
            </w:pPr>
          </w:p>
        </w:tc>
        <w:tc>
          <w:tcPr>
            <w:tcW w:w="1382" w:type="pct"/>
            <w:vAlign w:val="center"/>
          </w:tcPr>
          <w:p w14:paraId="67B19E02">
            <w:pPr>
              <w:pStyle w:val="24"/>
              <w:ind w:left="53" w:right="53"/>
              <w:rPr>
                <w:rFonts w:cs="宋体"/>
                <w:b/>
                <w:bCs/>
                <w:sz w:val="24"/>
                <w:szCs w:val="24"/>
              </w:rPr>
            </w:pPr>
            <w:r>
              <w:rPr>
                <w:rFonts w:cs="宋体"/>
                <w:b/>
                <w:bCs/>
                <w:sz w:val="24"/>
                <w:szCs w:val="24"/>
              </w:rPr>
              <w:t>D级</w:t>
            </w:r>
          </w:p>
        </w:tc>
        <w:tc>
          <w:tcPr>
            <w:tcW w:w="1382" w:type="pct"/>
            <w:vAlign w:val="center"/>
          </w:tcPr>
          <w:p w14:paraId="24079A94">
            <w:pPr>
              <w:pStyle w:val="24"/>
              <w:ind w:left="53" w:right="53"/>
              <w:rPr>
                <w:rFonts w:cs="宋体"/>
                <w:b/>
                <w:bCs/>
                <w:sz w:val="24"/>
                <w:szCs w:val="24"/>
              </w:rPr>
            </w:pPr>
            <w:r>
              <w:rPr>
                <w:rFonts w:cs="宋体"/>
                <w:b/>
                <w:bCs/>
                <w:sz w:val="24"/>
                <w:szCs w:val="24"/>
              </w:rPr>
              <w:t>E级</w:t>
            </w:r>
          </w:p>
        </w:tc>
        <w:tc>
          <w:tcPr>
            <w:tcW w:w="1383" w:type="pct"/>
            <w:vAlign w:val="center"/>
          </w:tcPr>
          <w:p w14:paraId="52C1F02A">
            <w:pPr>
              <w:pStyle w:val="24"/>
              <w:ind w:left="53" w:right="53"/>
              <w:rPr>
                <w:rFonts w:cs="宋体"/>
                <w:b/>
                <w:bCs/>
                <w:sz w:val="24"/>
                <w:szCs w:val="24"/>
              </w:rPr>
            </w:pPr>
            <w:r>
              <w:rPr>
                <w:rFonts w:cs="宋体"/>
                <w:b/>
                <w:bCs/>
                <w:sz w:val="24"/>
                <w:szCs w:val="24"/>
              </w:rPr>
              <w:t>F级</w:t>
            </w:r>
          </w:p>
        </w:tc>
      </w:tr>
      <w:tr w14:paraId="7E56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50" w:type="pct"/>
            <w:vAlign w:val="center"/>
          </w:tcPr>
          <w:p w14:paraId="0065D85B">
            <w:pPr>
              <w:pStyle w:val="24"/>
              <w:ind w:left="53" w:right="53"/>
              <w:rPr>
                <w:rFonts w:cs="宋体"/>
                <w:sz w:val="24"/>
                <w:szCs w:val="24"/>
              </w:rPr>
            </w:pPr>
            <w:r>
              <w:rPr>
                <w:rFonts w:cs="宋体"/>
                <w:sz w:val="24"/>
                <w:szCs w:val="24"/>
              </w:rPr>
              <w:t>1</w:t>
            </w:r>
          </w:p>
        </w:tc>
        <w:tc>
          <w:tcPr>
            <w:tcW w:w="1382" w:type="pct"/>
            <w:vAlign w:val="center"/>
          </w:tcPr>
          <w:p w14:paraId="5E29BA27">
            <w:pPr>
              <w:pStyle w:val="24"/>
              <w:ind w:left="53" w:right="53"/>
              <w:rPr>
                <w:rFonts w:cs="宋体"/>
                <w:sz w:val="24"/>
                <w:szCs w:val="24"/>
              </w:rPr>
            </w:pPr>
            <w:r>
              <w:rPr>
                <w:rFonts w:cs="宋体"/>
                <w:sz w:val="24"/>
                <w:szCs w:val="24"/>
              </w:rPr>
              <w:t>53.0</w:t>
            </w:r>
          </w:p>
        </w:tc>
        <w:tc>
          <w:tcPr>
            <w:tcW w:w="1382" w:type="pct"/>
            <w:vAlign w:val="center"/>
          </w:tcPr>
          <w:p w14:paraId="01D752A0">
            <w:pPr>
              <w:pStyle w:val="24"/>
              <w:ind w:left="53" w:right="53"/>
              <w:rPr>
                <w:rFonts w:cs="宋体"/>
                <w:sz w:val="24"/>
                <w:szCs w:val="24"/>
              </w:rPr>
            </w:pPr>
            <w:r>
              <w:rPr>
                <w:rFonts w:cs="宋体"/>
                <w:sz w:val="24"/>
                <w:szCs w:val="24"/>
              </w:rPr>
              <w:t>58.0</w:t>
            </w:r>
          </w:p>
        </w:tc>
        <w:tc>
          <w:tcPr>
            <w:tcW w:w="1383" w:type="pct"/>
            <w:vAlign w:val="center"/>
          </w:tcPr>
          <w:p w14:paraId="3C896791">
            <w:pPr>
              <w:pStyle w:val="24"/>
              <w:ind w:left="53" w:right="53"/>
              <w:rPr>
                <w:rFonts w:cs="宋体"/>
                <w:sz w:val="24"/>
                <w:szCs w:val="24"/>
              </w:rPr>
            </w:pPr>
            <w:r>
              <w:rPr>
                <w:rFonts w:cs="宋体"/>
                <w:sz w:val="24"/>
                <w:szCs w:val="24"/>
              </w:rPr>
              <w:t>58.0</w:t>
            </w:r>
          </w:p>
        </w:tc>
      </w:tr>
      <w:tr w14:paraId="3796D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2" w:hRule="exact"/>
        </w:trPr>
        <w:tc>
          <w:tcPr>
            <w:tcW w:w="850" w:type="pct"/>
            <w:vAlign w:val="center"/>
          </w:tcPr>
          <w:p w14:paraId="6A19B930">
            <w:pPr>
              <w:pStyle w:val="24"/>
              <w:ind w:left="53" w:right="53"/>
              <w:rPr>
                <w:rFonts w:cs="宋体"/>
                <w:sz w:val="24"/>
                <w:szCs w:val="24"/>
              </w:rPr>
            </w:pPr>
            <w:r>
              <w:rPr>
                <w:rFonts w:cs="宋体"/>
                <w:sz w:val="24"/>
                <w:szCs w:val="24"/>
              </w:rPr>
              <w:t>16</w:t>
            </w:r>
          </w:p>
        </w:tc>
        <w:tc>
          <w:tcPr>
            <w:tcW w:w="1382" w:type="pct"/>
            <w:vAlign w:val="center"/>
          </w:tcPr>
          <w:p w14:paraId="77E24EA9">
            <w:pPr>
              <w:pStyle w:val="24"/>
              <w:ind w:left="53" w:right="53"/>
              <w:rPr>
                <w:rFonts w:cs="宋体"/>
                <w:sz w:val="24"/>
                <w:szCs w:val="24"/>
              </w:rPr>
            </w:pPr>
            <w:r>
              <w:rPr>
                <w:rFonts w:cs="宋体"/>
                <w:sz w:val="24"/>
                <w:szCs w:val="24"/>
              </w:rPr>
              <w:t>31.5</w:t>
            </w:r>
          </w:p>
        </w:tc>
        <w:tc>
          <w:tcPr>
            <w:tcW w:w="1382" w:type="pct"/>
            <w:vAlign w:val="center"/>
          </w:tcPr>
          <w:p w14:paraId="3FF09CA2">
            <w:pPr>
              <w:pStyle w:val="24"/>
              <w:ind w:left="53" w:right="53"/>
              <w:rPr>
                <w:rFonts w:cs="宋体"/>
                <w:sz w:val="24"/>
                <w:szCs w:val="24"/>
              </w:rPr>
            </w:pPr>
            <w:r>
              <w:rPr>
                <w:rFonts w:cs="宋体"/>
                <w:sz w:val="24"/>
                <w:szCs w:val="24"/>
              </w:rPr>
              <w:t>42.3</w:t>
            </w:r>
          </w:p>
        </w:tc>
        <w:tc>
          <w:tcPr>
            <w:tcW w:w="1383" w:type="pct"/>
            <w:vAlign w:val="center"/>
          </w:tcPr>
          <w:p w14:paraId="0CB5DAC8">
            <w:pPr>
              <w:pStyle w:val="24"/>
              <w:ind w:left="53" w:right="53"/>
              <w:rPr>
                <w:rFonts w:cs="宋体"/>
                <w:sz w:val="24"/>
                <w:szCs w:val="24"/>
              </w:rPr>
            </w:pPr>
            <w:r>
              <w:rPr>
                <w:rFonts w:cs="宋体"/>
                <w:sz w:val="24"/>
                <w:szCs w:val="24"/>
              </w:rPr>
              <w:t>53.9</w:t>
            </w:r>
          </w:p>
        </w:tc>
      </w:tr>
      <w:tr w14:paraId="6715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50" w:type="pct"/>
            <w:vAlign w:val="center"/>
          </w:tcPr>
          <w:p w14:paraId="3175B44B">
            <w:pPr>
              <w:pStyle w:val="24"/>
              <w:ind w:left="53" w:right="53"/>
              <w:rPr>
                <w:rFonts w:cs="宋体"/>
                <w:sz w:val="24"/>
                <w:szCs w:val="24"/>
              </w:rPr>
            </w:pPr>
            <w:r>
              <w:rPr>
                <w:rFonts w:cs="宋体"/>
                <w:sz w:val="24"/>
                <w:szCs w:val="24"/>
              </w:rPr>
              <w:t>100</w:t>
            </w:r>
          </w:p>
        </w:tc>
        <w:tc>
          <w:tcPr>
            <w:tcW w:w="1382" w:type="pct"/>
            <w:vAlign w:val="center"/>
          </w:tcPr>
          <w:p w14:paraId="0B92692E">
            <w:pPr>
              <w:pStyle w:val="24"/>
              <w:ind w:left="53" w:right="53"/>
              <w:rPr>
                <w:rFonts w:cs="宋体"/>
                <w:sz w:val="24"/>
                <w:szCs w:val="24"/>
              </w:rPr>
            </w:pPr>
            <w:r>
              <w:rPr>
                <w:rFonts w:cs="宋体"/>
                <w:sz w:val="24"/>
                <w:szCs w:val="24"/>
              </w:rPr>
              <w:t>3.1</w:t>
            </w:r>
          </w:p>
        </w:tc>
        <w:tc>
          <w:tcPr>
            <w:tcW w:w="1382" w:type="pct"/>
            <w:vAlign w:val="center"/>
          </w:tcPr>
          <w:p w14:paraId="0AD9CB94">
            <w:pPr>
              <w:pStyle w:val="24"/>
              <w:ind w:left="53" w:right="53"/>
              <w:rPr>
                <w:rFonts w:cs="宋体"/>
                <w:sz w:val="24"/>
                <w:szCs w:val="24"/>
              </w:rPr>
            </w:pPr>
            <w:r>
              <w:rPr>
                <w:rFonts w:cs="宋体"/>
                <w:sz w:val="24"/>
                <w:szCs w:val="24"/>
              </w:rPr>
              <w:t>15.4</w:t>
            </w:r>
          </w:p>
        </w:tc>
        <w:tc>
          <w:tcPr>
            <w:tcW w:w="1383" w:type="pct"/>
            <w:vAlign w:val="center"/>
          </w:tcPr>
          <w:p w14:paraId="60639347">
            <w:pPr>
              <w:pStyle w:val="24"/>
              <w:ind w:left="53" w:right="53"/>
              <w:rPr>
                <w:rFonts w:cs="宋体"/>
                <w:sz w:val="24"/>
                <w:szCs w:val="24"/>
              </w:rPr>
            </w:pPr>
            <w:r>
              <w:rPr>
                <w:rFonts w:cs="宋体"/>
                <w:sz w:val="24"/>
                <w:szCs w:val="24"/>
              </w:rPr>
              <w:t>39.1</w:t>
            </w:r>
          </w:p>
        </w:tc>
      </w:tr>
      <w:tr w14:paraId="02F0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50" w:type="pct"/>
            <w:vAlign w:val="center"/>
          </w:tcPr>
          <w:p w14:paraId="50079478">
            <w:pPr>
              <w:pStyle w:val="24"/>
              <w:ind w:left="53" w:right="53"/>
              <w:rPr>
                <w:rFonts w:cs="宋体"/>
                <w:sz w:val="24"/>
                <w:szCs w:val="24"/>
              </w:rPr>
            </w:pPr>
            <w:r>
              <w:rPr>
                <w:rFonts w:cs="宋体"/>
                <w:sz w:val="24"/>
                <w:szCs w:val="24"/>
              </w:rPr>
              <w:t>250</w:t>
            </w:r>
          </w:p>
        </w:tc>
        <w:tc>
          <w:tcPr>
            <w:tcW w:w="1382" w:type="pct"/>
            <w:vAlign w:val="center"/>
          </w:tcPr>
          <w:p w14:paraId="4DD799BB">
            <w:pPr>
              <w:pStyle w:val="24"/>
              <w:ind w:left="53" w:right="53"/>
              <w:rPr>
                <w:rFonts w:cs="宋体"/>
                <w:sz w:val="24"/>
                <w:szCs w:val="24"/>
              </w:rPr>
            </w:pPr>
          </w:p>
        </w:tc>
        <w:tc>
          <w:tcPr>
            <w:tcW w:w="1382" w:type="pct"/>
            <w:vAlign w:val="center"/>
          </w:tcPr>
          <w:p w14:paraId="6331887A">
            <w:pPr>
              <w:pStyle w:val="24"/>
              <w:ind w:left="53" w:right="53"/>
              <w:rPr>
                <w:rFonts w:cs="宋体"/>
                <w:sz w:val="24"/>
                <w:szCs w:val="24"/>
              </w:rPr>
            </w:pPr>
            <w:r>
              <w:rPr>
                <w:rFonts w:cs="宋体"/>
                <w:sz w:val="24"/>
                <w:szCs w:val="24"/>
              </w:rPr>
              <w:t>-5.8</w:t>
            </w:r>
          </w:p>
        </w:tc>
        <w:tc>
          <w:tcPr>
            <w:tcW w:w="1383" w:type="pct"/>
            <w:vAlign w:val="center"/>
          </w:tcPr>
          <w:p w14:paraId="7E4D9F96">
            <w:pPr>
              <w:pStyle w:val="24"/>
              <w:ind w:left="53" w:right="53"/>
              <w:rPr>
                <w:rFonts w:cs="宋体"/>
                <w:sz w:val="24"/>
                <w:szCs w:val="24"/>
              </w:rPr>
            </w:pPr>
            <w:r>
              <w:rPr>
                <w:rFonts w:cs="宋体"/>
                <w:sz w:val="24"/>
                <w:szCs w:val="24"/>
              </w:rPr>
              <w:t>20.1</w:t>
            </w:r>
          </w:p>
        </w:tc>
      </w:tr>
      <w:tr w14:paraId="34937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50" w:type="pct"/>
            <w:vAlign w:val="center"/>
          </w:tcPr>
          <w:p w14:paraId="53F798CB">
            <w:pPr>
              <w:pStyle w:val="24"/>
              <w:ind w:left="53" w:right="53"/>
              <w:rPr>
                <w:rFonts w:cs="宋体"/>
                <w:sz w:val="24"/>
                <w:szCs w:val="24"/>
              </w:rPr>
            </w:pPr>
            <w:r>
              <w:rPr>
                <w:rFonts w:cs="宋体"/>
                <w:sz w:val="24"/>
                <w:szCs w:val="24"/>
              </w:rPr>
              <w:t>600</w:t>
            </w:r>
          </w:p>
        </w:tc>
        <w:tc>
          <w:tcPr>
            <w:tcW w:w="1382" w:type="pct"/>
            <w:vAlign w:val="center"/>
          </w:tcPr>
          <w:p w14:paraId="5CAD9065">
            <w:pPr>
              <w:pStyle w:val="24"/>
              <w:ind w:left="53" w:right="53"/>
              <w:rPr>
                <w:rFonts w:cs="宋体"/>
                <w:sz w:val="24"/>
                <w:szCs w:val="24"/>
              </w:rPr>
            </w:pPr>
          </w:p>
        </w:tc>
        <w:tc>
          <w:tcPr>
            <w:tcW w:w="1382" w:type="pct"/>
            <w:vAlign w:val="center"/>
          </w:tcPr>
          <w:p w14:paraId="09894BB6">
            <w:pPr>
              <w:pStyle w:val="24"/>
              <w:ind w:left="53" w:right="53"/>
              <w:rPr>
                <w:rFonts w:cs="宋体"/>
                <w:sz w:val="24"/>
                <w:szCs w:val="24"/>
              </w:rPr>
            </w:pPr>
          </w:p>
        </w:tc>
        <w:tc>
          <w:tcPr>
            <w:tcW w:w="1383" w:type="pct"/>
            <w:vAlign w:val="center"/>
          </w:tcPr>
          <w:p w14:paraId="732A307F">
            <w:pPr>
              <w:pStyle w:val="24"/>
              <w:ind w:left="53" w:right="53"/>
              <w:rPr>
                <w:rFonts w:cs="宋体"/>
                <w:sz w:val="24"/>
                <w:szCs w:val="24"/>
              </w:rPr>
            </w:pPr>
            <w:r>
              <w:rPr>
                <w:rFonts w:cs="宋体"/>
                <w:sz w:val="24"/>
                <w:szCs w:val="24"/>
              </w:rPr>
              <w:t>-6.4</w:t>
            </w:r>
          </w:p>
        </w:tc>
      </w:tr>
    </w:tbl>
    <w:p w14:paraId="1976882E">
      <w:pPr>
        <w:pStyle w:val="19"/>
        <w:ind w:firstLine="480"/>
        <w:rPr>
          <w:rFonts w:hint="eastAsia" w:ascii="宋体" w:hAnsi="宋体" w:eastAsia="宋体"/>
          <w:sz w:val="24"/>
          <w:lang w:val="en-GB"/>
        </w:rPr>
      </w:pPr>
      <w:r>
        <w:rPr>
          <w:rFonts w:hint="eastAsia" w:ascii="宋体" w:hAnsi="宋体" w:eastAsia="宋体"/>
          <w:sz w:val="24"/>
        </w:rPr>
        <w:t>3.</w:t>
      </w:r>
      <w:r>
        <w:rPr>
          <w:rFonts w:hint="eastAsia" w:ascii="宋体" w:hAnsi="宋体" w:eastAsia="宋体"/>
          <w:sz w:val="24"/>
          <w:lang w:val="en-GB"/>
        </w:rPr>
        <w:t>直流环路电阻</w:t>
      </w:r>
    </w:p>
    <w:p w14:paraId="73530069">
      <w:pPr>
        <w:pStyle w:val="19"/>
        <w:ind w:firstLine="480"/>
        <w:rPr>
          <w:rFonts w:hint="eastAsia" w:ascii="宋体" w:hAnsi="宋体" w:eastAsia="宋体"/>
          <w:sz w:val="24"/>
          <w:lang w:val="en-GB"/>
        </w:rPr>
      </w:pPr>
      <w:r>
        <w:rPr>
          <w:rFonts w:hint="eastAsia" w:ascii="宋体" w:hAnsi="宋体" w:eastAsia="宋体"/>
          <w:sz w:val="24"/>
          <w:lang w:val="en-GB"/>
        </w:rPr>
        <w:t>布线系统信道的直流环路电阻（d.c.）应符合下表的规定：</w:t>
      </w:r>
    </w:p>
    <w:p w14:paraId="5243A2B8">
      <w:pPr>
        <w:pStyle w:val="13"/>
        <w:rPr>
          <w:rFonts w:hint="eastAsia" w:ascii="宋体" w:hAnsi="宋体" w:eastAsia="宋体" w:cs="宋体"/>
          <w:sz w:val="24"/>
        </w:rPr>
      </w:pPr>
      <w:r>
        <w:rPr>
          <w:rFonts w:hint="eastAsia" w:ascii="宋体" w:hAnsi="宋体" w:eastAsia="宋体" w:cs="宋体"/>
          <w:sz w:val="24"/>
        </w:rPr>
        <w:t>表</w:t>
      </w:r>
      <w:r>
        <w:rPr>
          <w:rFonts w:hint="eastAsia" w:ascii="宋体" w:hAnsi="宋体" w:eastAsia="宋体" w:cs="宋体"/>
          <w:sz w:val="24"/>
          <w:lang w:val="en-GB"/>
        </w:rPr>
        <w:t>信道直流环路电阻</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1400"/>
        <w:gridCol w:w="1401"/>
        <w:gridCol w:w="1401"/>
        <w:gridCol w:w="1401"/>
        <w:gridCol w:w="1401"/>
        <w:gridCol w:w="1414"/>
      </w:tblGrid>
      <w:tr w14:paraId="6069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5000" w:type="pct"/>
            <w:gridSpan w:val="6"/>
            <w:vAlign w:val="center"/>
          </w:tcPr>
          <w:p w14:paraId="07C66050">
            <w:pPr>
              <w:pStyle w:val="24"/>
              <w:ind w:left="0" w:leftChars="0" w:right="0" w:rightChars="0"/>
              <w:rPr>
                <w:rFonts w:cs="宋体"/>
                <w:b/>
                <w:bCs/>
                <w:sz w:val="24"/>
                <w:szCs w:val="24"/>
              </w:rPr>
            </w:pPr>
            <w:r>
              <w:rPr>
                <w:rFonts w:cs="宋体"/>
                <w:b/>
                <w:bCs/>
                <w:sz w:val="24"/>
                <w:szCs w:val="24"/>
              </w:rPr>
              <w:t>最大直流环路电阻（Ω）</w:t>
            </w:r>
          </w:p>
        </w:tc>
      </w:tr>
      <w:tr w14:paraId="6D52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832" w:type="pct"/>
            <w:vAlign w:val="center"/>
          </w:tcPr>
          <w:p w14:paraId="4C53B5E2">
            <w:pPr>
              <w:pStyle w:val="24"/>
              <w:ind w:left="0" w:leftChars="0" w:right="0" w:rightChars="0"/>
              <w:rPr>
                <w:rFonts w:cs="宋体"/>
                <w:b/>
                <w:bCs/>
                <w:sz w:val="24"/>
                <w:szCs w:val="24"/>
              </w:rPr>
            </w:pPr>
            <w:r>
              <w:rPr>
                <w:rFonts w:cs="宋体"/>
                <w:b/>
                <w:bCs/>
                <w:sz w:val="24"/>
                <w:szCs w:val="24"/>
              </w:rPr>
              <w:t>A级</w:t>
            </w:r>
          </w:p>
        </w:tc>
        <w:tc>
          <w:tcPr>
            <w:tcW w:w="832" w:type="pct"/>
            <w:vAlign w:val="center"/>
          </w:tcPr>
          <w:p w14:paraId="42757A5D">
            <w:pPr>
              <w:pStyle w:val="24"/>
              <w:ind w:left="0" w:leftChars="0" w:right="0" w:rightChars="0"/>
              <w:rPr>
                <w:rFonts w:cs="宋体"/>
                <w:b/>
                <w:bCs/>
                <w:sz w:val="24"/>
                <w:szCs w:val="24"/>
              </w:rPr>
            </w:pPr>
            <w:r>
              <w:rPr>
                <w:rFonts w:cs="宋体"/>
                <w:b/>
                <w:bCs/>
                <w:sz w:val="24"/>
                <w:szCs w:val="24"/>
              </w:rPr>
              <w:t>B级</w:t>
            </w:r>
          </w:p>
        </w:tc>
        <w:tc>
          <w:tcPr>
            <w:tcW w:w="832" w:type="pct"/>
            <w:vAlign w:val="center"/>
          </w:tcPr>
          <w:p w14:paraId="2FE424C4">
            <w:pPr>
              <w:pStyle w:val="24"/>
              <w:ind w:left="0" w:leftChars="0" w:right="0" w:rightChars="0"/>
              <w:rPr>
                <w:rFonts w:cs="宋体"/>
                <w:b/>
                <w:bCs/>
                <w:sz w:val="24"/>
                <w:szCs w:val="24"/>
              </w:rPr>
            </w:pPr>
            <w:r>
              <w:rPr>
                <w:rFonts w:cs="宋体"/>
                <w:b/>
                <w:bCs/>
                <w:sz w:val="24"/>
                <w:szCs w:val="24"/>
              </w:rPr>
              <w:t>C级</w:t>
            </w:r>
          </w:p>
        </w:tc>
        <w:tc>
          <w:tcPr>
            <w:tcW w:w="832" w:type="pct"/>
            <w:vAlign w:val="center"/>
          </w:tcPr>
          <w:p w14:paraId="5E634B04">
            <w:pPr>
              <w:pStyle w:val="24"/>
              <w:ind w:left="0" w:leftChars="0" w:right="0" w:rightChars="0"/>
              <w:rPr>
                <w:rFonts w:cs="宋体"/>
                <w:b/>
                <w:bCs/>
                <w:sz w:val="24"/>
                <w:szCs w:val="24"/>
              </w:rPr>
            </w:pPr>
            <w:r>
              <w:rPr>
                <w:rFonts w:cs="宋体"/>
                <w:b/>
                <w:bCs/>
                <w:sz w:val="24"/>
                <w:szCs w:val="24"/>
              </w:rPr>
              <w:t>D级</w:t>
            </w:r>
          </w:p>
        </w:tc>
        <w:tc>
          <w:tcPr>
            <w:tcW w:w="832" w:type="pct"/>
            <w:vAlign w:val="center"/>
          </w:tcPr>
          <w:p w14:paraId="2241D429">
            <w:pPr>
              <w:pStyle w:val="24"/>
              <w:ind w:left="0" w:leftChars="0" w:right="0" w:rightChars="0"/>
              <w:rPr>
                <w:rFonts w:cs="宋体"/>
                <w:b/>
                <w:bCs/>
                <w:sz w:val="24"/>
                <w:szCs w:val="24"/>
              </w:rPr>
            </w:pPr>
            <w:r>
              <w:rPr>
                <w:rFonts w:cs="宋体"/>
                <w:b/>
                <w:bCs/>
                <w:sz w:val="24"/>
                <w:szCs w:val="24"/>
              </w:rPr>
              <w:t>E级</w:t>
            </w:r>
          </w:p>
        </w:tc>
        <w:tc>
          <w:tcPr>
            <w:tcW w:w="836" w:type="pct"/>
            <w:vAlign w:val="center"/>
          </w:tcPr>
          <w:p w14:paraId="5274FE76">
            <w:pPr>
              <w:pStyle w:val="24"/>
              <w:ind w:left="0" w:leftChars="0" w:right="0" w:rightChars="0"/>
              <w:rPr>
                <w:rFonts w:cs="宋体"/>
                <w:b/>
                <w:bCs/>
                <w:sz w:val="24"/>
                <w:szCs w:val="24"/>
              </w:rPr>
            </w:pPr>
            <w:r>
              <w:rPr>
                <w:rFonts w:cs="宋体"/>
                <w:b/>
                <w:bCs/>
                <w:sz w:val="24"/>
                <w:szCs w:val="24"/>
              </w:rPr>
              <w:t>F级</w:t>
            </w:r>
          </w:p>
        </w:tc>
      </w:tr>
      <w:tr w14:paraId="4E9C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32" w:type="pct"/>
            <w:vAlign w:val="center"/>
          </w:tcPr>
          <w:p w14:paraId="1F4EEAB8">
            <w:pPr>
              <w:pStyle w:val="24"/>
              <w:ind w:left="0" w:leftChars="0" w:right="0" w:rightChars="0"/>
              <w:rPr>
                <w:rFonts w:cs="宋体"/>
                <w:sz w:val="24"/>
                <w:szCs w:val="24"/>
              </w:rPr>
            </w:pPr>
            <w:r>
              <w:rPr>
                <w:rFonts w:cs="宋体"/>
                <w:sz w:val="24"/>
                <w:szCs w:val="24"/>
              </w:rPr>
              <w:t>560</w:t>
            </w:r>
          </w:p>
        </w:tc>
        <w:tc>
          <w:tcPr>
            <w:tcW w:w="832" w:type="pct"/>
            <w:vAlign w:val="center"/>
          </w:tcPr>
          <w:p w14:paraId="318F4DB7">
            <w:pPr>
              <w:pStyle w:val="24"/>
              <w:ind w:left="0" w:leftChars="0" w:right="0" w:rightChars="0"/>
              <w:rPr>
                <w:rFonts w:cs="宋体"/>
                <w:sz w:val="24"/>
                <w:szCs w:val="24"/>
              </w:rPr>
            </w:pPr>
            <w:r>
              <w:rPr>
                <w:rFonts w:cs="宋体"/>
                <w:sz w:val="24"/>
                <w:szCs w:val="24"/>
              </w:rPr>
              <w:t>170</w:t>
            </w:r>
          </w:p>
        </w:tc>
        <w:tc>
          <w:tcPr>
            <w:tcW w:w="832" w:type="pct"/>
            <w:vAlign w:val="center"/>
          </w:tcPr>
          <w:p w14:paraId="61A53A26">
            <w:pPr>
              <w:pStyle w:val="24"/>
              <w:ind w:left="0" w:leftChars="0" w:right="0" w:rightChars="0"/>
              <w:rPr>
                <w:rFonts w:cs="宋体"/>
                <w:sz w:val="24"/>
                <w:szCs w:val="24"/>
              </w:rPr>
            </w:pPr>
            <w:r>
              <w:rPr>
                <w:rFonts w:cs="宋体"/>
                <w:sz w:val="24"/>
                <w:szCs w:val="24"/>
              </w:rPr>
              <w:t>40</w:t>
            </w:r>
          </w:p>
        </w:tc>
        <w:tc>
          <w:tcPr>
            <w:tcW w:w="832" w:type="pct"/>
            <w:vAlign w:val="center"/>
          </w:tcPr>
          <w:p w14:paraId="1AB4A763">
            <w:pPr>
              <w:pStyle w:val="24"/>
              <w:ind w:left="0" w:leftChars="0" w:right="0" w:rightChars="0"/>
              <w:rPr>
                <w:rFonts w:cs="宋体"/>
                <w:sz w:val="24"/>
                <w:szCs w:val="24"/>
              </w:rPr>
            </w:pPr>
            <w:r>
              <w:rPr>
                <w:rFonts w:cs="宋体"/>
                <w:sz w:val="24"/>
                <w:szCs w:val="24"/>
              </w:rPr>
              <w:t>25</w:t>
            </w:r>
          </w:p>
        </w:tc>
        <w:tc>
          <w:tcPr>
            <w:tcW w:w="832" w:type="pct"/>
            <w:vAlign w:val="center"/>
          </w:tcPr>
          <w:p w14:paraId="1F8643CE">
            <w:pPr>
              <w:pStyle w:val="24"/>
              <w:ind w:left="0" w:leftChars="0" w:right="0" w:rightChars="0"/>
              <w:rPr>
                <w:rFonts w:cs="宋体"/>
                <w:sz w:val="24"/>
                <w:szCs w:val="24"/>
              </w:rPr>
            </w:pPr>
            <w:r>
              <w:rPr>
                <w:rFonts w:cs="宋体"/>
                <w:sz w:val="24"/>
                <w:szCs w:val="24"/>
              </w:rPr>
              <w:t>25</w:t>
            </w:r>
          </w:p>
        </w:tc>
        <w:tc>
          <w:tcPr>
            <w:tcW w:w="836" w:type="pct"/>
            <w:vAlign w:val="center"/>
          </w:tcPr>
          <w:p w14:paraId="7CE3EA35">
            <w:pPr>
              <w:pStyle w:val="24"/>
              <w:ind w:left="0" w:leftChars="0" w:right="0" w:rightChars="0"/>
              <w:rPr>
                <w:rFonts w:cs="宋体"/>
                <w:sz w:val="24"/>
                <w:szCs w:val="24"/>
              </w:rPr>
            </w:pPr>
            <w:r>
              <w:rPr>
                <w:rFonts w:cs="宋体"/>
                <w:sz w:val="24"/>
                <w:szCs w:val="24"/>
              </w:rPr>
              <w:t>25</w:t>
            </w:r>
          </w:p>
        </w:tc>
      </w:tr>
    </w:tbl>
    <w:p w14:paraId="7603C385">
      <w:pPr>
        <w:pStyle w:val="12"/>
        <w:numPr>
          <w:ilvl w:val="5"/>
          <w:numId w:val="0"/>
        </w:numPr>
        <w:ind w:firstLine="480" w:firstLineChars="200"/>
        <w:rPr>
          <w:rFonts w:hint="eastAsia" w:ascii="宋体" w:hAnsi="宋体" w:eastAsia="宋体" w:cs="宋体"/>
          <w:b w:val="0"/>
          <w:bCs/>
          <w:sz w:val="24"/>
        </w:rPr>
      </w:pPr>
      <w:r>
        <w:rPr>
          <w:rFonts w:hint="eastAsia" w:ascii="宋体" w:hAnsi="宋体" w:eastAsia="宋体" w:cs="宋体"/>
          <w:b w:val="0"/>
          <w:bCs/>
          <w:sz w:val="24"/>
        </w:rPr>
        <w:t>光缆布线链路的性能指标和主要参数</w:t>
      </w:r>
    </w:p>
    <w:p w14:paraId="0970CC57">
      <w:pPr>
        <w:pStyle w:val="19"/>
        <w:ind w:firstLine="480"/>
        <w:rPr>
          <w:rFonts w:hint="eastAsia" w:ascii="宋体" w:hAnsi="宋体" w:eastAsia="宋体"/>
          <w:sz w:val="24"/>
          <w:lang w:val="en-GB"/>
        </w:rPr>
      </w:pPr>
      <w:r>
        <w:rPr>
          <w:rFonts w:hint="eastAsia" w:ascii="宋体" w:hAnsi="宋体" w:eastAsia="宋体"/>
          <w:sz w:val="24"/>
        </w:rPr>
        <w:t>1.</w:t>
      </w:r>
      <w:r>
        <w:rPr>
          <w:rFonts w:hint="eastAsia" w:ascii="宋体" w:hAnsi="宋体" w:eastAsia="宋体"/>
          <w:sz w:val="24"/>
          <w:lang w:val="en-GB"/>
        </w:rPr>
        <w:t>衰减</w:t>
      </w:r>
    </w:p>
    <w:p w14:paraId="475BE55F">
      <w:pPr>
        <w:pStyle w:val="19"/>
        <w:ind w:firstLine="480"/>
        <w:rPr>
          <w:rFonts w:hint="eastAsia" w:ascii="宋体" w:hAnsi="宋体" w:eastAsia="宋体"/>
          <w:sz w:val="24"/>
          <w:lang w:val="en-GB"/>
        </w:rPr>
      </w:pPr>
      <w:r>
        <w:rPr>
          <w:rFonts w:hint="eastAsia" w:ascii="宋体" w:hAnsi="宋体" w:eastAsia="宋体"/>
          <w:sz w:val="24"/>
          <w:lang w:val="en-GB"/>
        </w:rPr>
        <w:t>各等级的光纤信道衰减值应符合下表的规定：</w:t>
      </w:r>
    </w:p>
    <w:p w14:paraId="2B7B3718">
      <w:pPr>
        <w:pStyle w:val="13"/>
        <w:rPr>
          <w:rFonts w:hint="eastAsia" w:ascii="宋体" w:hAnsi="宋体" w:eastAsia="宋体" w:cs="宋体"/>
          <w:sz w:val="24"/>
        </w:rPr>
      </w:pPr>
      <w:r>
        <w:rPr>
          <w:rFonts w:hint="eastAsia" w:ascii="宋体" w:hAnsi="宋体" w:eastAsia="宋体" w:cs="宋体"/>
          <w:sz w:val="24"/>
          <w:lang w:val="en-GB"/>
        </w:rPr>
        <w:t>信道衰减值（dB）</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6" w:type="dxa"/>
          <w:bottom w:w="0" w:type="dxa"/>
          <w:right w:w="56" w:type="dxa"/>
        </w:tblCellMar>
      </w:tblPr>
      <w:tblGrid>
        <w:gridCol w:w="1465"/>
        <w:gridCol w:w="1736"/>
        <w:gridCol w:w="1739"/>
        <w:gridCol w:w="1736"/>
        <w:gridCol w:w="1739"/>
      </w:tblGrid>
      <w:tr w14:paraId="2398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312" w:hRule="exact"/>
          <w:tblHeader/>
        </w:trPr>
        <w:tc>
          <w:tcPr>
            <w:tcW w:w="870" w:type="pct"/>
            <w:vMerge w:val="restart"/>
            <w:vAlign w:val="center"/>
          </w:tcPr>
          <w:p w14:paraId="30FD556F">
            <w:pPr>
              <w:pStyle w:val="24"/>
              <w:ind w:left="53" w:right="53"/>
              <w:rPr>
                <w:rFonts w:cs="宋体"/>
                <w:b/>
                <w:bCs/>
                <w:sz w:val="24"/>
                <w:szCs w:val="24"/>
              </w:rPr>
            </w:pPr>
            <w:r>
              <w:rPr>
                <w:rFonts w:cs="宋体"/>
                <w:b/>
                <w:bCs/>
                <w:sz w:val="24"/>
                <w:szCs w:val="24"/>
              </w:rPr>
              <w:t>信道</w:t>
            </w:r>
          </w:p>
        </w:tc>
        <w:tc>
          <w:tcPr>
            <w:tcW w:w="2064" w:type="pct"/>
            <w:gridSpan w:val="2"/>
            <w:vAlign w:val="center"/>
          </w:tcPr>
          <w:p w14:paraId="01C34245">
            <w:pPr>
              <w:pStyle w:val="24"/>
              <w:ind w:left="53" w:right="53"/>
              <w:rPr>
                <w:rFonts w:cs="宋体"/>
                <w:b/>
                <w:bCs/>
                <w:sz w:val="24"/>
                <w:szCs w:val="24"/>
              </w:rPr>
            </w:pPr>
            <w:r>
              <w:rPr>
                <w:rFonts w:cs="宋体"/>
                <w:b/>
                <w:bCs/>
                <w:sz w:val="24"/>
                <w:szCs w:val="24"/>
              </w:rPr>
              <w:t>多模</w:t>
            </w:r>
          </w:p>
        </w:tc>
        <w:tc>
          <w:tcPr>
            <w:tcW w:w="2064" w:type="pct"/>
            <w:gridSpan w:val="2"/>
            <w:vAlign w:val="center"/>
          </w:tcPr>
          <w:p w14:paraId="3AD1F45C">
            <w:pPr>
              <w:pStyle w:val="24"/>
              <w:ind w:left="53" w:right="53"/>
              <w:rPr>
                <w:rFonts w:cs="宋体"/>
                <w:b/>
                <w:bCs/>
                <w:sz w:val="24"/>
                <w:szCs w:val="24"/>
              </w:rPr>
            </w:pPr>
            <w:r>
              <w:rPr>
                <w:rFonts w:cs="宋体"/>
                <w:b/>
                <w:bCs/>
                <w:sz w:val="24"/>
                <w:szCs w:val="24"/>
              </w:rPr>
              <w:t>单模</w:t>
            </w:r>
          </w:p>
        </w:tc>
      </w:tr>
      <w:tr w14:paraId="0279C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312" w:hRule="exact"/>
          <w:tblHeader/>
        </w:trPr>
        <w:tc>
          <w:tcPr>
            <w:tcW w:w="870" w:type="pct"/>
            <w:vMerge w:val="continue"/>
            <w:vAlign w:val="center"/>
          </w:tcPr>
          <w:p w14:paraId="21607BA2">
            <w:pPr>
              <w:pStyle w:val="24"/>
              <w:ind w:left="53" w:right="53"/>
              <w:rPr>
                <w:rFonts w:cs="宋体"/>
                <w:b/>
                <w:bCs/>
                <w:sz w:val="24"/>
                <w:szCs w:val="24"/>
              </w:rPr>
            </w:pPr>
          </w:p>
        </w:tc>
        <w:tc>
          <w:tcPr>
            <w:tcW w:w="1031" w:type="pct"/>
            <w:vAlign w:val="center"/>
          </w:tcPr>
          <w:p w14:paraId="0D73B6D1">
            <w:pPr>
              <w:pStyle w:val="24"/>
              <w:ind w:left="53" w:right="53"/>
              <w:rPr>
                <w:rFonts w:cs="宋体"/>
                <w:b/>
                <w:bCs/>
                <w:sz w:val="24"/>
                <w:szCs w:val="24"/>
              </w:rPr>
            </w:pPr>
            <w:r>
              <w:rPr>
                <w:rFonts w:cs="宋体"/>
                <w:b/>
                <w:bCs/>
                <w:sz w:val="24"/>
                <w:szCs w:val="24"/>
              </w:rPr>
              <w:t>850nm</w:t>
            </w:r>
          </w:p>
        </w:tc>
        <w:tc>
          <w:tcPr>
            <w:tcW w:w="1032" w:type="pct"/>
            <w:vAlign w:val="center"/>
          </w:tcPr>
          <w:p w14:paraId="2B3935E9">
            <w:pPr>
              <w:pStyle w:val="24"/>
              <w:ind w:left="53" w:right="53"/>
              <w:rPr>
                <w:rFonts w:cs="宋体"/>
                <w:b/>
                <w:bCs/>
                <w:sz w:val="24"/>
                <w:szCs w:val="24"/>
              </w:rPr>
            </w:pPr>
            <w:r>
              <w:rPr>
                <w:rFonts w:cs="宋体"/>
                <w:b/>
                <w:bCs/>
                <w:sz w:val="24"/>
                <w:szCs w:val="24"/>
              </w:rPr>
              <w:t>1300nm</w:t>
            </w:r>
          </w:p>
        </w:tc>
        <w:tc>
          <w:tcPr>
            <w:tcW w:w="1031" w:type="pct"/>
            <w:vAlign w:val="center"/>
          </w:tcPr>
          <w:p w14:paraId="4CD5F825">
            <w:pPr>
              <w:pStyle w:val="24"/>
              <w:ind w:left="53" w:right="53"/>
              <w:rPr>
                <w:rFonts w:cs="宋体"/>
                <w:b/>
                <w:bCs/>
                <w:sz w:val="24"/>
                <w:szCs w:val="24"/>
              </w:rPr>
            </w:pPr>
            <w:r>
              <w:rPr>
                <w:rFonts w:cs="宋体"/>
                <w:b/>
                <w:bCs/>
                <w:sz w:val="24"/>
                <w:szCs w:val="24"/>
              </w:rPr>
              <w:t>1310nm</w:t>
            </w:r>
          </w:p>
        </w:tc>
        <w:tc>
          <w:tcPr>
            <w:tcW w:w="1033" w:type="pct"/>
            <w:vAlign w:val="center"/>
          </w:tcPr>
          <w:p w14:paraId="479D8EBD">
            <w:pPr>
              <w:pStyle w:val="24"/>
              <w:ind w:left="53" w:right="53"/>
              <w:rPr>
                <w:rFonts w:cs="宋体"/>
                <w:b/>
                <w:bCs/>
                <w:sz w:val="24"/>
                <w:szCs w:val="24"/>
              </w:rPr>
            </w:pPr>
            <w:r>
              <w:rPr>
                <w:rFonts w:cs="宋体"/>
                <w:b/>
                <w:bCs/>
                <w:sz w:val="24"/>
                <w:szCs w:val="24"/>
              </w:rPr>
              <w:t>1550nm</w:t>
            </w:r>
          </w:p>
        </w:tc>
      </w:tr>
      <w:tr w14:paraId="454D3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70" w:type="pct"/>
            <w:vAlign w:val="center"/>
          </w:tcPr>
          <w:p w14:paraId="14C872EF">
            <w:pPr>
              <w:pStyle w:val="24"/>
              <w:ind w:left="53" w:right="53"/>
              <w:rPr>
                <w:rFonts w:cs="宋体"/>
                <w:sz w:val="24"/>
                <w:szCs w:val="24"/>
              </w:rPr>
            </w:pPr>
            <w:r>
              <w:rPr>
                <w:rFonts w:cs="宋体"/>
                <w:sz w:val="24"/>
                <w:szCs w:val="24"/>
              </w:rPr>
              <w:t>OF -300</w:t>
            </w:r>
          </w:p>
        </w:tc>
        <w:tc>
          <w:tcPr>
            <w:tcW w:w="1031" w:type="pct"/>
            <w:vAlign w:val="center"/>
          </w:tcPr>
          <w:p w14:paraId="68EDED40">
            <w:pPr>
              <w:pStyle w:val="24"/>
              <w:ind w:left="53" w:right="53"/>
              <w:rPr>
                <w:rFonts w:cs="宋体"/>
                <w:sz w:val="24"/>
                <w:szCs w:val="24"/>
              </w:rPr>
            </w:pPr>
            <w:r>
              <w:rPr>
                <w:rFonts w:cs="宋体"/>
                <w:sz w:val="24"/>
                <w:szCs w:val="24"/>
              </w:rPr>
              <w:t>2.55</w:t>
            </w:r>
          </w:p>
        </w:tc>
        <w:tc>
          <w:tcPr>
            <w:tcW w:w="1032" w:type="pct"/>
            <w:vAlign w:val="center"/>
          </w:tcPr>
          <w:p w14:paraId="0AB3AA76">
            <w:pPr>
              <w:pStyle w:val="24"/>
              <w:ind w:left="53" w:right="53"/>
              <w:rPr>
                <w:rFonts w:cs="宋体"/>
                <w:sz w:val="24"/>
                <w:szCs w:val="24"/>
              </w:rPr>
            </w:pPr>
            <w:r>
              <w:rPr>
                <w:rFonts w:cs="宋体"/>
                <w:sz w:val="24"/>
                <w:szCs w:val="24"/>
              </w:rPr>
              <w:t>1.95</w:t>
            </w:r>
          </w:p>
        </w:tc>
        <w:tc>
          <w:tcPr>
            <w:tcW w:w="1031" w:type="pct"/>
            <w:vAlign w:val="center"/>
          </w:tcPr>
          <w:p w14:paraId="299F2E29">
            <w:pPr>
              <w:pStyle w:val="24"/>
              <w:ind w:left="53" w:right="53"/>
              <w:rPr>
                <w:rFonts w:cs="宋体"/>
                <w:sz w:val="24"/>
                <w:szCs w:val="24"/>
              </w:rPr>
            </w:pPr>
            <w:r>
              <w:rPr>
                <w:rFonts w:cs="宋体"/>
                <w:sz w:val="24"/>
                <w:szCs w:val="24"/>
              </w:rPr>
              <w:t>1.80</w:t>
            </w:r>
          </w:p>
        </w:tc>
        <w:tc>
          <w:tcPr>
            <w:tcW w:w="1033" w:type="pct"/>
            <w:vAlign w:val="center"/>
          </w:tcPr>
          <w:p w14:paraId="5ABAA4B3">
            <w:pPr>
              <w:pStyle w:val="24"/>
              <w:ind w:left="53" w:right="53"/>
              <w:rPr>
                <w:rFonts w:cs="宋体"/>
                <w:sz w:val="24"/>
                <w:szCs w:val="24"/>
              </w:rPr>
            </w:pPr>
            <w:r>
              <w:rPr>
                <w:rFonts w:cs="宋体"/>
                <w:sz w:val="24"/>
                <w:szCs w:val="24"/>
              </w:rPr>
              <w:t>1.80</w:t>
            </w:r>
          </w:p>
        </w:tc>
      </w:tr>
      <w:tr w14:paraId="1232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70" w:type="pct"/>
            <w:vAlign w:val="center"/>
          </w:tcPr>
          <w:p w14:paraId="3F42BBE2">
            <w:pPr>
              <w:pStyle w:val="24"/>
              <w:ind w:left="53" w:right="53"/>
              <w:rPr>
                <w:rFonts w:cs="宋体"/>
                <w:sz w:val="24"/>
                <w:szCs w:val="24"/>
              </w:rPr>
            </w:pPr>
            <w:r>
              <w:rPr>
                <w:rFonts w:cs="宋体"/>
                <w:sz w:val="24"/>
                <w:szCs w:val="24"/>
              </w:rPr>
              <w:t>OF -500</w:t>
            </w:r>
          </w:p>
        </w:tc>
        <w:tc>
          <w:tcPr>
            <w:tcW w:w="1031" w:type="pct"/>
            <w:vAlign w:val="center"/>
          </w:tcPr>
          <w:p w14:paraId="7E2E97E0">
            <w:pPr>
              <w:pStyle w:val="24"/>
              <w:ind w:left="53" w:right="53"/>
              <w:rPr>
                <w:rFonts w:cs="宋体"/>
                <w:sz w:val="24"/>
                <w:szCs w:val="24"/>
              </w:rPr>
            </w:pPr>
            <w:r>
              <w:rPr>
                <w:rFonts w:cs="宋体"/>
                <w:sz w:val="24"/>
                <w:szCs w:val="24"/>
              </w:rPr>
              <w:t>3.25</w:t>
            </w:r>
          </w:p>
        </w:tc>
        <w:tc>
          <w:tcPr>
            <w:tcW w:w="1032" w:type="pct"/>
            <w:vAlign w:val="center"/>
          </w:tcPr>
          <w:p w14:paraId="5C857737">
            <w:pPr>
              <w:pStyle w:val="24"/>
              <w:ind w:left="53" w:right="53"/>
              <w:rPr>
                <w:rFonts w:cs="宋体"/>
                <w:sz w:val="24"/>
                <w:szCs w:val="24"/>
              </w:rPr>
            </w:pPr>
            <w:r>
              <w:rPr>
                <w:rFonts w:cs="宋体"/>
                <w:sz w:val="24"/>
                <w:szCs w:val="24"/>
              </w:rPr>
              <w:t>2.25</w:t>
            </w:r>
          </w:p>
        </w:tc>
        <w:tc>
          <w:tcPr>
            <w:tcW w:w="1031" w:type="pct"/>
            <w:vAlign w:val="center"/>
          </w:tcPr>
          <w:p w14:paraId="073B6927">
            <w:pPr>
              <w:pStyle w:val="24"/>
              <w:ind w:left="53" w:right="53"/>
              <w:rPr>
                <w:rFonts w:cs="宋体"/>
                <w:sz w:val="24"/>
                <w:szCs w:val="24"/>
              </w:rPr>
            </w:pPr>
            <w:r>
              <w:rPr>
                <w:rFonts w:cs="宋体"/>
                <w:sz w:val="24"/>
                <w:szCs w:val="24"/>
              </w:rPr>
              <w:t>2.00</w:t>
            </w:r>
          </w:p>
        </w:tc>
        <w:tc>
          <w:tcPr>
            <w:tcW w:w="1033" w:type="pct"/>
            <w:vAlign w:val="center"/>
          </w:tcPr>
          <w:p w14:paraId="0D3DAD6D">
            <w:pPr>
              <w:pStyle w:val="24"/>
              <w:ind w:left="53" w:right="53"/>
              <w:rPr>
                <w:rFonts w:cs="宋体"/>
                <w:sz w:val="24"/>
                <w:szCs w:val="24"/>
              </w:rPr>
            </w:pPr>
            <w:r>
              <w:rPr>
                <w:rFonts w:cs="宋体"/>
                <w:sz w:val="24"/>
                <w:szCs w:val="24"/>
              </w:rPr>
              <w:t>2.00</w:t>
            </w:r>
          </w:p>
        </w:tc>
      </w:tr>
      <w:tr w14:paraId="1D608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870" w:type="pct"/>
            <w:vAlign w:val="center"/>
          </w:tcPr>
          <w:p w14:paraId="44F54620">
            <w:pPr>
              <w:pStyle w:val="24"/>
              <w:ind w:left="53" w:right="53"/>
              <w:rPr>
                <w:rFonts w:cs="宋体"/>
                <w:sz w:val="24"/>
                <w:szCs w:val="24"/>
              </w:rPr>
            </w:pPr>
            <w:r>
              <w:rPr>
                <w:rFonts w:cs="宋体"/>
                <w:sz w:val="24"/>
                <w:szCs w:val="24"/>
              </w:rPr>
              <w:t>OF -2000</w:t>
            </w:r>
          </w:p>
        </w:tc>
        <w:tc>
          <w:tcPr>
            <w:tcW w:w="1031" w:type="pct"/>
            <w:vAlign w:val="center"/>
          </w:tcPr>
          <w:p w14:paraId="10901E1B">
            <w:pPr>
              <w:pStyle w:val="24"/>
              <w:ind w:left="53" w:right="53"/>
              <w:rPr>
                <w:rFonts w:cs="宋体"/>
                <w:sz w:val="24"/>
                <w:szCs w:val="24"/>
              </w:rPr>
            </w:pPr>
            <w:r>
              <w:rPr>
                <w:rFonts w:cs="宋体"/>
                <w:sz w:val="24"/>
                <w:szCs w:val="24"/>
              </w:rPr>
              <w:t>8.50</w:t>
            </w:r>
          </w:p>
        </w:tc>
        <w:tc>
          <w:tcPr>
            <w:tcW w:w="1032" w:type="pct"/>
            <w:vAlign w:val="center"/>
          </w:tcPr>
          <w:p w14:paraId="03DFBB8B">
            <w:pPr>
              <w:pStyle w:val="24"/>
              <w:ind w:left="53" w:right="53"/>
              <w:rPr>
                <w:rFonts w:cs="宋体"/>
                <w:sz w:val="24"/>
                <w:szCs w:val="24"/>
              </w:rPr>
            </w:pPr>
            <w:r>
              <w:rPr>
                <w:rFonts w:cs="宋体"/>
                <w:sz w:val="24"/>
                <w:szCs w:val="24"/>
              </w:rPr>
              <w:t>4.50</w:t>
            </w:r>
          </w:p>
        </w:tc>
        <w:tc>
          <w:tcPr>
            <w:tcW w:w="1031" w:type="pct"/>
            <w:vAlign w:val="center"/>
          </w:tcPr>
          <w:p w14:paraId="392A6CC8">
            <w:pPr>
              <w:pStyle w:val="24"/>
              <w:ind w:left="53" w:right="53"/>
              <w:rPr>
                <w:rFonts w:cs="宋体"/>
                <w:sz w:val="24"/>
                <w:szCs w:val="24"/>
              </w:rPr>
            </w:pPr>
            <w:r>
              <w:rPr>
                <w:rFonts w:cs="宋体"/>
                <w:sz w:val="24"/>
                <w:szCs w:val="24"/>
              </w:rPr>
              <w:t>3.50</w:t>
            </w:r>
          </w:p>
        </w:tc>
        <w:tc>
          <w:tcPr>
            <w:tcW w:w="1033" w:type="pct"/>
            <w:vAlign w:val="center"/>
          </w:tcPr>
          <w:p w14:paraId="2B9C11B8">
            <w:pPr>
              <w:pStyle w:val="24"/>
              <w:ind w:left="53" w:right="53"/>
              <w:rPr>
                <w:rFonts w:cs="宋体"/>
                <w:sz w:val="24"/>
                <w:szCs w:val="24"/>
              </w:rPr>
            </w:pPr>
            <w:r>
              <w:rPr>
                <w:rFonts w:cs="宋体"/>
                <w:sz w:val="24"/>
                <w:szCs w:val="24"/>
              </w:rPr>
              <w:t>3.50</w:t>
            </w:r>
          </w:p>
        </w:tc>
      </w:tr>
    </w:tbl>
    <w:p w14:paraId="1BA47AE4">
      <w:pPr>
        <w:pStyle w:val="19"/>
        <w:ind w:firstLine="480"/>
        <w:rPr>
          <w:rFonts w:hint="eastAsia" w:ascii="宋体" w:hAnsi="宋体" w:eastAsia="宋体"/>
          <w:sz w:val="24"/>
          <w:lang w:val="en-GB"/>
        </w:rPr>
      </w:pPr>
      <w:r>
        <w:rPr>
          <w:rFonts w:hint="eastAsia" w:ascii="宋体" w:hAnsi="宋体" w:eastAsia="宋体"/>
          <w:sz w:val="24"/>
        </w:rPr>
        <w:t>2.</w:t>
      </w:r>
      <w:r>
        <w:rPr>
          <w:rFonts w:hint="eastAsia" w:ascii="宋体" w:hAnsi="宋体" w:eastAsia="宋体"/>
          <w:sz w:val="24"/>
          <w:lang w:val="en-GB"/>
        </w:rPr>
        <w:t>模式带宽</w:t>
      </w:r>
    </w:p>
    <w:p w14:paraId="100B34CE">
      <w:pPr>
        <w:pStyle w:val="19"/>
        <w:ind w:firstLine="480"/>
        <w:rPr>
          <w:rFonts w:hint="eastAsia" w:ascii="宋体" w:hAnsi="宋体" w:eastAsia="宋体"/>
          <w:sz w:val="24"/>
          <w:lang w:val="en-GB"/>
        </w:rPr>
      </w:pPr>
      <w:r>
        <w:rPr>
          <w:rFonts w:hint="eastAsia" w:ascii="宋体" w:hAnsi="宋体" w:eastAsia="宋体"/>
          <w:sz w:val="24"/>
          <w:lang w:val="en-GB"/>
        </w:rPr>
        <w:t>多模光纤的最小模式带宽应符合下表的规定：</w:t>
      </w:r>
    </w:p>
    <w:p w14:paraId="18F56A40">
      <w:pPr>
        <w:pStyle w:val="13"/>
        <w:rPr>
          <w:rFonts w:hint="eastAsia" w:ascii="宋体" w:hAnsi="宋体" w:eastAsia="宋体" w:cs="宋体"/>
          <w:sz w:val="24"/>
        </w:rPr>
      </w:pPr>
      <w:r>
        <w:rPr>
          <w:rFonts w:hint="eastAsia" w:ascii="宋体" w:hAnsi="宋体" w:eastAsia="宋体" w:cs="宋体"/>
          <w:sz w:val="24"/>
          <w:lang w:val="en-GB"/>
        </w:rPr>
        <w:t>多模光纤模式带宽</w:t>
      </w:r>
    </w:p>
    <w:tbl>
      <w:tblPr>
        <w:tblStyle w:val="17"/>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1584"/>
        <w:gridCol w:w="1559"/>
        <w:gridCol w:w="1276"/>
        <w:gridCol w:w="1395"/>
        <w:gridCol w:w="2522"/>
      </w:tblGrid>
      <w:tr w14:paraId="6D8D2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1584" w:type="dxa"/>
            <w:vMerge w:val="restart"/>
            <w:vAlign w:val="center"/>
          </w:tcPr>
          <w:p w14:paraId="19F9E18F">
            <w:pPr>
              <w:pStyle w:val="24"/>
              <w:ind w:left="53" w:right="53"/>
              <w:rPr>
                <w:rFonts w:cs="宋体"/>
                <w:b/>
                <w:bCs/>
                <w:sz w:val="24"/>
                <w:szCs w:val="24"/>
              </w:rPr>
            </w:pPr>
            <w:r>
              <w:rPr>
                <w:rFonts w:cs="宋体"/>
                <w:b/>
                <w:bCs/>
                <w:sz w:val="24"/>
                <w:szCs w:val="24"/>
              </w:rPr>
              <w:t>光纤类型</w:t>
            </w:r>
          </w:p>
        </w:tc>
        <w:tc>
          <w:tcPr>
            <w:tcW w:w="1559" w:type="dxa"/>
            <w:vMerge w:val="restart"/>
            <w:vAlign w:val="center"/>
          </w:tcPr>
          <w:p w14:paraId="224EE94B">
            <w:pPr>
              <w:pStyle w:val="24"/>
              <w:ind w:left="53" w:right="53"/>
              <w:rPr>
                <w:rFonts w:cs="宋体"/>
                <w:b/>
                <w:bCs/>
                <w:sz w:val="24"/>
                <w:szCs w:val="24"/>
              </w:rPr>
            </w:pPr>
            <w:r>
              <w:rPr>
                <w:rFonts w:cs="宋体"/>
                <w:b/>
                <w:bCs/>
                <w:sz w:val="24"/>
                <w:szCs w:val="24"/>
              </w:rPr>
              <w:t>光纤直径</w:t>
            </w:r>
          </w:p>
          <w:p w14:paraId="48589A84">
            <w:pPr>
              <w:pStyle w:val="24"/>
              <w:ind w:left="53" w:right="53"/>
              <w:rPr>
                <w:rFonts w:cs="宋体"/>
                <w:b/>
                <w:bCs/>
                <w:sz w:val="24"/>
                <w:szCs w:val="24"/>
              </w:rPr>
            </w:pPr>
            <w:r>
              <w:rPr>
                <w:rFonts w:cs="宋体"/>
                <w:b/>
                <w:bCs/>
                <w:sz w:val="24"/>
                <w:szCs w:val="24"/>
              </w:rPr>
              <w:t>(um)</w:t>
            </w:r>
          </w:p>
        </w:tc>
        <w:tc>
          <w:tcPr>
            <w:tcW w:w="5193" w:type="dxa"/>
            <w:gridSpan w:val="3"/>
            <w:vAlign w:val="center"/>
          </w:tcPr>
          <w:p w14:paraId="0A2CA39B">
            <w:pPr>
              <w:pStyle w:val="24"/>
              <w:ind w:left="53" w:right="53"/>
              <w:rPr>
                <w:rFonts w:cs="宋体"/>
                <w:b/>
                <w:bCs/>
                <w:sz w:val="24"/>
                <w:szCs w:val="24"/>
              </w:rPr>
            </w:pPr>
            <w:r>
              <w:rPr>
                <w:rFonts w:cs="宋体"/>
                <w:b/>
                <w:bCs/>
                <w:sz w:val="24"/>
                <w:szCs w:val="24"/>
              </w:rPr>
              <w:t>最小模式带宽（MHz·kin）</w:t>
            </w:r>
          </w:p>
        </w:tc>
      </w:tr>
      <w:tr w14:paraId="60D3C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1584" w:type="dxa"/>
            <w:vMerge w:val="continue"/>
            <w:vAlign w:val="center"/>
          </w:tcPr>
          <w:p w14:paraId="5B6FBD30">
            <w:pPr>
              <w:pStyle w:val="24"/>
              <w:ind w:left="53" w:right="53"/>
              <w:rPr>
                <w:rFonts w:cs="宋体"/>
                <w:b/>
                <w:bCs/>
                <w:sz w:val="24"/>
                <w:szCs w:val="24"/>
              </w:rPr>
            </w:pPr>
          </w:p>
        </w:tc>
        <w:tc>
          <w:tcPr>
            <w:tcW w:w="1559" w:type="dxa"/>
            <w:vMerge w:val="continue"/>
            <w:vAlign w:val="center"/>
          </w:tcPr>
          <w:p w14:paraId="68B9D159">
            <w:pPr>
              <w:pStyle w:val="24"/>
              <w:ind w:left="53" w:right="53"/>
              <w:rPr>
                <w:rFonts w:cs="宋体"/>
                <w:b/>
                <w:bCs/>
                <w:sz w:val="24"/>
                <w:szCs w:val="24"/>
              </w:rPr>
            </w:pPr>
          </w:p>
        </w:tc>
        <w:tc>
          <w:tcPr>
            <w:tcW w:w="2671" w:type="dxa"/>
            <w:gridSpan w:val="2"/>
            <w:vAlign w:val="center"/>
          </w:tcPr>
          <w:p w14:paraId="3BA12749">
            <w:pPr>
              <w:pStyle w:val="24"/>
              <w:ind w:left="53" w:right="53"/>
              <w:rPr>
                <w:rFonts w:cs="宋体"/>
                <w:b/>
                <w:bCs/>
                <w:sz w:val="24"/>
                <w:szCs w:val="24"/>
              </w:rPr>
            </w:pPr>
            <w:r>
              <w:rPr>
                <w:rFonts w:cs="宋体"/>
                <w:b/>
                <w:bCs/>
                <w:sz w:val="24"/>
                <w:szCs w:val="24"/>
              </w:rPr>
              <w:t>过量发射带宽</w:t>
            </w:r>
          </w:p>
        </w:tc>
        <w:tc>
          <w:tcPr>
            <w:tcW w:w="2522" w:type="dxa"/>
            <w:vAlign w:val="center"/>
          </w:tcPr>
          <w:p w14:paraId="306D0133">
            <w:pPr>
              <w:pStyle w:val="24"/>
              <w:ind w:left="53" w:right="53"/>
              <w:rPr>
                <w:rFonts w:cs="宋体"/>
                <w:b/>
                <w:bCs/>
                <w:sz w:val="24"/>
                <w:szCs w:val="24"/>
              </w:rPr>
            </w:pPr>
            <w:r>
              <w:rPr>
                <w:rFonts w:cs="宋体"/>
                <w:b/>
                <w:bCs/>
                <w:sz w:val="24"/>
                <w:szCs w:val="24"/>
              </w:rPr>
              <w:t>有效光发射带宽</w:t>
            </w:r>
          </w:p>
        </w:tc>
      </w:tr>
      <w:tr w14:paraId="060FF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1584" w:type="dxa"/>
            <w:vMerge w:val="continue"/>
            <w:vAlign w:val="center"/>
          </w:tcPr>
          <w:p w14:paraId="379F78D5">
            <w:pPr>
              <w:pStyle w:val="24"/>
              <w:ind w:left="53" w:right="53"/>
              <w:rPr>
                <w:rFonts w:cs="宋体"/>
                <w:b/>
                <w:bCs/>
                <w:sz w:val="24"/>
                <w:szCs w:val="24"/>
              </w:rPr>
            </w:pPr>
          </w:p>
        </w:tc>
        <w:tc>
          <w:tcPr>
            <w:tcW w:w="1559" w:type="dxa"/>
            <w:vMerge w:val="continue"/>
            <w:vAlign w:val="center"/>
          </w:tcPr>
          <w:p w14:paraId="7BEB666E">
            <w:pPr>
              <w:pStyle w:val="24"/>
              <w:ind w:left="53" w:right="53"/>
              <w:rPr>
                <w:rFonts w:cs="宋体"/>
                <w:b/>
                <w:bCs/>
                <w:sz w:val="24"/>
                <w:szCs w:val="24"/>
              </w:rPr>
            </w:pPr>
          </w:p>
        </w:tc>
        <w:tc>
          <w:tcPr>
            <w:tcW w:w="5193" w:type="dxa"/>
            <w:gridSpan w:val="3"/>
            <w:vAlign w:val="center"/>
          </w:tcPr>
          <w:p w14:paraId="10C58F1D">
            <w:pPr>
              <w:pStyle w:val="24"/>
              <w:ind w:left="53" w:right="53"/>
              <w:rPr>
                <w:rFonts w:cs="宋体"/>
                <w:b/>
                <w:bCs/>
                <w:sz w:val="24"/>
                <w:szCs w:val="24"/>
              </w:rPr>
            </w:pPr>
            <w:r>
              <w:rPr>
                <w:rFonts w:cs="宋体"/>
                <w:b/>
                <w:bCs/>
                <w:sz w:val="24"/>
                <w:szCs w:val="24"/>
              </w:rPr>
              <w:t>波长</w:t>
            </w:r>
          </w:p>
        </w:tc>
      </w:tr>
      <w:tr w14:paraId="53E6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blHeader/>
        </w:trPr>
        <w:tc>
          <w:tcPr>
            <w:tcW w:w="1584" w:type="dxa"/>
            <w:vMerge w:val="continue"/>
            <w:vAlign w:val="center"/>
          </w:tcPr>
          <w:p w14:paraId="2D6F3682">
            <w:pPr>
              <w:pStyle w:val="24"/>
              <w:ind w:left="53" w:right="53"/>
              <w:rPr>
                <w:rFonts w:cs="宋体"/>
                <w:b/>
                <w:bCs/>
                <w:sz w:val="24"/>
                <w:szCs w:val="24"/>
              </w:rPr>
            </w:pPr>
          </w:p>
        </w:tc>
        <w:tc>
          <w:tcPr>
            <w:tcW w:w="1559" w:type="dxa"/>
            <w:vMerge w:val="continue"/>
            <w:vAlign w:val="center"/>
          </w:tcPr>
          <w:p w14:paraId="1E8AD5B2">
            <w:pPr>
              <w:pStyle w:val="24"/>
              <w:ind w:left="53" w:right="53"/>
              <w:rPr>
                <w:rFonts w:cs="宋体"/>
                <w:b/>
                <w:bCs/>
                <w:sz w:val="24"/>
                <w:szCs w:val="24"/>
              </w:rPr>
            </w:pPr>
          </w:p>
        </w:tc>
        <w:tc>
          <w:tcPr>
            <w:tcW w:w="1276" w:type="dxa"/>
            <w:vAlign w:val="center"/>
          </w:tcPr>
          <w:p w14:paraId="4F34D78B">
            <w:pPr>
              <w:pStyle w:val="24"/>
              <w:ind w:left="53" w:right="53"/>
              <w:rPr>
                <w:rFonts w:cs="宋体"/>
                <w:b/>
                <w:bCs/>
                <w:sz w:val="24"/>
                <w:szCs w:val="24"/>
              </w:rPr>
            </w:pPr>
            <w:r>
              <w:rPr>
                <w:rFonts w:cs="宋体"/>
                <w:b/>
                <w:bCs/>
                <w:sz w:val="24"/>
                <w:szCs w:val="24"/>
              </w:rPr>
              <w:t>850nm</w:t>
            </w:r>
          </w:p>
        </w:tc>
        <w:tc>
          <w:tcPr>
            <w:tcW w:w="1395" w:type="dxa"/>
            <w:vAlign w:val="center"/>
          </w:tcPr>
          <w:p w14:paraId="393DCD15">
            <w:pPr>
              <w:pStyle w:val="24"/>
              <w:ind w:left="53" w:right="53"/>
              <w:rPr>
                <w:rFonts w:cs="宋体"/>
                <w:b/>
                <w:bCs/>
                <w:sz w:val="24"/>
                <w:szCs w:val="24"/>
              </w:rPr>
            </w:pPr>
            <w:r>
              <w:rPr>
                <w:rFonts w:cs="宋体"/>
                <w:b/>
                <w:bCs/>
                <w:sz w:val="24"/>
                <w:szCs w:val="24"/>
              </w:rPr>
              <w:t>1300nm</w:t>
            </w:r>
          </w:p>
        </w:tc>
        <w:tc>
          <w:tcPr>
            <w:tcW w:w="2522" w:type="dxa"/>
            <w:vAlign w:val="center"/>
          </w:tcPr>
          <w:p w14:paraId="12F17373">
            <w:pPr>
              <w:pStyle w:val="24"/>
              <w:ind w:left="53" w:right="53"/>
              <w:rPr>
                <w:rFonts w:cs="宋体"/>
                <w:b/>
                <w:bCs/>
                <w:sz w:val="24"/>
                <w:szCs w:val="24"/>
              </w:rPr>
            </w:pPr>
            <w:r>
              <w:rPr>
                <w:rFonts w:cs="宋体"/>
                <w:b/>
                <w:bCs/>
                <w:sz w:val="24"/>
                <w:szCs w:val="24"/>
              </w:rPr>
              <w:t>850nm</w:t>
            </w:r>
          </w:p>
        </w:tc>
      </w:tr>
      <w:tr w14:paraId="3AD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1584" w:type="dxa"/>
            <w:vAlign w:val="center"/>
          </w:tcPr>
          <w:p w14:paraId="5877046B">
            <w:pPr>
              <w:pStyle w:val="24"/>
              <w:ind w:left="53" w:right="53"/>
              <w:rPr>
                <w:rFonts w:cs="宋体"/>
                <w:sz w:val="24"/>
                <w:szCs w:val="24"/>
              </w:rPr>
            </w:pPr>
            <w:r>
              <w:rPr>
                <w:rFonts w:cs="宋体"/>
                <w:sz w:val="24"/>
                <w:szCs w:val="24"/>
              </w:rPr>
              <w:t>OMl</w:t>
            </w:r>
          </w:p>
        </w:tc>
        <w:tc>
          <w:tcPr>
            <w:tcW w:w="1559" w:type="dxa"/>
            <w:vAlign w:val="center"/>
          </w:tcPr>
          <w:p w14:paraId="68F1585B">
            <w:pPr>
              <w:pStyle w:val="24"/>
              <w:ind w:left="53" w:right="53"/>
              <w:rPr>
                <w:rFonts w:cs="宋体"/>
                <w:sz w:val="24"/>
                <w:szCs w:val="24"/>
              </w:rPr>
            </w:pPr>
            <w:r>
              <w:rPr>
                <w:rFonts w:cs="宋体"/>
                <w:sz w:val="24"/>
                <w:szCs w:val="24"/>
              </w:rPr>
              <w:t>50或62.5</w:t>
            </w:r>
          </w:p>
        </w:tc>
        <w:tc>
          <w:tcPr>
            <w:tcW w:w="1276" w:type="dxa"/>
            <w:vAlign w:val="center"/>
          </w:tcPr>
          <w:p w14:paraId="0DD792F2">
            <w:pPr>
              <w:pStyle w:val="24"/>
              <w:ind w:left="53" w:right="53"/>
              <w:rPr>
                <w:rFonts w:cs="宋体"/>
                <w:sz w:val="24"/>
                <w:szCs w:val="24"/>
              </w:rPr>
            </w:pPr>
            <w:r>
              <w:rPr>
                <w:rFonts w:cs="宋体"/>
                <w:sz w:val="24"/>
                <w:szCs w:val="24"/>
              </w:rPr>
              <w:t>200</w:t>
            </w:r>
          </w:p>
        </w:tc>
        <w:tc>
          <w:tcPr>
            <w:tcW w:w="1395" w:type="dxa"/>
            <w:vAlign w:val="center"/>
          </w:tcPr>
          <w:p w14:paraId="222D195E">
            <w:pPr>
              <w:pStyle w:val="24"/>
              <w:ind w:left="53" w:right="53"/>
              <w:rPr>
                <w:rFonts w:cs="宋体"/>
                <w:sz w:val="24"/>
                <w:szCs w:val="24"/>
              </w:rPr>
            </w:pPr>
            <w:r>
              <w:rPr>
                <w:rFonts w:cs="宋体"/>
                <w:sz w:val="24"/>
                <w:szCs w:val="24"/>
              </w:rPr>
              <w:t>500</w:t>
            </w:r>
          </w:p>
        </w:tc>
        <w:tc>
          <w:tcPr>
            <w:tcW w:w="2522" w:type="dxa"/>
            <w:vAlign w:val="center"/>
          </w:tcPr>
          <w:p w14:paraId="3733019E">
            <w:pPr>
              <w:pStyle w:val="24"/>
              <w:ind w:left="53" w:right="53"/>
              <w:rPr>
                <w:rFonts w:cs="宋体"/>
                <w:sz w:val="24"/>
                <w:szCs w:val="24"/>
              </w:rPr>
            </w:pPr>
          </w:p>
        </w:tc>
      </w:tr>
      <w:tr w14:paraId="71684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1584" w:type="dxa"/>
            <w:vAlign w:val="center"/>
          </w:tcPr>
          <w:p w14:paraId="1EF4A371">
            <w:pPr>
              <w:pStyle w:val="24"/>
              <w:ind w:left="53" w:right="53"/>
              <w:rPr>
                <w:rFonts w:cs="宋体"/>
                <w:sz w:val="24"/>
                <w:szCs w:val="24"/>
              </w:rPr>
            </w:pPr>
            <w:r>
              <w:rPr>
                <w:rFonts w:cs="宋体"/>
                <w:sz w:val="24"/>
                <w:szCs w:val="24"/>
              </w:rPr>
              <w:t>OM2</w:t>
            </w:r>
          </w:p>
        </w:tc>
        <w:tc>
          <w:tcPr>
            <w:tcW w:w="1559" w:type="dxa"/>
            <w:vAlign w:val="center"/>
          </w:tcPr>
          <w:p w14:paraId="2A2EE36B">
            <w:pPr>
              <w:pStyle w:val="24"/>
              <w:ind w:left="53" w:right="53"/>
              <w:rPr>
                <w:rFonts w:cs="宋体"/>
                <w:sz w:val="24"/>
                <w:szCs w:val="24"/>
              </w:rPr>
            </w:pPr>
            <w:r>
              <w:rPr>
                <w:rFonts w:cs="宋体"/>
                <w:sz w:val="24"/>
                <w:szCs w:val="24"/>
              </w:rPr>
              <w:t>50或62.5</w:t>
            </w:r>
          </w:p>
        </w:tc>
        <w:tc>
          <w:tcPr>
            <w:tcW w:w="1276" w:type="dxa"/>
            <w:vAlign w:val="center"/>
          </w:tcPr>
          <w:p w14:paraId="63D750A4">
            <w:pPr>
              <w:pStyle w:val="24"/>
              <w:ind w:left="53" w:right="53"/>
              <w:rPr>
                <w:rFonts w:cs="宋体"/>
                <w:sz w:val="24"/>
                <w:szCs w:val="24"/>
              </w:rPr>
            </w:pPr>
            <w:r>
              <w:rPr>
                <w:rFonts w:cs="宋体"/>
                <w:sz w:val="24"/>
                <w:szCs w:val="24"/>
              </w:rPr>
              <w:t>500</w:t>
            </w:r>
          </w:p>
        </w:tc>
        <w:tc>
          <w:tcPr>
            <w:tcW w:w="1395" w:type="dxa"/>
            <w:vAlign w:val="center"/>
          </w:tcPr>
          <w:p w14:paraId="563D9C70">
            <w:pPr>
              <w:pStyle w:val="24"/>
              <w:ind w:left="53" w:right="53"/>
              <w:rPr>
                <w:rFonts w:cs="宋体"/>
                <w:sz w:val="24"/>
                <w:szCs w:val="24"/>
              </w:rPr>
            </w:pPr>
            <w:r>
              <w:rPr>
                <w:rFonts w:cs="宋体"/>
                <w:sz w:val="24"/>
                <w:szCs w:val="24"/>
              </w:rPr>
              <w:t>500</w:t>
            </w:r>
          </w:p>
        </w:tc>
        <w:tc>
          <w:tcPr>
            <w:tcW w:w="2522" w:type="dxa"/>
            <w:vAlign w:val="center"/>
          </w:tcPr>
          <w:p w14:paraId="14A74E01">
            <w:pPr>
              <w:pStyle w:val="24"/>
              <w:ind w:left="53" w:right="53"/>
              <w:rPr>
                <w:rFonts w:cs="宋体"/>
                <w:sz w:val="24"/>
                <w:szCs w:val="24"/>
              </w:rPr>
            </w:pPr>
          </w:p>
        </w:tc>
      </w:tr>
      <w:tr w14:paraId="0F393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53" w:hRule="exact"/>
        </w:trPr>
        <w:tc>
          <w:tcPr>
            <w:tcW w:w="1584" w:type="dxa"/>
            <w:vAlign w:val="center"/>
          </w:tcPr>
          <w:p w14:paraId="47F6FAA3">
            <w:pPr>
              <w:pStyle w:val="24"/>
              <w:ind w:left="53" w:right="53"/>
              <w:rPr>
                <w:rFonts w:cs="宋体"/>
                <w:sz w:val="24"/>
                <w:szCs w:val="24"/>
              </w:rPr>
            </w:pPr>
            <w:r>
              <w:rPr>
                <w:rFonts w:cs="宋体"/>
                <w:sz w:val="24"/>
                <w:szCs w:val="24"/>
              </w:rPr>
              <w:t>OM3</w:t>
            </w:r>
          </w:p>
        </w:tc>
        <w:tc>
          <w:tcPr>
            <w:tcW w:w="1559" w:type="dxa"/>
            <w:vAlign w:val="center"/>
          </w:tcPr>
          <w:p w14:paraId="68FA0AF7">
            <w:pPr>
              <w:pStyle w:val="24"/>
              <w:ind w:left="53" w:right="53"/>
              <w:rPr>
                <w:rFonts w:cs="宋体"/>
                <w:sz w:val="24"/>
                <w:szCs w:val="24"/>
              </w:rPr>
            </w:pPr>
            <w:r>
              <w:rPr>
                <w:rFonts w:cs="宋体"/>
                <w:sz w:val="24"/>
                <w:szCs w:val="24"/>
              </w:rPr>
              <w:t>50</w:t>
            </w:r>
          </w:p>
        </w:tc>
        <w:tc>
          <w:tcPr>
            <w:tcW w:w="1276" w:type="dxa"/>
            <w:vAlign w:val="center"/>
          </w:tcPr>
          <w:p w14:paraId="5B839812">
            <w:pPr>
              <w:pStyle w:val="24"/>
              <w:ind w:left="53" w:right="53"/>
              <w:rPr>
                <w:rFonts w:cs="宋体"/>
                <w:sz w:val="24"/>
                <w:szCs w:val="24"/>
              </w:rPr>
            </w:pPr>
            <w:r>
              <w:rPr>
                <w:rFonts w:cs="宋体"/>
                <w:sz w:val="24"/>
                <w:szCs w:val="24"/>
              </w:rPr>
              <w:t>1500</w:t>
            </w:r>
          </w:p>
        </w:tc>
        <w:tc>
          <w:tcPr>
            <w:tcW w:w="1395" w:type="dxa"/>
            <w:vAlign w:val="center"/>
          </w:tcPr>
          <w:p w14:paraId="626DCB6B">
            <w:pPr>
              <w:pStyle w:val="24"/>
              <w:ind w:left="53" w:right="53"/>
              <w:rPr>
                <w:rFonts w:cs="宋体"/>
                <w:sz w:val="24"/>
                <w:szCs w:val="24"/>
              </w:rPr>
            </w:pPr>
            <w:r>
              <w:rPr>
                <w:rFonts w:cs="宋体"/>
                <w:sz w:val="24"/>
                <w:szCs w:val="24"/>
              </w:rPr>
              <w:t>500</w:t>
            </w:r>
          </w:p>
        </w:tc>
        <w:tc>
          <w:tcPr>
            <w:tcW w:w="2522" w:type="dxa"/>
            <w:vAlign w:val="center"/>
          </w:tcPr>
          <w:p w14:paraId="2921C2C1">
            <w:pPr>
              <w:pStyle w:val="24"/>
              <w:ind w:left="53" w:right="53"/>
              <w:rPr>
                <w:rFonts w:cs="宋体"/>
                <w:sz w:val="24"/>
                <w:szCs w:val="24"/>
              </w:rPr>
            </w:pPr>
            <w:r>
              <w:rPr>
                <w:rFonts w:cs="宋体"/>
                <w:sz w:val="24"/>
                <w:szCs w:val="24"/>
              </w:rPr>
              <w:t>2000</w:t>
            </w:r>
          </w:p>
        </w:tc>
      </w:tr>
    </w:tbl>
    <w:p w14:paraId="21B64C8F">
      <w:pPr>
        <w:pStyle w:val="10"/>
        <w:numPr>
          <w:ilvl w:val="3"/>
          <w:numId w:val="0"/>
        </w:numPr>
        <w:tabs>
          <w:tab w:val="clear" w:pos="425"/>
        </w:tabs>
        <w:rPr>
          <w:rFonts w:hint="eastAsia" w:ascii="宋体" w:hAnsi="宋体" w:eastAsia="宋体" w:cs="宋体"/>
          <w:b w:val="0"/>
          <w:sz w:val="24"/>
        </w:rPr>
      </w:pPr>
      <w:bookmarkStart w:id="234" w:name="_Toc100588905"/>
      <w:r>
        <w:rPr>
          <w:rFonts w:hint="eastAsia" w:ascii="宋体" w:hAnsi="宋体" w:eastAsia="宋体" w:cs="宋体"/>
          <w:b w:val="0"/>
          <w:sz w:val="24"/>
        </w:rPr>
        <w:t>4.1.2网络系统</w:t>
      </w:r>
      <w:bookmarkEnd w:id="234"/>
    </w:p>
    <w:p w14:paraId="69A3BD93">
      <w:pPr>
        <w:pStyle w:val="10"/>
        <w:numPr>
          <w:ilvl w:val="3"/>
          <w:numId w:val="0"/>
        </w:numPr>
        <w:tabs>
          <w:tab w:val="clear" w:pos="425"/>
        </w:tabs>
        <w:rPr>
          <w:rFonts w:hint="eastAsia" w:ascii="宋体" w:hAnsi="宋体" w:eastAsia="宋体" w:cs="宋体"/>
          <w:b w:val="0"/>
          <w:sz w:val="24"/>
        </w:rPr>
      </w:pPr>
      <w:r>
        <w:rPr>
          <w:rFonts w:hint="eastAsia" w:ascii="宋体" w:hAnsi="宋体" w:eastAsia="宋体" w:cs="宋体"/>
          <w:b w:val="0"/>
          <w:sz w:val="24"/>
        </w:rPr>
        <w:t>4.1.2.1系统概述</w:t>
      </w:r>
    </w:p>
    <w:p w14:paraId="49AC9003">
      <w:pPr>
        <w:pStyle w:val="19"/>
        <w:ind w:firstLine="480"/>
        <w:rPr>
          <w:rFonts w:hint="eastAsia" w:ascii="宋体" w:hAnsi="宋体" w:eastAsia="宋体"/>
          <w:sz w:val="24"/>
        </w:rPr>
      </w:pPr>
      <w:r>
        <w:rPr>
          <w:rFonts w:hint="eastAsia" w:ascii="宋体" w:hAnsi="宋体" w:eastAsia="宋体"/>
          <w:sz w:val="24"/>
        </w:rPr>
        <w:t>计算机网络是基于综合布线平台上运行的，通过建设一个高速、安全、可靠的信息网络，实现信息的高速传递、交换及共享。用于法院系统的计算机网络在满足其办公、服务和管理功能需求外，对网络安全和远程网络传输提出更高的要求。因此，通过建设一个高速、安全、可靠、可扩充的信息网络系统，实现法院系统内部信息的高速共享、传递及管理。</w:t>
      </w:r>
    </w:p>
    <w:p w14:paraId="7C1D943C">
      <w:pPr>
        <w:pStyle w:val="19"/>
        <w:ind w:firstLine="480"/>
        <w:rPr>
          <w:rFonts w:hint="eastAsia" w:ascii="宋体" w:hAnsi="宋体" w:eastAsia="宋体"/>
          <w:sz w:val="24"/>
        </w:rPr>
      </w:pPr>
      <w:r>
        <w:rPr>
          <w:rFonts w:hint="eastAsia" w:ascii="宋体" w:hAnsi="宋体" w:eastAsia="宋体"/>
          <w:sz w:val="24"/>
        </w:rPr>
        <w:t>新建的1号楼和2号楼网络系统按照法院专网、互联网建设，彼此之间物理隔离，整体网络设计为千兆到桌面，万兆骨干网，保证未来5—10年不存在链路带宽瓶颈。</w:t>
      </w:r>
    </w:p>
    <w:p w14:paraId="15CCB723">
      <w:pPr>
        <w:pStyle w:val="19"/>
        <w:ind w:firstLine="0" w:firstLineChars="0"/>
        <w:rPr>
          <w:rFonts w:hint="eastAsia" w:ascii="宋体" w:hAnsi="宋体" w:eastAsia="宋体"/>
          <w:sz w:val="24"/>
        </w:rPr>
      </w:pPr>
      <w:r>
        <w:rPr>
          <w:rFonts w:hint="eastAsia" w:ascii="宋体" w:hAnsi="宋体" w:eastAsia="宋体"/>
          <w:bCs/>
          <w:sz w:val="24"/>
        </w:rPr>
        <w:t>4.1.3</w:t>
      </w:r>
      <w:r>
        <w:rPr>
          <w:rFonts w:hint="eastAsia" w:ascii="宋体" w:hAnsi="宋体" w:eastAsia="宋体"/>
          <w:sz w:val="24"/>
        </w:rPr>
        <w:t>设备间系统</w:t>
      </w:r>
    </w:p>
    <w:p w14:paraId="699A7E92">
      <w:pPr>
        <w:pStyle w:val="19"/>
        <w:ind w:firstLine="480"/>
        <w:rPr>
          <w:rFonts w:hint="eastAsia" w:ascii="宋体" w:hAnsi="宋体" w:eastAsia="宋体"/>
          <w:sz w:val="24"/>
        </w:rPr>
      </w:pPr>
      <w:r>
        <w:rPr>
          <w:rFonts w:hint="eastAsia" w:ascii="宋体" w:hAnsi="宋体" w:eastAsia="宋体"/>
          <w:sz w:val="24"/>
        </w:rPr>
        <w:t>新建的1号楼和2号楼设备间系统包括每层楼的弱电井，每个弱电井部署一台机柜，用于放置楼层接入和汇聚设备。</w:t>
      </w:r>
    </w:p>
    <w:p w14:paraId="66F6A478">
      <w:pPr>
        <w:pStyle w:val="19"/>
        <w:ind w:firstLine="0" w:firstLineChars="0"/>
        <w:rPr>
          <w:rFonts w:hint="eastAsia" w:ascii="宋体" w:hAnsi="宋体" w:eastAsia="宋体"/>
          <w:sz w:val="24"/>
        </w:rPr>
      </w:pPr>
      <w:r>
        <w:rPr>
          <w:rFonts w:hint="eastAsia" w:ascii="宋体" w:hAnsi="宋体" w:eastAsia="宋体"/>
          <w:sz w:val="24"/>
        </w:rPr>
        <w:t>4.1.4机房系统</w:t>
      </w:r>
    </w:p>
    <w:p w14:paraId="1F106BFC">
      <w:pPr>
        <w:pStyle w:val="19"/>
        <w:numPr>
          <w:ilvl w:val="1"/>
          <w:numId w:val="7"/>
        </w:numPr>
        <w:ind w:firstLine="480"/>
        <w:rPr>
          <w:rFonts w:hint="eastAsia" w:ascii="宋体" w:hAnsi="宋体" w:eastAsia="宋体"/>
          <w:sz w:val="24"/>
        </w:rPr>
      </w:pPr>
      <w:r>
        <w:rPr>
          <w:rFonts w:hint="eastAsia" w:ascii="宋体" w:hAnsi="宋体" w:eastAsia="宋体"/>
          <w:sz w:val="24"/>
        </w:rPr>
        <w:t>本项目计划在2号楼三楼新建机房，为本次项目购买的设备提供安全、稳定、可靠的基础设施，以支持各种业务系统和应用的正常运行。</w:t>
      </w:r>
      <w:bookmarkStart w:id="235" w:name="_Toc15226"/>
    </w:p>
    <w:p w14:paraId="540B5499">
      <w:pPr>
        <w:pStyle w:val="19"/>
        <w:ind w:firstLine="0" w:firstLineChars="0"/>
        <w:rPr>
          <w:rFonts w:hint="eastAsia" w:ascii="宋体" w:hAnsi="宋体" w:eastAsia="宋体"/>
          <w:sz w:val="24"/>
        </w:rPr>
      </w:pPr>
      <w:r>
        <w:rPr>
          <w:rFonts w:hint="eastAsia" w:ascii="宋体" w:hAnsi="宋体" w:eastAsia="宋体"/>
          <w:bCs/>
          <w:sz w:val="24"/>
        </w:rPr>
        <w:t>4.1.5</w:t>
      </w:r>
      <w:r>
        <w:rPr>
          <w:rFonts w:hint="eastAsia" w:ascii="宋体" w:hAnsi="宋体" w:eastAsia="宋体"/>
          <w:sz w:val="24"/>
        </w:rPr>
        <w:t>综合安防系统</w:t>
      </w:r>
      <w:bookmarkEnd w:id="235"/>
    </w:p>
    <w:p w14:paraId="51B9584F">
      <w:pPr>
        <w:pStyle w:val="19"/>
        <w:ind w:firstLine="480"/>
        <w:rPr>
          <w:rFonts w:hint="eastAsia" w:ascii="宋体" w:hAnsi="宋体" w:eastAsia="宋体"/>
          <w:sz w:val="24"/>
        </w:rPr>
      </w:pPr>
      <w:r>
        <w:rPr>
          <w:rFonts w:hint="eastAsia" w:ascii="宋体" w:hAnsi="宋体" w:eastAsia="宋体"/>
          <w:sz w:val="24"/>
        </w:rPr>
        <w:t>综合安防系统包括视频监控系统和门禁系统，均通过综合管理平台进行统一管理，同时要求能与原大楼安防系统互联互通实现统一维护和管理。</w:t>
      </w:r>
    </w:p>
    <w:p w14:paraId="4E7DA9A9">
      <w:pPr>
        <w:pStyle w:val="19"/>
        <w:ind w:firstLine="0" w:firstLineChars="0"/>
        <w:rPr>
          <w:rFonts w:hint="eastAsia" w:ascii="宋体" w:hAnsi="宋体" w:eastAsia="宋体"/>
          <w:sz w:val="24"/>
        </w:rPr>
      </w:pPr>
      <w:r>
        <w:rPr>
          <w:rFonts w:hint="eastAsia" w:ascii="宋体" w:hAnsi="宋体" w:eastAsia="宋体"/>
          <w:sz w:val="24"/>
        </w:rPr>
        <w:t>4.1.6视频监控系统</w:t>
      </w:r>
    </w:p>
    <w:p w14:paraId="45E2A5DD">
      <w:pPr>
        <w:pStyle w:val="19"/>
        <w:ind w:firstLine="0" w:firstLineChars="0"/>
        <w:rPr>
          <w:rFonts w:hint="eastAsia" w:ascii="宋体" w:hAnsi="宋体" w:eastAsia="宋体"/>
          <w:sz w:val="24"/>
        </w:rPr>
      </w:pPr>
      <w:r>
        <w:rPr>
          <w:rFonts w:hint="eastAsia" w:ascii="宋体" w:hAnsi="宋体" w:eastAsia="宋体"/>
          <w:sz w:val="24"/>
        </w:rPr>
        <w:t>4.1.6.1系统概述</w:t>
      </w:r>
    </w:p>
    <w:p w14:paraId="2301F796">
      <w:pPr>
        <w:pStyle w:val="19"/>
        <w:ind w:firstLine="480"/>
        <w:rPr>
          <w:rFonts w:hint="eastAsia" w:ascii="宋体" w:hAnsi="宋体" w:eastAsia="宋体"/>
          <w:sz w:val="24"/>
        </w:rPr>
      </w:pPr>
      <w:r>
        <w:rPr>
          <w:rFonts w:hint="eastAsia" w:ascii="宋体" w:hAnsi="宋体" w:eastAsia="宋体"/>
          <w:sz w:val="24"/>
        </w:rPr>
        <w:t>本项目安防监控系统主要针对法院新建的两栋大楼，包括大楼出入口、大厅、电梯、重要房间等重点区域内的人流、物流情况进行实时监控防范，通过监控图像实时掌握监控区域的现场情况，为工作过程保留着有利的现场依据，如遇突发事件，便于查证。监控系统具备网络传输功能，可随时将视频信号传输到法院专网，能与原大楼安防系统进行联通，实现统一维护和管理。</w:t>
      </w:r>
      <w:bookmarkStart w:id="236" w:name="_Toc409770182"/>
      <w:bookmarkStart w:id="237" w:name="图片查询结果自动播放"/>
    </w:p>
    <w:p w14:paraId="1D840957">
      <w:pPr>
        <w:pStyle w:val="19"/>
        <w:ind w:firstLine="0" w:firstLineChars="0"/>
        <w:rPr>
          <w:rFonts w:hint="eastAsia" w:ascii="宋体" w:hAnsi="宋体" w:eastAsia="宋体"/>
          <w:sz w:val="24"/>
        </w:rPr>
      </w:pPr>
      <w:r>
        <w:rPr>
          <w:rFonts w:hint="eastAsia" w:ascii="宋体" w:hAnsi="宋体" w:eastAsia="宋体"/>
          <w:sz w:val="24"/>
        </w:rPr>
        <w:t>4.1.7视频存储</w:t>
      </w:r>
    </w:p>
    <w:p w14:paraId="6D670BE5">
      <w:pPr>
        <w:pStyle w:val="19"/>
        <w:ind w:firstLine="480"/>
        <w:rPr>
          <w:rFonts w:hint="eastAsia" w:ascii="宋体" w:hAnsi="宋体" w:eastAsia="宋体"/>
          <w:sz w:val="24"/>
        </w:rPr>
      </w:pPr>
      <w:r>
        <w:rPr>
          <w:rFonts w:hint="eastAsia" w:ascii="宋体" w:hAnsi="宋体" w:eastAsia="宋体"/>
          <w:sz w:val="24"/>
        </w:rPr>
        <w:t>根据上表所示，本项目需对涉及的122个各类安防摄像头进行存储，存储时间不少于30天，按照H.265编码格式，每个摄像头按4Mbps码流计算，考虑30%的空间冗余，且在格式化过程中损耗容量约占最终总容量的5%。本项目共需存储容量为：</w:t>
      </w:r>
    </w:p>
    <w:p w14:paraId="2540405C">
      <w:pPr>
        <w:pStyle w:val="19"/>
        <w:ind w:firstLine="480"/>
        <w:rPr>
          <w:rFonts w:hint="eastAsia" w:ascii="宋体" w:hAnsi="宋体" w:eastAsia="宋体"/>
          <w:sz w:val="24"/>
        </w:rPr>
      </w:pPr>
      <w:r>
        <w:rPr>
          <w:rFonts w:hint="eastAsia" w:ascii="宋体" w:hAnsi="宋体" w:eastAsia="宋体"/>
          <w:sz w:val="24"/>
        </w:rPr>
        <w:t>=4*60*60*24*122*30*(1+5%)/0.7/8/1024/1024≈226TB。</w:t>
      </w:r>
    </w:p>
    <w:p w14:paraId="2CF1E01E">
      <w:pPr>
        <w:pStyle w:val="19"/>
        <w:ind w:firstLine="480"/>
        <w:rPr>
          <w:rFonts w:hint="eastAsia" w:ascii="宋体" w:hAnsi="宋体" w:eastAsia="宋体"/>
          <w:sz w:val="24"/>
        </w:rPr>
      </w:pPr>
      <w:r>
        <w:rPr>
          <w:rFonts w:hint="eastAsia" w:ascii="宋体" w:hAnsi="宋体" w:eastAsia="宋体"/>
          <w:sz w:val="24"/>
        </w:rPr>
        <w:t>原有磁盘阵列目前使用率27%，剩余可用空间约为73%*24T*0.7=11TB。</w:t>
      </w:r>
    </w:p>
    <w:p w14:paraId="562F9871">
      <w:pPr>
        <w:pStyle w:val="19"/>
        <w:ind w:firstLine="480"/>
        <w:rPr>
          <w:rFonts w:hint="eastAsia" w:ascii="宋体" w:hAnsi="宋体" w:eastAsia="宋体"/>
          <w:sz w:val="24"/>
        </w:rPr>
      </w:pPr>
      <w:r>
        <w:rPr>
          <w:rFonts w:hint="eastAsia" w:ascii="宋体" w:hAnsi="宋体" w:eastAsia="宋体"/>
          <w:sz w:val="24"/>
        </w:rPr>
        <w:t>本次采用6TB硬盘，则本次需要硬盘数量=（226-11）TB/6TB≈37块。</w:t>
      </w:r>
    </w:p>
    <w:p w14:paraId="7AF81411">
      <w:pPr>
        <w:pStyle w:val="19"/>
        <w:ind w:firstLine="480"/>
        <w:rPr>
          <w:rFonts w:hint="eastAsia" w:ascii="宋体" w:hAnsi="宋体" w:eastAsia="宋体"/>
          <w:sz w:val="24"/>
        </w:rPr>
      </w:pPr>
      <w:r>
        <w:rPr>
          <w:rFonts w:hint="eastAsia" w:ascii="宋体" w:hAnsi="宋体" w:eastAsia="宋体"/>
          <w:sz w:val="24"/>
        </w:rPr>
        <w:t>采用12盘位的硬盘录像机进行存储，则需要4台硬盘录像机。</w:t>
      </w:r>
      <w:bookmarkEnd w:id="236"/>
      <w:bookmarkEnd w:id="237"/>
    </w:p>
    <w:p w14:paraId="1A26DB65">
      <w:pPr>
        <w:pStyle w:val="19"/>
        <w:ind w:firstLine="0" w:firstLineChars="0"/>
        <w:rPr>
          <w:rFonts w:hint="eastAsia" w:ascii="宋体" w:hAnsi="宋体" w:eastAsia="宋体"/>
          <w:sz w:val="24"/>
        </w:rPr>
      </w:pPr>
      <w:r>
        <w:rPr>
          <w:rFonts w:hint="eastAsia" w:ascii="宋体" w:hAnsi="宋体" w:eastAsia="宋体"/>
          <w:sz w:val="24"/>
        </w:rPr>
        <w:t>4.1.8门禁系统</w:t>
      </w:r>
    </w:p>
    <w:p w14:paraId="5FBB780C">
      <w:pPr>
        <w:pStyle w:val="19"/>
        <w:ind w:firstLine="0" w:firstLineChars="0"/>
        <w:rPr>
          <w:rFonts w:hint="eastAsia" w:ascii="宋体" w:hAnsi="宋体" w:eastAsia="宋体"/>
          <w:sz w:val="24"/>
        </w:rPr>
      </w:pPr>
      <w:r>
        <w:rPr>
          <w:rFonts w:hint="eastAsia" w:ascii="宋体" w:hAnsi="宋体" w:eastAsia="宋体"/>
          <w:sz w:val="24"/>
        </w:rPr>
        <w:t>4.1.8.1系统概述</w:t>
      </w:r>
    </w:p>
    <w:p w14:paraId="35F953B4">
      <w:pPr>
        <w:pStyle w:val="19"/>
        <w:ind w:firstLine="480"/>
        <w:rPr>
          <w:rFonts w:hint="eastAsia" w:ascii="宋体" w:hAnsi="宋体" w:eastAsia="宋体"/>
          <w:sz w:val="24"/>
        </w:rPr>
      </w:pPr>
      <w:r>
        <w:rPr>
          <w:rFonts w:hint="eastAsia" w:ascii="宋体" w:hAnsi="宋体" w:eastAsia="宋体"/>
          <w:sz w:val="24"/>
        </w:rPr>
        <w:t>门禁系统通过读卡器或生物识别仪辨识，利用门禁控制器采集的数据实现数字化管理，其目的是有效地控制人员的出入，规范内部人力资源管理，提高重要部位、场所的安全防范能力，并且记录所有出入的详细情况，来实现出入口的方便、安全管理，包含发卡、出入授权、实时监控、出入查询及打印报表等，从而有效地解决传统人工查验证件放行、门锁使用频繁、无法记录信息等不足点。</w:t>
      </w:r>
      <w:bookmarkStart w:id="238" w:name="_Toc8259"/>
    </w:p>
    <w:p w14:paraId="390CF715">
      <w:pPr>
        <w:pStyle w:val="19"/>
        <w:ind w:firstLine="0" w:firstLineChars="0"/>
        <w:rPr>
          <w:rFonts w:hint="eastAsia" w:ascii="宋体" w:hAnsi="宋体" w:eastAsia="宋体"/>
          <w:sz w:val="24"/>
        </w:rPr>
      </w:pPr>
      <w:r>
        <w:rPr>
          <w:rFonts w:hint="eastAsia" w:ascii="宋体" w:hAnsi="宋体" w:eastAsia="宋体"/>
          <w:sz w:val="24"/>
        </w:rPr>
        <w:t>4.1.9司法业务配套系统</w:t>
      </w:r>
      <w:bookmarkEnd w:id="238"/>
    </w:p>
    <w:p w14:paraId="416FC08A">
      <w:pPr>
        <w:pStyle w:val="19"/>
        <w:ind w:firstLine="480"/>
        <w:rPr>
          <w:rFonts w:hint="eastAsia" w:ascii="宋体" w:hAnsi="宋体" w:eastAsia="宋体"/>
          <w:sz w:val="24"/>
        </w:rPr>
      </w:pPr>
      <w:r>
        <w:rPr>
          <w:rFonts w:hint="eastAsia" w:ascii="宋体" w:hAnsi="宋体" w:eastAsia="宋体"/>
          <w:sz w:val="24"/>
        </w:rPr>
        <w:t>司法业务配套系统包括立案大厅、执行大厅、执行指挥中心、智慧法庭等区域的司法业务配套建设。</w:t>
      </w:r>
    </w:p>
    <w:p w14:paraId="773A34CA">
      <w:pPr>
        <w:pStyle w:val="19"/>
        <w:ind w:firstLine="0" w:firstLineChars="0"/>
        <w:rPr>
          <w:rFonts w:hint="eastAsia" w:ascii="宋体" w:hAnsi="宋体" w:eastAsia="宋体"/>
          <w:sz w:val="24"/>
        </w:rPr>
      </w:pPr>
      <w:r>
        <w:rPr>
          <w:rFonts w:hint="eastAsia" w:ascii="宋体" w:hAnsi="宋体" w:eastAsia="宋体"/>
          <w:sz w:val="24"/>
        </w:rPr>
        <w:t>4.1.10立案大厅</w:t>
      </w:r>
    </w:p>
    <w:p w14:paraId="0F080E3D">
      <w:pPr>
        <w:pStyle w:val="19"/>
        <w:ind w:firstLine="480"/>
        <w:rPr>
          <w:rFonts w:hint="eastAsia" w:ascii="宋体" w:hAnsi="宋体" w:eastAsia="宋体"/>
          <w:sz w:val="24"/>
        </w:rPr>
      </w:pPr>
      <w:r>
        <w:rPr>
          <w:rFonts w:hint="eastAsia" w:ascii="宋体" w:hAnsi="宋体" w:eastAsia="宋体"/>
          <w:sz w:val="24"/>
        </w:rPr>
        <w:t>立案大厅位于1号楼一楼，需建设包括立案窗口服务区、文印区、安检通道、室外信息发布、大厅内信息发布等涉及的业务配套设备。</w:t>
      </w:r>
      <w:bookmarkEnd w:id="219"/>
      <w:bookmarkStart w:id="239" w:name="_Toc493750519"/>
      <w:bookmarkEnd w:id="239"/>
      <w:bookmarkStart w:id="240" w:name="_Toc342071298"/>
      <w:bookmarkEnd w:id="240"/>
      <w:bookmarkStart w:id="241" w:name="_Toc342071315"/>
      <w:bookmarkEnd w:id="241"/>
      <w:bookmarkStart w:id="242" w:name="_Toc342071238"/>
      <w:bookmarkEnd w:id="242"/>
      <w:bookmarkStart w:id="243" w:name="_Toc342071306"/>
      <w:bookmarkEnd w:id="243"/>
      <w:bookmarkStart w:id="244" w:name="_Toc493750520"/>
      <w:bookmarkEnd w:id="244"/>
      <w:bookmarkStart w:id="245" w:name="_Toc342071323"/>
      <w:bookmarkEnd w:id="245"/>
      <w:bookmarkStart w:id="246" w:name="_Toc342339329"/>
      <w:bookmarkEnd w:id="246"/>
      <w:bookmarkStart w:id="247" w:name="_Toc493750518"/>
      <w:bookmarkEnd w:id="247"/>
      <w:bookmarkStart w:id="248" w:name="_Toc342071428"/>
      <w:bookmarkEnd w:id="248"/>
      <w:bookmarkStart w:id="249" w:name="_Toc342071385"/>
      <w:bookmarkEnd w:id="249"/>
      <w:bookmarkStart w:id="250" w:name="_Toc342071309"/>
      <w:bookmarkEnd w:id="250"/>
      <w:bookmarkStart w:id="251" w:name="_Toc342071321"/>
      <w:bookmarkEnd w:id="251"/>
      <w:bookmarkStart w:id="252" w:name="_Toc342071239"/>
      <w:bookmarkEnd w:id="252"/>
      <w:bookmarkStart w:id="253" w:name="_Toc342071303"/>
      <w:bookmarkEnd w:id="253"/>
      <w:bookmarkStart w:id="254" w:name="_Toc342071386"/>
      <w:bookmarkEnd w:id="254"/>
      <w:bookmarkStart w:id="255" w:name="_Toc342071272"/>
      <w:bookmarkEnd w:id="255"/>
      <w:bookmarkStart w:id="256" w:name="_Toc342071316"/>
      <w:bookmarkEnd w:id="256"/>
      <w:bookmarkStart w:id="257" w:name="_Toc493750511"/>
      <w:bookmarkEnd w:id="257"/>
      <w:bookmarkStart w:id="258" w:name="_Toc342071299"/>
      <w:bookmarkEnd w:id="258"/>
      <w:bookmarkStart w:id="259" w:name="_Toc342071503"/>
      <w:bookmarkEnd w:id="259"/>
      <w:bookmarkStart w:id="260" w:name="_Toc493750515"/>
      <w:bookmarkEnd w:id="260"/>
      <w:bookmarkStart w:id="261" w:name="_Toc342071326"/>
      <w:bookmarkEnd w:id="261"/>
      <w:bookmarkStart w:id="262" w:name="_Toc342071264"/>
      <w:bookmarkEnd w:id="262"/>
      <w:bookmarkStart w:id="263" w:name="_Toc342071311"/>
      <w:bookmarkEnd w:id="263"/>
      <w:bookmarkStart w:id="264" w:name="_Toc342071313"/>
      <w:bookmarkEnd w:id="264"/>
      <w:bookmarkStart w:id="265" w:name="_Toc493750517"/>
      <w:bookmarkEnd w:id="265"/>
      <w:bookmarkStart w:id="266" w:name="_Toc342071301"/>
      <w:bookmarkEnd w:id="266"/>
      <w:bookmarkStart w:id="267" w:name="_Toc493750509"/>
      <w:bookmarkEnd w:id="267"/>
      <w:bookmarkStart w:id="268" w:name="_Toc493750516"/>
      <w:bookmarkEnd w:id="268"/>
      <w:bookmarkStart w:id="269" w:name="_Toc493750512"/>
      <w:bookmarkEnd w:id="269"/>
      <w:bookmarkStart w:id="270" w:name="_Toc342071412"/>
      <w:bookmarkEnd w:id="270"/>
      <w:bookmarkStart w:id="271" w:name="_Toc342071308"/>
      <w:bookmarkEnd w:id="271"/>
      <w:bookmarkStart w:id="272" w:name="_Toc493750513"/>
      <w:bookmarkEnd w:id="272"/>
      <w:bookmarkStart w:id="273" w:name="_Toc342071288"/>
      <w:bookmarkEnd w:id="273"/>
      <w:bookmarkStart w:id="274" w:name="_Toc342071310"/>
      <w:bookmarkEnd w:id="274"/>
      <w:bookmarkStart w:id="275" w:name="_Toc342339328"/>
      <w:bookmarkEnd w:id="275"/>
      <w:bookmarkStart w:id="276" w:name="_Toc342071396"/>
      <w:bookmarkEnd w:id="276"/>
      <w:bookmarkStart w:id="277" w:name="_Toc342071300"/>
      <w:bookmarkEnd w:id="277"/>
      <w:bookmarkStart w:id="278" w:name="_Toc342071324"/>
      <w:bookmarkEnd w:id="278"/>
      <w:bookmarkStart w:id="279" w:name="_Toc342071387"/>
      <w:bookmarkEnd w:id="279"/>
      <w:bookmarkStart w:id="280" w:name="_Toc342071297"/>
      <w:bookmarkEnd w:id="280"/>
      <w:bookmarkStart w:id="281" w:name="_Toc342071280"/>
      <w:bookmarkEnd w:id="281"/>
      <w:bookmarkStart w:id="282" w:name="_Toc342071304"/>
      <w:bookmarkEnd w:id="282"/>
      <w:bookmarkStart w:id="283" w:name="_Toc342071307"/>
      <w:bookmarkEnd w:id="283"/>
      <w:bookmarkStart w:id="284" w:name="_Toc342071312"/>
      <w:bookmarkEnd w:id="284"/>
      <w:bookmarkStart w:id="285" w:name="_Toc493750514"/>
      <w:bookmarkEnd w:id="285"/>
      <w:bookmarkStart w:id="286" w:name="_Toc342071248"/>
      <w:bookmarkEnd w:id="286"/>
      <w:bookmarkStart w:id="287" w:name="_Toc342071322"/>
      <w:bookmarkEnd w:id="287"/>
      <w:bookmarkStart w:id="288" w:name="_Toc342071256"/>
      <w:bookmarkEnd w:id="288"/>
      <w:bookmarkStart w:id="289" w:name="_Toc342071404"/>
      <w:bookmarkEnd w:id="289"/>
      <w:bookmarkStart w:id="290" w:name="_Toc342071551"/>
      <w:bookmarkEnd w:id="290"/>
      <w:bookmarkStart w:id="291" w:name="_Toc493750510"/>
      <w:bookmarkEnd w:id="291"/>
      <w:bookmarkStart w:id="292" w:name="_Toc342071420"/>
      <w:bookmarkEnd w:id="292"/>
      <w:bookmarkStart w:id="293" w:name="_Toc342071320"/>
      <w:bookmarkEnd w:id="293"/>
      <w:bookmarkStart w:id="294" w:name="_Toc342071296"/>
      <w:bookmarkEnd w:id="294"/>
      <w:bookmarkStart w:id="295" w:name="_Toc342071302"/>
      <w:bookmarkEnd w:id="295"/>
      <w:bookmarkStart w:id="296" w:name="_Toc342071325"/>
      <w:bookmarkEnd w:id="296"/>
      <w:bookmarkStart w:id="297" w:name="_Toc342071305"/>
      <w:bookmarkEnd w:id="297"/>
      <w:bookmarkStart w:id="298" w:name="_Toc85443573"/>
      <w:bookmarkStart w:id="299" w:name="_Toc3991"/>
    </w:p>
    <w:p w14:paraId="43170085">
      <w:pPr>
        <w:pStyle w:val="19"/>
        <w:ind w:firstLine="0" w:firstLineChars="0"/>
        <w:rPr>
          <w:rFonts w:hint="eastAsia" w:ascii="宋体" w:hAnsi="宋体" w:eastAsia="宋体"/>
          <w:sz w:val="24"/>
        </w:rPr>
      </w:pPr>
      <w:r>
        <w:rPr>
          <w:rFonts w:hint="eastAsia" w:ascii="宋体" w:hAnsi="宋体" w:eastAsia="宋体"/>
          <w:sz w:val="24"/>
        </w:rPr>
        <w:t>4.2运行维护方案</w:t>
      </w:r>
      <w:bookmarkEnd w:id="298"/>
      <w:bookmarkEnd w:id="299"/>
      <w:bookmarkStart w:id="300" w:name="_Toc19229"/>
      <w:bookmarkStart w:id="301" w:name="_Toc85443574"/>
    </w:p>
    <w:p w14:paraId="647BB74B">
      <w:pPr>
        <w:pStyle w:val="19"/>
        <w:ind w:firstLine="0" w:firstLineChars="0"/>
        <w:rPr>
          <w:rFonts w:hint="eastAsia" w:ascii="宋体" w:hAnsi="宋体" w:eastAsia="宋体"/>
          <w:sz w:val="24"/>
        </w:rPr>
      </w:pPr>
      <w:r>
        <w:rPr>
          <w:rFonts w:hint="eastAsia" w:ascii="宋体" w:hAnsi="宋体" w:eastAsia="宋体"/>
          <w:sz w:val="24"/>
        </w:rPr>
        <w:t>4.2.1运行管理单位</w:t>
      </w:r>
      <w:bookmarkEnd w:id="300"/>
      <w:bookmarkEnd w:id="301"/>
    </w:p>
    <w:p w14:paraId="7933B54C">
      <w:pPr>
        <w:pStyle w:val="19"/>
        <w:ind w:firstLine="480"/>
        <w:rPr>
          <w:rFonts w:hint="eastAsia" w:ascii="宋体" w:hAnsi="宋体" w:eastAsia="宋体"/>
          <w:sz w:val="24"/>
        </w:rPr>
      </w:pPr>
      <w:r>
        <w:rPr>
          <w:rFonts w:hint="eastAsia" w:ascii="宋体" w:hAnsi="宋体" w:eastAsia="宋体"/>
          <w:sz w:val="24"/>
        </w:rPr>
        <w:t>本项目建成运行后，需要稳定的技术队伍进行日常维护，保障系统的长期正常运行，充分利用现有技术队伍进行本项目建设内容的维护，负责对工作人员的IT技术支持，及时响应工作人员请求，保障每个用户能正常使用网络、终端、业务配套等设备。</w:t>
      </w:r>
    </w:p>
    <w:p w14:paraId="4FBF2AE1">
      <w:pPr>
        <w:pStyle w:val="19"/>
        <w:ind w:firstLine="480"/>
        <w:rPr>
          <w:rFonts w:hint="eastAsia" w:ascii="宋体" w:hAnsi="宋体" w:eastAsia="宋体"/>
          <w:sz w:val="24"/>
        </w:rPr>
      </w:pPr>
      <w:r>
        <w:rPr>
          <w:rFonts w:hint="eastAsia" w:ascii="宋体" w:hAnsi="宋体" w:eastAsia="宋体"/>
          <w:sz w:val="24"/>
        </w:rPr>
        <w:t>另外，需要建立科学、严格的日常管理与维护规章制度，规范运维管理。明确分工，责任到人，将系统日常运行情况与维护人员的岗位考评挂钩，并根据应用部门的反馈考核维护人员。</w:t>
      </w:r>
      <w:bookmarkStart w:id="302" w:name="_Toc85443575"/>
      <w:bookmarkStart w:id="303" w:name="_Toc15109"/>
    </w:p>
    <w:p w14:paraId="73DCE6C2">
      <w:pPr>
        <w:pStyle w:val="19"/>
        <w:ind w:firstLine="0" w:firstLineChars="0"/>
        <w:rPr>
          <w:rFonts w:hint="eastAsia" w:ascii="宋体" w:hAnsi="宋体" w:eastAsia="宋体"/>
          <w:sz w:val="24"/>
        </w:rPr>
      </w:pPr>
      <w:r>
        <w:rPr>
          <w:rFonts w:hint="eastAsia" w:ascii="宋体" w:hAnsi="宋体" w:eastAsia="宋体"/>
          <w:sz w:val="24"/>
        </w:rPr>
        <w:t>4.2.2运维管理规范</w:t>
      </w:r>
      <w:bookmarkEnd w:id="302"/>
      <w:bookmarkEnd w:id="303"/>
    </w:p>
    <w:p w14:paraId="7C8D8554">
      <w:pPr>
        <w:pStyle w:val="19"/>
        <w:ind w:firstLine="0" w:firstLineChars="0"/>
        <w:rPr>
          <w:rFonts w:hint="eastAsia" w:ascii="宋体" w:hAnsi="宋体" w:eastAsia="宋体"/>
          <w:sz w:val="24"/>
        </w:rPr>
      </w:pPr>
      <w:r>
        <w:rPr>
          <w:rFonts w:hint="eastAsia" w:ascii="宋体" w:hAnsi="宋体" w:eastAsia="宋体"/>
          <w:sz w:val="24"/>
        </w:rPr>
        <w:t>4.2.2.1现场运维管理规范</w:t>
      </w:r>
    </w:p>
    <w:p w14:paraId="5C40D43C">
      <w:pPr>
        <w:pStyle w:val="19"/>
        <w:ind w:firstLine="480"/>
        <w:rPr>
          <w:rFonts w:hint="eastAsia" w:ascii="宋体" w:hAnsi="宋体" w:eastAsia="宋体"/>
          <w:sz w:val="24"/>
        </w:rPr>
      </w:pPr>
      <w:r>
        <w:rPr>
          <w:rFonts w:hint="eastAsia" w:ascii="宋体" w:hAnsi="宋体" w:eastAsia="宋体"/>
          <w:sz w:val="24"/>
        </w:rPr>
        <w:t>1.加强现场工作人员的身份管理，参与现场运维的人员必须经过甄选。</w:t>
      </w:r>
    </w:p>
    <w:p w14:paraId="3E1AF137">
      <w:pPr>
        <w:pStyle w:val="19"/>
        <w:ind w:firstLine="480"/>
        <w:rPr>
          <w:rFonts w:hint="eastAsia" w:ascii="宋体" w:hAnsi="宋体" w:eastAsia="宋体"/>
          <w:sz w:val="24"/>
        </w:rPr>
      </w:pPr>
      <w:r>
        <w:rPr>
          <w:rFonts w:hint="eastAsia" w:ascii="宋体" w:hAnsi="宋体" w:eastAsia="宋体"/>
          <w:sz w:val="24"/>
        </w:rPr>
        <w:t>2.现场工作人员上岗前必须经过培训和考核。培训内容分为业务培训、技术培训和安全保密培训，经考核通过后方可上岗。</w:t>
      </w:r>
    </w:p>
    <w:p w14:paraId="2AA4A8A4">
      <w:pPr>
        <w:pStyle w:val="19"/>
        <w:ind w:firstLine="480"/>
        <w:rPr>
          <w:rFonts w:hint="eastAsia" w:ascii="宋体" w:hAnsi="宋体" w:eastAsia="宋体"/>
          <w:sz w:val="24"/>
        </w:rPr>
      </w:pPr>
      <w:r>
        <w:rPr>
          <w:rFonts w:hint="eastAsia" w:ascii="宋体" w:hAnsi="宋体" w:eastAsia="宋体"/>
          <w:sz w:val="24"/>
        </w:rPr>
        <w:t>3.现场工作人员离职应严格遵守人员变更管理流程，非紧急情况下应提前一个月以书面形式提交人员变更申请，经审核同意后办理相关手续。</w:t>
      </w:r>
    </w:p>
    <w:p w14:paraId="09E6775E">
      <w:pPr>
        <w:pStyle w:val="19"/>
        <w:ind w:firstLine="480"/>
        <w:rPr>
          <w:rFonts w:hint="eastAsia" w:ascii="宋体" w:hAnsi="宋体" w:eastAsia="宋体"/>
          <w:sz w:val="24"/>
        </w:rPr>
      </w:pPr>
      <w:r>
        <w:rPr>
          <w:rFonts w:hint="eastAsia" w:ascii="宋体" w:hAnsi="宋体" w:eastAsia="宋体"/>
          <w:sz w:val="24"/>
        </w:rPr>
        <w:t>4.机房由机房主管人员和管理人员专门负责管理。进入机房的人员必须登记而且必须穿戴防尘鞋套。</w:t>
      </w:r>
    </w:p>
    <w:p w14:paraId="697E182E">
      <w:pPr>
        <w:pStyle w:val="19"/>
        <w:ind w:firstLine="480"/>
        <w:rPr>
          <w:rFonts w:hint="eastAsia" w:ascii="宋体" w:hAnsi="宋体" w:eastAsia="宋体"/>
          <w:sz w:val="24"/>
        </w:rPr>
      </w:pPr>
      <w:r>
        <w:rPr>
          <w:rFonts w:hint="eastAsia" w:ascii="宋体" w:hAnsi="宋体" w:eastAsia="宋体"/>
          <w:sz w:val="24"/>
        </w:rPr>
        <w:t>5.未经机房主管人员许可，任何人不得将机房内的设备随意搬动，设备出、入机房必须登记造册。</w:t>
      </w:r>
    </w:p>
    <w:p w14:paraId="25727E0B">
      <w:pPr>
        <w:pStyle w:val="19"/>
        <w:ind w:firstLine="480"/>
        <w:rPr>
          <w:rFonts w:hint="eastAsia" w:ascii="宋体" w:hAnsi="宋体" w:eastAsia="宋体"/>
          <w:sz w:val="24"/>
        </w:rPr>
      </w:pPr>
      <w:r>
        <w:rPr>
          <w:rFonts w:hint="eastAsia" w:ascii="宋体" w:hAnsi="宋体" w:eastAsia="宋体"/>
          <w:sz w:val="24"/>
        </w:rPr>
        <w:t>6.对机房的设备需要进行配置修改的需要经过审批。</w:t>
      </w:r>
    </w:p>
    <w:p w14:paraId="345A43F7">
      <w:pPr>
        <w:pStyle w:val="19"/>
        <w:ind w:firstLine="480"/>
        <w:rPr>
          <w:rFonts w:hint="eastAsia" w:ascii="宋体" w:hAnsi="宋体" w:eastAsia="宋体"/>
          <w:sz w:val="24"/>
        </w:rPr>
      </w:pPr>
      <w:r>
        <w:rPr>
          <w:rFonts w:hint="eastAsia" w:ascii="宋体" w:hAnsi="宋体" w:eastAsia="宋体"/>
          <w:sz w:val="24"/>
        </w:rPr>
        <w:t>7.除机房管理人员，其他人员进入机房须获得相关主管科室的许可，并进行登记后方可进入。</w:t>
      </w:r>
    </w:p>
    <w:p w14:paraId="05EE17A7">
      <w:pPr>
        <w:pStyle w:val="19"/>
        <w:ind w:firstLine="480"/>
        <w:rPr>
          <w:rFonts w:hint="eastAsia" w:ascii="宋体" w:hAnsi="宋体" w:eastAsia="宋体"/>
          <w:sz w:val="24"/>
        </w:rPr>
      </w:pPr>
      <w:r>
        <w:rPr>
          <w:rFonts w:hint="eastAsia" w:ascii="宋体" w:hAnsi="宋体" w:eastAsia="宋体"/>
          <w:sz w:val="24"/>
        </w:rPr>
        <w:t>8.机房运维人员需要每周对机房的设备和应用系统进行日常检查。</w:t>
      </w:r>
    </w:p>
    <w:p w14:paraId="1A0E08A2">
      <w:pPr>
        <w:pStyle w:val="19"/>
        <w:ind w:firstLine="480"/>
        <w:rPr>
          <w:rFonts w:hint="eastAsia" w:ascii="宋体" w:hAnsi="宋体" w:eastAsia="宋体"/>
          <w:sz w:val="24"/>
        </w:rPr>
      </w:pPr>
      <w:r>
        <w:rPr>
          <w:rFonts w:hint="eastAsia" w:ascii="宋体" w:hAnsi="宋体" w:eastAsia="宋体"/>
          <w:sz w:val="24"/>
        </w:rPr>
        <w:t>9.机房钥匙不得转借他人，未经许可不得随意配备。</w:t>
      </w:r>
    </w:p>
    <w:p w14:paraId="276DF3B6">
      <w:pPr>
        <w:pStyle w:val="19"/>
        <w:ind w:firstLine="480"/>
        <w:rPr>
          <w:rFonts w:hint="eastAsia" w:ascii="宋体" w:hAnsi="宋体" w:eastAsia="宋体"/>
          <w:sz w:val="24"/>
        </w:rPr>
      </w:pPr>
      <w:r>
        <w:rPr>
          <w:rFonts w:hint="eastAsia" w:ascii="宋体" w:hAnsi="宋体" w:eastAsia="宋体"/>
          <w:sz w:val="24"/>
        </w:rPr>
        <w:t>10.未经机房主管人员许可，任何人不得随意操作机房中的设备。对不按要求操作和使用而造成设备损坏的，除教育批评外，还应照价赔偿，情节严重的给予行政处分。</w:t>
      </w:r>
    </w:p>
    <w:p w14:paraId="402B642F">
      <w:pPr>
        <w:pStyle w:val="19"/>
        <w:ind w:firstLine="480"/>
        <w:rPr>
          <w:rFonts w:hint="eastAsia" w:ascii="宋体" w:hAnsi="宋体" w:eastAsia="宋体"/>
          <w:sz w:val="24"/>
        </w:rPr>
      </w:pPr>
      <w:r>
        <w:rPr>
          <w:rFonts w:hint="eastAsia" w:ascii="宋体" w:hAnsi="宋体" w:eastAsia="宋体"/>
          <w:sz w:val="24"/>
        </w:rPr>
        <w:t>11.严禁携带易燃、易爆、腐蚀性、强电磁、辐射性、流体物质等对设备正常运行构成威胁的物品进入机房。</w:t>
      </w:r>
    </w:p>
    <w:p w14:paraId="5BAF3B76">
      <w:pPr>
        <w:pStyle w:val="19"/>
        <w:ind w:firstLine="480"/>
        <w:rPr>
          <w:rFonts w:hint="eastAsia" w:ascii="宋体" w:hAnsi="宋体" w:eastAsia="宋体"/>
          <w:sz w:val="24"/>
        </w:rPr>
      </w:pPr>
      <w:r>
        <w:rPr>
          <w:rFonts w:hint="eastAsia" w:ascii="宋体" w:hAnsi="宋体" w:eastAsia="宋体"/>
          <w:sz w:val="24"/>
        </w:rPr>
        <w:t>12.机房主管人员统一管理计算机和相关设备，完整保存计算机和相关设备的驱动程序、保修卡和重要随机文件。</w:t>
      </w:r>
    </w:p>
    <w:p w14:paraId="6C88F648">
      <w:pPr>
        <w:pStyle w:val="19"/>
        <w:ind w:firstLine="480"/>
        <w:rPr>
          <w:rFonts w:hint="eastAsia" w:ascii="宋体" w:hAnsi="宋体" w:eastAsia="宋体"/>
          <w:sz w:val="24"/>
        </w:rPr>
      </w:pPr>
      <w:r>
        <w:rPr>
          <w:rFonts w:hint="eastAsia" w:ascii="宋体" w:hAnsi="宋体" w:eastAsia="宋体"/>
          <w:sz w:val="24"/>
        </w:rPr>
        <w:t>13.建立机房登记制度，对本地网络、设备、应用系统等的运行，建立档案。未发生故障或故障隐患时当班人员不可对中继、光纤、网线和各种设备进行任何调试，对所发生的故障、处理过程和结果等做好详细登记。</w:t>
      </w:r>
    </w:p>
    <w:p w14:paraId="5D5D0EE2">
      <w:pPr>
        <w:pStyle w:val="19"/>
        <w:ind w:firstLine="480"/>
        <w:rPr>
          <w:rFonts w:hint="eastAsia" w:ascii="宋体" w:hAnsi="宋体" w:eastAsia="宋体"/>
          <w:sz w:val="24"/>
        </w:rPr>
      </w:pPr>
      <w:r>
        <w:rPr>
          <w:rFonts w:hint="eastAsia" w:ascii="宋体" w:hAnsi="宋体" w:eastAsia="宋体"/>
          <w:sz w:val="24"/>
        </w:rPr>
        <w:t>14.计算机和其相关设备的报废需经过管理部门或专职人员鉴定，确认不符合使用要求后方可申请报废。</w:t>
      </w:r>
    </w:p>
    <w:p w14:paraId="5610CF23">
      <w:pPr>
        <w:pStyle w:val="19"/>
        <w:ind w:firstLine="480"/>
        <w:rPr>
          <w:rFonts w:hint="eastAsia" w:ascii="宋体" w:hAnsi="宋体" w:eastAsia="宋体"/>
          <w:sz w:val="24"/>
        </w:rPr>
      </w:pPr>
      <w:r>
        <w:rPr>
          <w:rFonts w:hint="eastAsia" w:ascii="宋体" w:hAnsi="宋体" w:eastAsia="宋体"/>
          <w:sz w:val="24"/>
        </w:rPr>
        <w:t>15.机房内保持环境清洁，地面、窗台和窗户无灰尘。并经常为服务器和交换机等设备除尘。保持室内空气干燥流通。</w:t>
      </w:r>
    </w:p>
    <w:p w14:paraId="5DE76627">
      <w:pPr>
        <w:pStyle w:val="19"/>
        <w:ind w:firstLine="480"/>
        <w:rPr>
          <w:rFonts w:hint="eastAsia" w:ascii="宋体" w:hAnsi="宋体" w:eastAsia="宋体"/>
          <w:sz w:val="24"/>
        </w:rPr>
      </w:pPr>
      <w:r>
        <w:rPr>
          <w:rFonts w:hint="eastAsia" w:ascii="宋体" w:hAnsi="宋体" w:eastAsia="宋体"/>
          <w:sz w:val="24"/>
        </w:rPr>
        <w:t>16.外来人员进入机房，需遵守机房管理规定，一律填写《机房出入登记表》，未授权的人员严禁进入机房。</w:t>
      </w:r>
    </w:p>
    <w:p w14:paraId="1146CA5A">
      <w:pPr>
        <w:pStyle w:val="19"/>
        <w:ind w:firstLine="480"/>
        <w:rPr>
          <w:rFonts w:hint="eastAsia" w:ascii="宋体" w:hAnsi="宋体" w:eastAsia="宋体"/>
          <w:sz w:val="24"/>
        </w:rPr>
      </w:pPr>
      <w:r>
        <w:rPr>
          <w:rFonts w:hint="eastAsia" w:ascii="宋体" w:hAnsi="宋体" w:eastAsia="宋体"/>
          <w:sz w:val="24"/>
        </w:rPr>
        <w:t>17.外来人员进入机房后要听从机房工作人员的安排，未经许可严禁操作内网机房设备。</w:t>
      </w:r>
    </w:p>
    <w:p w14:paraId="63CD8C8D">
      <w:pPr>
        <w:pStyle w:val="19"/>
        <w:ind w:firstLine="480"/>
        <w:rPr>
          <w:rFonts w:hint="eastAsia" w:ascii="宋体" w:hAnsi="宋体" w:eastAsia="宋体"/>
          <w:sz w:val="24"/>
        </w:rPr>
      </w:pPr>
      <w:r>
        <w:rPr>
          <w:rFonts w:hint="eastAsia" w:ascii="宋体" w:hAnsi="宋体" w:eastAsia="宋体"/>
          <w:sz w:val="24"/>
        </w:rPr>
        <w:t>18.外来人员得到授权后方可对有关设备进行操作，操作过程应由机房工作人员全程陪同监督，操作后要填写操作记录</w:t>
      </w:r>
    </w:p>
    <w:p w14:paraId="5F95DD5B">
      <w:pPr>
        <w:pStyle w:val="19"/>
        <w:ind w:firstLine="480"/>
        <w:rPr>
          <w:rFonts w:hint="eastAsia" w:ascii="宋体" w:hAnsi="宋体" w:eastAsia="宋体"/>
          <w:sz w:val="24"/>
        </w:rPr>
      </w:pPr>
      <w:r>
        <w:rPr>
          <w:rFonts w:hint="eastAsia" w:ascii="宋体" w:hAnsi="宋体" w:eastAsia="宋体"/>
          <w:sz w:val="24"/>
        </w:rPr>
        <w:t>19.单位人员不得随意进入机房，进入机房参观学习的人员应事先与综合部联系，得到许可后方可进入。</w:t>
      </w:r>
    </w:p>
    <w:p w14:paraId="1359C7A0">
      <w:pPr>
        <w:pStyle w:val="19"/>
        <w:ind w:firstLine="480"/>
        <w:rPr>
          <w:rFonts w:hint="eastAsia" w:ascii="宋体" w:hAnsi="宋体" w:eastAsia="宋体"/>
          <w:sz w:val="24"/>
        </w:rPr>
      </w:pPr>
      <w:r>
        <w:rPr>
          <w:rFonts w:hint="eastAsia" w:ascii="宋体" w:hAnsi="宋体" w:eastAsia="宋体"/>
          <w:sz w:val="24"/>
        </w:rPr>
        <w:t>20.机房内应配置事故照明装置，以备应急使用。</w:t>
      </w:r>
    </w:p>
    <w:p w14:paraId="764BF740">
      <w:pPr>
        <w:pStyle w:val="19"/>
        <w:ind w:firstLine="0" w:firstLineChars="0"/>
        <w:rPr>
          <w:rFonts w:hint="eastAsia" w:ascii="宋体" w:hAnsi="宋体" w:eastAsia="宋体"/>
          <w:sz w:val="24"/>
        </w:rPr>
      </w:pPr>
      <w:r>
        <w:rPr>
          <w:rFonts w:hint="eastAsia" w:ascii="宋体" w:hAnsi="宋体" w:eastAsia="宋体"/>
          <w:sz w:val="24"/>
        </w:rPr>
        <w:t>4.2.2.2运维人员保密制度</w:t>
      </w:r>
    </w:p>
    <w:p w14:paraId="5B593FF2">
      <w:pPr>
        <w:pStyle w:val="19"/>
        <w:ind w:firstLine="480"/>
        <w:rPr>
          <w:rFonts w:hint="eastAsia" w:ascii="宋体" w:hAnsi="宋体" w:eastAsia="宋体"/>
          <w:sz w:val="24"/>
        </w:rPr>
      </w:pPr>
      <w:r>
        <w:rPr>
          <w:rFonts w:hint="eastAsia" w:ascii="宋体" w:hAnsi="宋体" w:eastAsia="宋体"/>
          <w:sz w:val="24"/>
        </w:rPr>
        <w:t>为琼海市人民法院服务的运维人员必须严格遵守法院的相关信息保密规定。</w:t>
      </w:r>
    </w:p>
    <w:p w14:paraId="09F6FDC2">
      <w:pPr>
        <w:pStyle w:val="19"/>
        <w:ind w:firstLine="480"/>
        <w:rPr>
          <w:rFonts w:hint="eastAsia" w:ascii="宋体" w:hAnsi="宋体" w:eastAsia="宋体"/>
          <w:sz w:val="24"/>
        </w:rPr>
      </w:pPr>
      <w:r>
        <w:rPr>
          <w:rFonts w:hint="eastAsia" w:ascii="宋体" w:hAnsi="宋体" w:eastAsia="宋体"/>
          <w:sz w:val="24"/>
        </w:rPr>
        <w:t>1.运维人员未经批准，严禁查看、下载、复制法院局域网网络信息内容。</w:t>
      </w:r>
    </w:p>
    <w:p w14:paraId="6371C2F5">
      <w:pPr>
        <w:pStyle w:val="19"/>
        <w:ind w:firstLine="480"/>
        <w:rPr>
          <w:rFonts w:hint="eastAsia" w:ascii="宋体" w:hAnsi="宋体" w:eastAsia="宋体"/>
          <w:sz w:val="24"/>
        </w:rPr>
      </w:pPr>
      <w:r>
        <w:rPr>
          <w:rFonts w:hint="eastAsia" w:ascii="宋体" w:hAnsi="宋体" w:eastAsia="宋体"/>
          <w:sz w:val="24"/>
        </w:rPr>
        <w:t>2.运维人员未经批准，严禁查看、下载、复制法院办公电脑的信息内容。</w:t>
      </w:r>
    </w:p>
    <w:p w14:paraId="1E5115C9">
      <w:pPr>
        <w:pStyle w:val="19"/>
        <w:ind w:firstLine="480"/>
        <w:rPr>
          <w:rFonts w:hint="eastAsia" w:ascii="宋体" w:hAnsi="宋体" w:eastAsia="宋体"/>
          <w:sz w:val="24"/>
        </w:rPr>
      </w:pPr>
      <w:r>
        <w:rPr>
          <w:rFonts w:hint="eastAsia" w:ascii="宋体" w:hAnsi="宋体" w:eastAsia="宋体"/>
          <w:sz w:val="24"/>
        </w:rPr>
        <w:t>3.运维人员未经允许严禁拍摄法院内部工作人员、庭审现场、文件、办公环境、机房及设备等各种视频或照片。严禁将任何视频或照片发布到微信、微博、邮件、论坛等网络媒体上。</w:t>
      </w:r>
    </w:p>
    <w:p w14:paraId="27BD7F43">
      <w:pPr>
        <w:pStyle w:val="19"/>
        <w:ind w:firstLine="480"/>
        <w:rPr>
          <w:rFonts w:hint="eastAsia" w:ascii="宋体" w:hAnsi="宋体" w:eastAsia="宋体"/>
          <w:sz w:val="24"/>
        </w:rPr>
      </w:pPr>
      <w:r>
        <w:rPr>
          <w:rFonts w:hint="eastAsia" w:ascii="宋体" w:hAnsi="宋体" w:eastAsia="宋体"/>
          <w:sz w:val="24"/>
        </w:rPr>
        <w:t>4.因工作需要配发的法院门禁卡、工作服等只限运维人员使用，严禁外借他人。如有遗失，应第一时间向法院信息化管理人员汇报，降低损失和不良影响。</w:t>
      </w:r>
    </w:p>
    <w:p w14:paraId="2BC7EC82">
      <w:pPr>
        <w:pStyle w:val="19"/>
        <w:ind w:firstLine="480"/>
        <w:rPr>
          <w:rFonts w:hint="eastAsia" w:ascii="宋体" w:hAnsi="宋体" w:eastAsia="宋体"/>
          <w:sz w:val="24"/>
        </w:rPr>
      </w:pPr>
      <w:r>
        <w:rPr>
          <w:rFonts w:hint="eastAsia" w:ascii="宋体" w:hAnsi="宋体" w:eastAsia="宋体"/>
          <w:sz w:val="24"/>
        </w:rPr>
        <w:t>5.运维人员不得将与工作无关的人员带入法院机房与运维场所内。</w:t>
      </w:r>
    </w:p>
    <w:p w14:paraId="2FC8EF6D">
      <w:pPr>
        <w:pStyle w:val="19"/>
        <w:ind w:firstLine="0" w:firstLineChars="0"/>
        <w:rPr>
          <w:rFonts w:hint="eastAsia" w:ascii="宋体" w:hAnsi="宋体" w:eastAsia="宋体"/>
          <w:sz w:val="24"/>
        </w:rPr>
      </w:pPr>
      <w:r>
        <w:rPr>
          <w:rFonts w:hint="eastAsia" w:ascii="宋体" w:hAnsi="宋体" w:eastAsia="宋体"/>
          <w:sz w:val="24"/>
        </w:rPr>
        <w:t>4.2.2.3运维人员管理制度</w:t>
      </w:r>
    </w:p>
    <w:p w14:paraId="4A95E4EA">
      <w:pPr>
        <w:pStyle w:val="19"/>
        <w:ind w:firstLine="480"/>
        <w:rPr>
          <w:rFonts w:hint="eastAsia" w:ascii="宋体" w:hAnsi="宋体" w:eastAsia="宋体"/>
          <w:sz w:val="24"/>
        </w:rPr>
      </w:pPr>
      <w:r>
        <w:rPr>
          <w:rFonts w:hint="eastAsia" w:ascii="宋体" w:hAnsi="宋体" w:eastAsia="宋体"/>
          <w:sz w:val="24"/>
        </w:rPr>
        <w:t>运维人员在法院服务期间要严格遵守法院的各项规章制度。</w:t>
      </w:r>
    </w:p>
    <w:p w14:paraId="737BC750">
      <w:pPr>
        <w:pStyle w:val="19"/>
        <w:ind w:firstLine="480"/>
        <w:rPr>
          <w:rFonts w:hint="eastAsia" w:ascii="宋体" w:hAnsi="宋体" w:eastAsia="宋体"/>
          <w:sz w:val="24"/>
        </w:rPr>
      </w:pPr>
      <w:r>
        <w:rPr>
          <w:rFonts w:hint="eastAsia" w:ascii="宋体" w:hAnsi="宋体" w:eastAsia="宋体"/>
          <w:sz w:val="24"/>
        </w:rPr>
        <w:t>1.严格遵守法院上下班时间，服从法院信息主管科室值班或加班的安排，未经允许不得擅自离岗。</w:t>
      </w:r>
    </w:p>
    <w:p w14:paraId="6E9A2DE3">
      <w:pPr>
        <w:pStyle w:val="19"/>
        <w:ind w:firstLine="480"/>
        <w:rPr>
          <w:rFonts w:hint="eastAsia" w:ascii="宋体" w:hAnsi="宋体" w:eastAsia="宋体"/>
          <w:sz w:val="24"/>
        </w:rPr>
      </w:pPr>
      <w:r>
        <w:rPr>
          <w:rFonts w:hint="eastAsia" w:ascii="宋体" w:hAnsi="宋体" w:eastAsia="宋体"/>
          <w:sz w:val="24"/>
        </w:rPr>
        <w:t>2.请假需要向信息主管科室管理人员和公司售后运维经理请示批准。</w:t>
      </w:r>
    </w:p>
    <w:p w14:paraId="2BDF57F9">
      <w:pPr>
        <w:pStyle w:val="19"/>
        <w:ind w:firstLine="480"/>
        <w:rPr>
          <w:rFonts w:hint="eastAsia" w:ascii="宋体" w:hAnsi="宋体" w:eastAsia="宋体"/>
          <w:sz w:val="24"/>
        </w:rPr>
      </w:pPr>
      <w:r>
        <w:rPr>
          <w:rFonts w:hint="eastAsia" w:ascii="宋体" w:hAnsi="宋体" w:eastAsia="宋体"/>
          <w:sz w:val="24"/>
        </w:rPr>
        <w:t>3.自觉维护办公秩序，禁止在办公时间会客或从事与工作无关的事情。</w:t>
      </w:r>
    </w:p>
    <w:p w14:paraId="323EC4B3">
      <w:pPr>
        <w:pStyle w:val="19"/>
        <w:ind w:firstLine="480"/>
        <w:rPr>
          <w:rFonts w:hint="eastAsia" w:ascii="宋体" w:hAnsi="宋体" w:eastAsia="宋体"/>
          <w:sz w:val="24"/>
        </w:rPr>
      </w:pPr>
      <w:r>
        <w:rPr>
          <w:rFonts w:hint="eastAsia" w:ascii="宋体" w:hAnsi="宋体" w:eastAsia="宋体"/>
          <w:sz w:val="24"/>
        </w:rPr>
        <w:t>4.爱护公共财物，保持机房环境卫生，注意防水、防火。</w:t>
      </w:r>
    </w:p>
    <w:p w14:paraId="2D0CC751">
      <w:pPr>
        <w:pStyle w:val="19"/>
        <w:ind w:firstLine="480"/>
        <w:rPr>
          <w:rFonts w:hint="eastAsia" w:ascii="宋体" w:hAnsi="宋体" w:eastAsia="宋体"/>
          <w:sz w:val="24"/>
        </w:rPr>
      </w:pPr>
      <w:r>
        <w:rPr>
          <w:rFonts w:hint="eastAsia" w:ascii="宋体" w:hAnsi="宋体" w:eastAsia="宋体"/>
          <w:sz w:val="24"/>
        </w:rPr>
        <w:t>5.办公期间统一着装，禁止奇装异服，男士禁止穿短裤、拖鞋等。</w:t>
      </w:r>
    </w:p>
    <w:p w14:paraId="5E47426B">
      <w:pPr>
        <w:pStyle w:val="19"/>
        <w:ind w:firstLine="480"/>
        <w:rPr>
          <w:rFonts w:hint="eastAsia" w:ascii="宋体" w:hAnsi="宋体" w:eastAsia="宋体"/>
          <w:sz w:val="24"/>
        </w:rPr>
      </w:pPr>
      <w:r>
        <w:rPr>
          <w:rFonts w:hint="eastAsia" w:ascii="宋体" w:hAnsi="宋体" w:eastAsia="宋体"/>
          <w:sz w:val="24"/>
        </w:rPr>
        <w:t>6.运维服务要注意与礼貌沟通，认真负责，遇见问题要及时反馈处理。</w:t>
      </w:r>
      <w:bookmarkStart w:id="304" w:name="_Toc85443576"/>
      <w:bookmarkStart w:id="305" w:name="_Toc16911"/>
    </w:p>
    <w:p w14:paraId="6ECBF476">
      <w:pPr>
        <w:pStyle w:val="19"/>
        <w:ind w:firstLine="0" w:firstLineChars="0"/>
        <w:rPr>
          <w:rFonts w:hint="eastAsia" w:ascii="宋体" w:hAnsi="宋体" w:eastAsia="宋体"/>
          <w:sz w:val="24"/>
        </w:rPr>
      </w:pPr>
      <w:r>
        <w:rPr>
          <w:rFonts w:hint="eastAsia" w:ascii="宋体" w:hAnsi="宋体" w:eastAsia="宋体"/>
          <w:sz w:val="24"/>
        </w:rPr>
        <w:t>4.2.3运维服务内容</w:t>
      </w:r>
      <w:bookmarkEnd w:id="304"/>
      <w:bookmarkEnd w:id="305"/>
    </w:p>
    <w:p w14:paraId="216E3ACC">
      <w:pPr>
        <w:pStyle w:val="19"/>
        <w:ind w:firstLine="480"/>
        <w:rPr>
          <w:rFonts w:hint="eastAsia" w:ascii="宋体" w:hAnsi="宋体" w:eastAsia="宋体"/>
          <w:sz w:val="24"/>
        </w:rPr>
      </w:pPr>
      <w:r>
        <w:rPr>
          <w:rFonts w:hint="eastAsia" w:ascii="宋体" w:hAnsi="宋体" w:eastAsia="宋体"/>
          <w:sz w:val="24"/>
        </w:rPr>
        <w:t>项目竣工验收后，按照海南省现行运维标准规范及要求，开展运维服务。</w:t>
      </w:r>
    </w:p>
    <w:p w14:paraId="1CD25531">
      <w:pPr>
        <w:pStyle w:val="19"/>
        <w:ind w:firstLine="480"/>
        <w:rPr>
          <w:rFonts w:hint="eastAsia" w:ascii="宋体" w:hAnsi="宋体" w:eastAsia="宋体"/>
          <w:sz w:val="24"/>
        </w:rPr>
      </w:pPr>
      <w:r>
        <w:rPr>
          <w:rFonts w:hint="eastAsia" w:ascii="宋体" w:hAnsi="宋体" w:eastAsia="宋体"/>
          <w:sz w:val="24"/>
        </w:rPr>
        <w:t>服务具体内容包括日常运行、服务咨询、巡检保养、主动监测、故障修复等。</w:t>
      </w:r>
    </w:p>
    <w:p w14:paraId="4C1AEB4D">
      <w:pPr>
        <w:pStyle w:val="19"/>
        <w:ind w:firstLine="480"/>
        <w:rPr>
          <w:rFonts w:hint="eastAsia" w:ascii="宋体" w:hAnsi="宋体" w:eastAsia="宋体"/>
          <w:sz w:val="24"/>
        </w:rPr>
      </w:pPr>
      <w:r>
        <w:rPr>
          <w:rFonts w:hint="eastAsia" w:ascii="宋体" w:hAnsi="宋体" w:eastAsia="宋体"/>
          <w:sz w:val="24"/>
        </w:rPr>
        <w:t>运维服务目标：保障系统7×24小时运行，保障法院业务正常运行。</w:t>
      </w:r>
    </w:p>
    <w:p w14:paraId="3FC1D325">
      <w:pPr>
        <w:pStyle w:val="19"/>
        <w:ind w:firstLine="0" w:firstLineChars="0"/>
        <w:rPr>
          <w:rFonts w:hint="eastAsia" w:ascii="宋体" w:hAnsi="宋体" w:eastAsia="宋体"/>
          <w:sz w:val="24"/>
        </w:rPr>
      </w:pPr>
      <w:r>
        <w:rPr>
          <w:rFonts w:hint="eastAsia" w:ascii="宋体" w:hAnsi="宋体" w:eastAsia="宋体"/>
          <w:sz w:val="24"/>
        </w:rPr>
        <w:t>4.2.3.1日常运行</w:t>
      </w:r>
    </w:p>
    <w:p w14:paraId="09CE1B0C">
      <w:pPr>
        <w:pStyle w:val="19"/>
        <w:ind w:firstLine="480"/>
        <w:rPr>
          <w:rFonts w:hint="eastAsia" w:ascii="宋体" w:hAnsi="宋体" w:eastAsia="宋体"/>
          <w:sz w:val="24"/>
        </w:rPr>
      </w:pPr>
      <w:r>
        <w:rPr>
          <w:rFonts w:hint="eastAsia" w:ascii="宋体" w:hAnsi="宋体" w:eastAsia="宋体"/>
          <w:sz w:val="24"/>
        </w:rPr>
        <w:t>根据项目特点，进行日常运行的维护。并在5*8小时工作时间内设置由专人值守的热线电话，接听内部的服务请求，并记录服务台事件处理结果。在非工作时间设置有专人7*24小时接听的移动电话热线。</w:t>
      </w:r>
    </w:p>
    <w:p w14:paraId="42F03E5A">
      <w:pPr>
        <w:pStyle w:val="19"/>
        <w:ind w:firstLine="0" w:firstLineChars="0"/>
        <w:rPr>
          <w:rFonts w:hint="eastAsia" w:ascii="宋体" w:hAnsi="宋体" w:eastAsia="宋体"/>
          <w:sz w:val="24"/>
        </w:rPr>
      </w:pPr>
      <w:r>
        <w:rPr>
          <w:rFonts w:hint="eastAsia" w:ascii="宋体" w:hAnsi="宋体" w:eastAsia="宋体"/>
          <w:sz w:val="24"/>
        </w:rPr>
        <w:t>4.2.3.2服务咨询</w:t>
      </w:r>
    </w:p>
    <w:p w14:paraId="1594D5DE">
      <w:pPr>
        <w:pStyle w:val="19"/>
        <w:ind w:firstLine="480"/>
        <w:rPr>
          <w:rFonts w:hint="eastAsia" w:ascii="宋体" w:hAnsi="宋体" w:eastAsia="宋体"/>
          <w:sz w:val="24"/>
        </w:rPr>
      </w:pPr>
      <w:r>
        <w:rPr>
          <w:rFonts w:hint="eastAsia" w:ascii="宋体" w:hAnsi="宋体" w:eastAsia="宋体"/>
          <w:sz w:val="24"/>
        </w:rPr>
        <w:t>提供免费的服务热线电话，接受故障保修、使用帮助要求、业务和技术咨询、服务投诉等。</w:t>
      </w:r>
    </w:p>
    <w:p w14:paraId="09DD70F4">
      <w:pPr>
        <w:pStyle w:val="19"/>
        <w:ind w:firstLine="0" w:firstLineChars="0"/>
        <w:rPr>
          <w:rFonts w:hint="eastAsia" w:ascii="宋体" w:hAnsi="宋体" w:eastAsia="宋体"/>
          <w:sz w:val="24"/>
        </w:rPr>
      </w:pPr>
      <w:r>
        <w:rPr>
          <w:rFonts w:hint="eastAsia" w:ascii="宋体" w:hAnsi="宋体" w:eastAsia="宋体"/>
          <w:sz w:val="24"/>
        </w:rPr>
        <w:t>4.2.3.3巡检保养</w:t>
      </w:r>
    </w:p>
    <w:p w14:paraId="0F43092D">
      <w:pPr>
        <w:pStyle w:val="19"/>
        <w:ind w:firstLine="480"/>
        <w:rPr>
          <w:rFonts w:hint="eastAsia" w:ascii="宋体" w:hAnsi="宋体" w:eastAsia="宋体"/>
          <w:sz w:val="24"/>
        </w:rPr>
      </w:pPr>
      <w:r>
        <w:rPr>
          <w:rFonts w:hint="eastAsia" w:ascii="宋体" w:hAnsi="宋体" w:eastAsia="宋体"/>
          <w:sz w:val="24"/>
        </w:rPr>
        <w:t>1.定期巡检服务</w:t>
      </w:r>
    </w:p>
    <w:p w14:paraId="19C3B03B">
      <w:pPr>
        <w:pStyle w:val="19"/>
        <w:ind w:firstLine="480"/>
        <w:rPr>
          <w:rFonts w:hint="eastAsia" w:ascii="宋体" w:hAnsi="宋体" w:eastAsia="宋体"/>
          <w:sz w:val="24"/>
        </w:rPr>
      </w:pPr>
      <w:r>
        <w:rPr>
          <w:rFonts w:hint="eastAsia" w:ascii="宋体" w:hAnsi="宋体" w:eastAsia="宋体"/>
          <w:sz w:val="24"/>
        </w:rPr>
        <w:t>（1）每季度对工程敷设线路及前端安装点进行巡检，并填写巡检记录表，对可能影响线路及前端的情况要及时协调，防止因线路中断等情况造成网络中断；</w:t>
      </w:r>
    </w:p>
    <w:p w14:paraId="034C99B5">
      <w:pPr>
        <w:pStyle w:val="19"/>
        <w:ind w:firstLine="480"/>
        <w:rPr>
          <w:rFonts w:hint="eastAsia" w:ascii="宋体" w:hAnsi="宋体" w:eastAsia="宋体"/>
          <w:sz w:val="24"/>
        </w:rPr>
      </w:pPr>
      <w:r>
        <w:rPr>
          <w:rFonts w:hint="eastAsia" w:ascii="宋体" w:hAnsi="宋体" w:eastAsia="宋体"/>
          <w:sz w:val="24"/>
        </w:rPr>
        <w:t>（2）每季度对项目范围内的设备箱、设备等进行一次保养性维护，包括设备除尘、排除故障隐患等，并填写设备养护记录表；以确认所有设备工作正常；</w:t>
      </w:r>
    </w:p>
    <w:p w14:paraId="2CB1792A">
      <w:pPr>
        <w:pStyle w:val="19"/>
        <w:ind w:firstLine="480"/>
        <w:rPr>
          <w:rFonts w:hint="eastAsia" w:ascii="宋体" w:hAnsi="宋体" w:eastAsia="宋体"/>
          <w:sz w:val="24"/>
        </w:rPr>
      </w:pPr>
      <w:r>
        <w:rPr>
          <w:rFonts w:hint="eastAsia" w:ascii="宋体" w:hAnsi="宋体" w:eastAsia="宋体"/>
          <w:sz w:val="24"/>
        </w:rPr>
        <w:t>（3）每季度对工程范围内的摄像机除尘清洁一次，并填写记录表。</w:t>
      </w:r>
    </w:p>
    <w:p w14:paraId="2F8213E2">
      <w:pPr>
        <w:pStyle w:val="19"/>
        <w:ind w:firstLine="480"/>
        <w:rPr>
          <w:rFonts w:hint="eastAsia" w:ascii="宋体" w:hAnsi="宋体" w:eastAsia="宋体"/>
          <w:sz w:val="24"/>
        </w:rPr>
      </w:pPr>
      <w:r>
        <w:rPr>
          <w:rFonts w:hint="eastAsia" w:ascii="宋体" w:hAnsi="宋体" w:eastAsia="宋体"/>
          <w:sz w:val="24"/>
        </w:rPr>
        <w:t>2.定期抽检服务</w:t>
      </w:r>
    </w:p>
    <w:p w14:paraId="2C41847E">
      <w:pPr>
        <w:pStyle w:val="19"/>
        <w:ind w:firstLine="480"/>
        <w:rPr>
          <w:rFonts w:hint="eastAsia" w:ascii="宋体" w:hAnsi="宋体" w:eastAsia="宋体"/>
          <w:sz w:val="24"/>
        </w:rPr>
      </w:pPr>
      <w:r>
        <w:rPr>
          <w:rFonts w:hint="eastAsia" w:ascii="宋体" w:hAnsi="宋体" w:eastAsia="宋体"/>
          <w:sz w:val="24"/>
        </w:rPr>
        <w:t>每周进行随机抽查，对设备的运行情况进行检测，并填写记录表。</w:t>
      </w:r>
    </w:p>
    <w:p w14:paraId="6884A2DF">
      <w:pPr>
        <w:pStyle w:val="19"/>
        <w:ind w:firstLine="0" w:firstLineChars="0"/>
        <w:rPr>
          <w:rFonts w:hint="eastAsia" w:ascii="宋体" w:hAnsi="宋体" w:eastAsia="宋体"/>
          <w:sz w:val="24"/>
        </w:rPr>
      </w:pPr>
      <w:r>
        <w:rPr>
          <w:rFonts w:hint="eastAsia" w:ascii="宋体" w:hAnsi="宋体" w:eastAsia="宋体"/>
          <w:sz w:val="24"/>
        </w:rPr>
        <w:t>4.2.3.4主动监测</w:t>
      </w:r>
    </w:p>
    <w:p w14:paraId="436941B1">
      <w:pPr>
        <w:pStyle w:val="19"/>
        <w:ind w:firstLine="480"/>
        <w:rPr>
          <w:rFonts w:hint="eastAsia" w:ascii="宋体" w:hAnsi="宋体" w:eastAsia="宋体"/>
          <w:sz w:val="24"/>
        </w:rPr>
      </w:pPr>
      <w:r>
        <w:rPr>
          <w:rFonts w:hint="eastAsia" w:ascii="宋体" w:hAnsi="宋体" w:eastAsia="宋体"/>
          <w:sz w:val="24"/>
        </w:rPr>
        <w:t>1.设备监控</w:t>
      </w:r>
    </w:p>
    <w:p w14:paraId="380A06BB">
      <w:pPr>
        <w:pStyle w:val="19"/>
        <w:ind w:firstLine="480"/>
        <w:rPr>
          <w:rFonts w:hint="eastAsia" w:ascii="宋体" w:hAnsi="宋体" w:eastAsia="宋体"/>
          <w:sz w:val="24"/>
        </w:rPr>
      </w:pPr>
      <w:r>
        <w:rPr>
          <w:rFonts w:hint="eastAsia" w:ascii="宋体" w:hAnsi="宋体" w:eastAsia="宋体"/>
          <w:sz w:val="24"/>
        </w:rPr>
        <w:t>建立设备管理监控体系，有效地对系统的监控设备运作情况和传输线路的性能、通断情况进行实时监控，及早发现问题，排除故障。</w:t>
      </w:r>
    </w:p>
    <w:p w14:paraId="73B10F32">
      <w:pPr>
        <w:pStyle w:val="19"/>
        <w:ind w:firstLine="480"/>
        <w:rPr>
          <w:rFonts w:hint="eastAsia" w:ascii="宋体" w:hAnsi="宋体" w:eastAsia="宋体"/>
          <w:sz w:val="24"/>
        </w:rPr>
      </w:pPr>
      <w:r>
        <w:rPr>
          <w:rFonts w:hint="eastAsia" w:ascii="宋体" w:hAnsi="宋体" w:eastAsia="宋体"/>
          <w:sz w:val="24"/>
        </w:rPr>
        <w:t>2.图像监控</w:t>
      </w:r>
    </w:p>
    <w:p w14:paraId="6AA0D424">
      <w:pPr>
        <w:pStyle w:val="19"/>
        <w:ind w:firstLine="480"/>
        <w:rPr>
          <w:rFonts w:hint="eastAsia" w:ascii="宋体" w:hAnsi="宋体" w:eastAsia="宋体"/>
          <w:sz w:val="24"/>
        </w:rPr>
      </w:pPr>
      <w:r>
        <w:rPr>
          <w:rFonts w:hint="eastAsia" w:ascii="宋体" w:hAnsi="宋体" w:eastAsia="宋体"/>
          <w:sz w:val="24"/>
        </w:rPr>
        <w:t>对每个监控点的图像显示是否正常进行主动监测，以减少故障时间。</w:t>
      </w:r>
    </w:p>
    <w:p w14:paraId="36F76755">
      <w:pPr>
        <w:pStyle w:val="19"/>
        <w:ind w:firstLine="0" w:firstLineChars="0"/>
        <w:rPr>
          <w:rFonts w:hint="eastAsia" w:ascii="宋体" w:hAnsi="宋体" w:eastAsia="宋体"/>
          <w:sz w:val="24"/>
        </w:rPr>
      </w:pPr>
      <w:r>
        <w:rPr>
          <w:rFonts w:hint="eastAsia" w:ascii="宋体" w:hAnsi="宋体" w:eastAsia="宋体"/>
          <w:sz w:val="24"/>
        </w:rPr>
        <w:t>4.2.3.5故障修复</w:t>
      </w:r>
    </w:p>
    <w:p w14:paraId="4C440431">
      <w:pPr>
        <w:pStyle w:val="19"/>
        <w:ind w:firstLine="480"/>
        <w:rPr>
          <w:rFonts w:hint="eastAsia" w:ascii="宋体" w:hAnsi="宋体" w:eastAsia="宋体"/>
          <w:sz w:val="24"/>
        </w:rPr>
      </w:pPr>
      <w:r>
        <w:rPr>
          <w:rFonts w:hint="eastAsia" w:ascii="宋体" w:hAnsi="宋体" w:eastAsia="宋体"/>
          <w:sz w:val="24"/>
        </w:rPr>
        <w:t>1.紧急抢修</w:t>
      </w:r>
    </w:p>
    <w:p w14:paraId="68619D3F">
      <w:pPr>
        <w:pStyle w:val="19"/>
        <w:ind w:firstLine="480"/>
        <w:rPr>
          <w:rFonts w:hint="eastAsia" w:ascii="宋体" w:hAnsi="宋体" w:eastAsia="宋体"/>
          <w:sz w:val="24"/>
        </w:rPr>
      </w:pPr>
      <w:r>
        <w:rPr>
          <w:rFonts w:hint="eastAsia" w:ascii="宋体" w:hAnsi="宋体" w:eastAsia="宋体"/>
          <w:sz w:val="24"/>
        </w:rPr>
        <w:t>承担合同期内系统、设备发生任何故障的抢修任务。</w:t>
      </w:r>
    </w:p>
    <w:p w14:paraId="03DA64BD">
      <w:pPr>
        <w:pStyle w:val="19"/>
        <w:ind w:firstLine="480"/>
        <w:rPr>
          <w:rFonts w:hint="eastAsia" w:ascii="宋体" w:hAnsi="宋体" w:eastAsia="宋体"/>
          <w:sz w:val="24"/>
        </w:rPr>
      </w:pPr>
      <w:r>
        <w:rPr>
          <w:rFonts w:hint="eastAsia" w:ascii="宋体" w:hAnsi="宋体" w:eastAsia="宋体"/>
          <w:sz w:val="24"/>
        </w:rPr>
        <w:t>2.备用方案</w:t>
      </w:r>
    </w:p>
    <w:p w14:paraId="6C575AE2">
      <w:pPr>
        <w:pStyle w:val="19"/>
        <w:ind w:firstLine="480"/>
        <w:rPr>
          <w:rFonts w:hint="eastAsia" w:ascii="宋体" w:hAnsi="宋体" w:eastAsia="宋体"/>
          <w:sz w:val="24"/>
        </w:rPr>
      </w:pPr>
      <w:r>
        <w:rPr>
          <w:rFonts w:hint="eastAsia" w:ascii="宋体" w:hAnsi="宋体" w:eastAsia="宋体"/>
          <w:sz w:val="24"/>
        </w:rPr>
        <w:t>如特殊原因造成系统、设备无法正常使用，提供备用方案和措施确保系统运行正常。</w:t>
      </w:r>
    </w:p>
    <w:p w14:paraId="6E468117">
      <w:pPr>
        <w:pStyle w:val="19"/>
        <w:ind w:firstLine="480"/>
        <w:rPr>
          <w:rFonts w:hint="eastAsia" w:ascii="宋体" w:hAnsi="宋体" w:eastAsia="宋体"/>
          <w:sz w:val="24"/>
        </w:rPr>
      </w:pPr>
      <w:r>
        <w:rPr>
          <w:rFonts w:hint="eastAsia" w:ascii="宋体" w:hAnsi="宋体" w:eastAsia="宋体"/>
          <w:sz w:val="24"/>
        </w:rPr>
        <w:t>3.易损易耗件</w:t>
      </w:r>
    </w:p>
    <w:p w14:paraId="21D34C43">
      <w:pPr>
        <w:pStyle w:val="19"/>
        <w:ind w:firstLine="480"/>
        <w:rPr>
          <w:rFonts w:hint="eastAsia" w:ascii="宋体" w:hAnsi="宋体" w:eastAsia="宋体"/>
          <w:sz w:val="24"/>
        </w:rPr>
      </w:pPr>
      <w:r>
        <w:rPr>
          <w:rFonts w:hint="eastAsia" w:ascii="宋体" w:hAnsi="宋体" w:eastAsia="宋体"/>
          <w:sz w:val="24"/>
        </w:rPr>
        <w:t>储存足够的备用易损易耗件，保证能满足故障抢修的要求，备品仓库应定期进行检查。</w:t>
      </w:r>
      <w:bookmarkStart w:id="306" w:name="_Toc85443577"/>
      <w:bookmarkStart w:id="307" w:name="_Toc11802"/>
    </w:p>
    <w:p w14:paraId="42217863">
      <w:pPr>
        <w:pStyle w:val="19"/>
        <w:ind w:firstLine="0" w:firstLineChars="0"/>
        <w:rPr>
          <w:rFonts w:hint="eastAsia" w:ascii="宋体" w:hAnsi="宋体" w:eastAsia="宋体"/>
          <w:sz w:val="24"/>
        </w:rPr>
      </w:pPr>
      <w:r>
        <w:rPr>
          <w:rFonts w:hint="eastAsia" w:ascii="宋体" w:hAnsi="宋体" w:eastAsia="宋体"/>
          <w:sz w:val="24"/>
        </w:rPr>
        <w:t>4.2.4运维服务提供方式</w:t>
      </w:r>
      <w:bookmarkEnd w:id="306"/>
      <w:bookmarkEnd w:id="307"/>
    </w:p>
    <w:p w14:paraId="191443D6">
      <w:pPr>
        <w:pStyle w:val="19"/>
        <w:ind w:firstLine="480"/>
        <w:rPr>
          <w:rFonts w:hint="eastAsia" w:ascii="宋体" w:hAnsi="宋体" w:eastAsia="宋体"/>
          <w:sz w:val="24"/>
        </w:rPr>
      </w:pPr>
      <w:r>
        <w:rPr>
          <w:rFonts w:hint="eastAsia" w:ascii="宋体" w:hAnsi="宋体" w:eastAsia="宋体"/>
          <w:sz w:val="24"/>
        </w:rPr>
        <w:t>法院确定具体的系统运维单位，搭建运维管理队伍，并建立运维管理制度和运维管理流程，法院负责对日常运维工作进行管理、监督和绩效考核。运维服务提供方式分为运维单位驻场运维和远程运维两种方式。</w:t>
      </w:r>
    </w:p>
    <w:p w14:paraId="397B225D">
      <w:pPr>
        <w:pStyle w:val="9"/>
        <w:numPr>
          <w:ilvl w:val="2"/>
          <w:numId w:val="0"/>
        </w:numPr>
        <w:tabs>
          <w:tab w:val="left" w:pos="560"/>
        </w:tabs>
        <w:rPr>
          <w:rFonts w:hint="eastAsia" w:ascii="宋体" w:hAnsi="宋体" w:eastAsia="宋体" w:cs="宋体"/>
          <w:sz w:val="24"/>
        </w:rPr>
      </w:pPr>
      <w:bookmarkStart w:id="308" w:name="_Toc2610"/>
      <w:bookmarkStart w:id="309" w:name="_Toc85443579"/>
      <w:bookmarkStart w:id="310" w:name="_Hlk493749579"/>
      <w:r>
        <w:rPr>
          <w:rFonts w:hint="eastAsia" w:ascii="宋体" w:hAnsi="宋体" w:eastAsia="宋体" w:cs="宋体"/>
          <w:sz w:val="24"/>
        </w:rPr>
        <w:t>4.2.5应急措施</w:t>
      </w:r>
      <w:bookmarkEnd w:id="308"/>
      <w:bookmarkEnd w:id="309"/>
    </w:p>
    <w:p w14:paraId="43E21769">
      <w:pPr>
        <w:pStyle w:val="9"/>
        <w:numPr>
          <w:ilvl w:val="2"/>
          <w:numId w:val="0"/>
        </w:numPr>
        <w:tabs>
          <w:tab w:val="left" w:pos="560"/>
        </w:tabs>
        <w:rPr>
          <w:rFonts w:hint="eastAsia" w:ascii="宋体" w:hAnsi="宋体" w:eastAsia="宋体" w:cs="宋体"/>
          <w:sz w:val="24"/>
        </w:rPr>
      </w:pPr>
      <w:r>
        <w:rPr>
          <w:rFonts w:hint="eastAsia" w:ascii="宋体" w:hAnsi="宋体" w:eastAsia="宋体" w:cs="宋体"/>
          <w:sz w:val="24"/>
        </w:rPr>
        <w:t>4.2.5.1工作原则</w:t>
      </w:r>
    </w:p>
    <w:p w14:paraId="53A8F7E0">
      <w:pPr>
        <w:pStyle w:val="19"/>
        <w:numPr>
          <w:ilvl w:val="1"/>
          <w:numId w:val="8"/>
        </w:numPr>
        <w:ind w:firstLine="480"/>
        <w:rPr>
          <w:rFonts w:hint="eastAsia" w:ascii="宋体" w:hAnsi="宋体" w:eastAsia="宋体"/>
          <w:sz w:val="24"/>
        </w:rPr>
      </w:pPr>
      <w:r>
        <w:rPr>
          <w:rFonts w:hint="eastAsia" w:ascii="宋体" w:hAnsi="宋体" w:eastAsia="宋体"/>
          <w:sz w:val="24"/>
        </w:rPr>
        <w:t>统一指挥、有效组织</w:t>
      </w:r>
    </w:p>
    <w:p w14:paraId="143A3953">
      <w:pPr>
        <w:pStyle w:val="19"/>
        <w:ind w:firstLine="480"/>
        <w:rPr>
          <w:rFonts w:hint="eastAsia" w:ascii="宋体" w:hAnsi="宋体" w:eastAsia="宋体"/>
          <w:sz w:val="24"/>
        </w:rPr>
      </w:pPr>
      <w:r>
        <w:rPr>
          <w:rFonts w:hint="eastAsia" w:ascii="宋体" w:hAnsi="宋体" w:eastAsia="宋体"/>
          <w:sz w:val="24"/>
        </w:rPr>
        <w:t>成立应急总负责人，由单位负责人担任；应急指挥小组，由分管负责人，技术骨干等组成；并成立应急工作小组。组织开展事件预防、应急处置、恢复运行、事件通报等各项应急工作。相关部门要主动协调有关各方面，参与实施部门听从指挥、步调一致。</w:t>
      </w:r>
    </w:p>
    <w:p w14:paraId="18B5DCAD">
      <w:pPr>
        <w:pStyle w:val="19"/>
        <w:numPr>
          <w:ilvl w:val="1"/>
          <w:numId w:val="8"/>
        </w:numPr>
        <w:ind w:firstLine="480"/>
        <w:rPr>
          <w:rFonts w:hint="eastAsia" w:ascii="宋体" w:hAnsi="宋体" w:eastAsia="宋体"/>
          <w:sz w:val="24"/>
        </w:rPr>
      </w:pPr>
      <w:r>
        <w:rPr>
          <w:rFonts w:hint="eastAsia" w:ascii="宋体" w:hAnsi="宋体" w:eastAsia="宋体"/>
          <w:sz w:val="24"/>
        </w:rPr>
        <w:t>突出重点，加强演练</w:t>
      </w:r>
    </w:p>
    <w:p w14:paraId="13DFA32E">
      <w:pPr>
        <w:pStyle w:val="19"/>
        <w:ind w:firstLine="480"/>
        <w:rPr>
          <w:rFonts w:hint="eastAsia" w:ascii="宋体" w:hAnsi="宋体" w:eastAsia="宋体"/>
          <w:sz w:val="24"/>
        </w:rPr>
      </w:pPr>
      <w:r>
        <w:rPr>
          <w:rFonts w:hint="eastAsia" w:ascii="宋体" w:hAnsi="宋体" w:eastAsia="宋体"/>
          <w:sz w:val="24"/>
        </w:rPr>
        <w:t>对关键信息系统加大监控和应急处理力度，确保应急信息及时准确传递。每年开展应急演练工作，确保应急措施合理、有效。</w:t>
      </w:r>
    </w:p>
    <w:p w14:paraId="0583D662">
      <w:pPr>
        <w:pStyle w:val="19"/>
        <w:numPr>
          <w:ilvl w:val="1"/>
          <w:numId w:val="8"/>
        </w:numPr>
        <w:ind w:firstLine="480"/>
        <w:rPr>
          <w:rFonts w:hint="eastAsia" w:ascii="宋体" w:hAnsi="宋体" w:eastAsia="宋体"/>
          <w:sz w:val="24"/>
        </w:rPr>
      </w:pPr>
      <w:r>
        <w:rPr>
          <w:rFonts w:hint="eastAsia" w:ascii="宋体" w:hAnsi="宋体" w:eastAsia="宋体"/>
          <w:sz w:val="24"/>
        </w:rPr>
        <w:t>技术支撑，健全机制</w:t>
      </w:r>
    </w:p>
    <w:p w14:paraId="2DC429B2">
      <w:pPr>
        <w:pStyle w:val="19"/>
        <w:ind w:firstLine="480"/>
        <w:rPr>
          <w:rFonts w:hint="eastAsia" w:ascii="宋体" w:hAnsi="宋体" w:eastAsia="宋体"/>
          <w:sz w:val="24"/>
        </w:rPr>
      </w:pPr>
      <w:r>
        <w:rPr>
          <w:rFonts w:hint="eastAsia" w:ascii="宋体" w:hAnsi="宋体" w:eastAsia="宋体"/>
          <w:sz w:val="24"/>
        </w:rPr>
        <w:t>在充分利用现有的信息资源、系统和设备基础上，采用先进适用的预测、预防、预警和应急处置技术，改进和完善应急处理的装备、设施和手段，提高应对信息系统应急事件的技支撑。建立健全应对信息系统应急事件的有效机制。</w:t>
      </w:r>
    </w:p>
    <w:p w14:paraId="59805F10">
      <w:pPr>
        <w:pStyle w:val="19"/>
        <w:ind w:firstLine="0" w:firstLineChars="0"/>
        <w:rPr>
          <w:rFonts w:hint="eastAsia" w:ascii="宋体" w:hAnsi="宋体" w:eastAsia="宋体"/>
          <w:sz w:val="24"/>
        </w:rPr>
      </w:pPr>
      <w:r>
        <w:rPr>
          <w:rFonts w:hint="eastAsia" w:ascii="宋体" w:hAnsi="宋体" w:eastAsia="宋体"/>
          <w:sz w:val="24"/>
        </w:rPr>
        <w:t>4.2.5.2风险评估</w:t>
      </w:r>
    </w:p>
    <w:p w14:paraId="2CCBDB01">
      <w:pPr>
        <w:pStyle w:val="19"/>
        <w:ind w:firstLine="480"/>
        <w:rPr>
          <w:rFonts w:hint="eastAsia" w:ascii="宋体" w:hAnsi="宋体" w:eastAsia="宋体"/>
          <w:sz w:val="24"/>
        </w:rPr>
      </w:pPr>
      <w:r>
        <w:rPr>
          <w:rFonts w:hint="eastAsia" w:ascii="宋体" w:hAnsi="宋体" w:eastAsia="宋体"/>
          <w:sz w:val="24"/>
        </w:rPr>
        <w:t>应急响应小组每年对重要信息系统进行一次风险评估，并根据风险评估结果来制定或更新应急预案。风险评估方法如下：</w:t>
      </w:r>
    </w:p>
    <w:p w14:paraId="239D8850">
      <w:pPr>
        <w:pStyle w:val="19"/>
        <w:numPr>
          <w:ilvl w:val="1"/>
          <w:numId w:val="9"/>
        </w:numPr>
        <w:ind w:firstLine="480"/>
        <w:rPr>
          <w:rFonts w:hint="eastAsia" w:ascii="宋体" w:hAnsi="宋体" w:eastAsia="宋体"/>
          <w:sz w:val="24"/>
        </w:rPr>
      </w:pPr>
      <w:r>
        <w:rPr>
          <w:rFonts w:hint="eastAsia" w:ascii="宋体" w:hAnsi="宋体" w:eastAsia="宋体"/>
          <w:sz w:val="24"/>
        </w:rPr>
        <w:t>系统重要性评估</w:t>
      </w:r>
    </w:p>
    <w:p w14:paraId="6D831B75">
      <w:pPr>
        <w:pStyle w:val="19"/>
        <w:ind w:firstLine="480"/>
        <w:rPr>
          <w:rFonts w:hint="eastAsia" w:ascii="宋体" w:hAnsi="宋体" w:eastAsia="宋体"/>
          <w:sz w:val="24"/>
        </w:rPr>
      </w:pPr>
      <w:r>
        <w:rPr>
          <w:rFonts w:hint="eastAsia" w:ascii="宋体" w:hAnsi="宋体" w:eastAsia="宋体"/>
          <w:sz w:val="24"/>
        </w:rPr>
        <w:t>1级 将造成极严重的或灾难性的损失 赋值 4；</w:t>
      </w:r>
    </w:p>
    <w:p w14:paraId="59C152C2">
      <w:pPr>
        <w:pStyle w:val="19"/>
        <w:ind w:firstLine="480"/>
        <w:rPr>
          <w:rFonts w:hint="eastAsia" w:ascii="宋体" w:hAnsi="宋体" w:eastAsia="宋体"/>
          <w:sz w:val="24"/>
        </w:rPr>
      </w:pPr>
      <w:r>
        <w:rPr>
          <w:rFonts w:hint="eastAsia" w:ascii="宋体" w:hAnsi="宋体" w:eastAsia="宋体"/>
          <w:sz w:val="24"/>
        </w:rPr>
        <w:t>2级 将造成较重要的损失 赋值 3；</w:t>
      </w:r>
    </w:p>
    <w:p w14:paraId="6890D509">
      <w:pPr>
        <w:pStyle w:val="19"/>
        <w:ind w:firstLine="480"/>
        <w:rPr>
          <w:rFonts w:hint="eastAsia" w:ascii="宋体" w:hAnsi="宋体" w:eastAsia="宋体"/>
          <w:sz w:val="24"/>
        </w:rPr>
      </w:pPr>
      <w:r>
        <w:rPr>
          <w:rFonts w:hint="eastAsia" w:ascii="宋体" w:hAnsi="宋体" w:eastAsia="宋体"/>
          <w:sz w:val="24"/>
        </w:rPr>
        <w:t>3级 将造成一定损失 赋值 2；</w:t>
      </w:r>
    </w:p>
    <w:p w14:paraId="17499E14">
      <w:pPr>
        <w:pStyle w:val="19"/>
        <w:ind w:firstLine="480"/>
        <w:rPr>
          <w:rFonts w:hint="eastAsia" w:ascii="宋体" w:hAnsi="宋体" w:eastAsia="宋体"/>
          <w:sz w:val="24"/>
        </w:rPr>
      </w:pPr>
      <w:r>
        <w:rPr>
          <w:rFonts w:hint="eastAsia" w:ascii="宋体" w:hAnsi="宋体" w:eastAsia="宋体"/>
          <w:sz w:val="24"/>
        </w:rPr>
        <w:t>4级 将造成较小损失 赋值 1；</w:t>
      </w:r>
    </w:p>
    <w:p w14:paraId="7E4216A4">
      <w:pPr>
        <w:pStyle w:val="19"/>
        <w:ind w:firstLine="480"/>
        <w:rPr>
          <w:rFonts w:hint="eastAsia" w:ascii="宋体" w:hAnsi="宋体" w:eastAsia="宋体"/>
          <w:sz w:val="24"/>
        </w:rPr>
      </w:pPr>
      <w:r>
        <w:rPr>
          <w:rFonts w:hint="eastAsia" w:ascii="宋体" w:hAnsi="宋体" w:eastAsia="宋体"/>
          <w:sz w:val="24"/>
        </w:rPr>
        <w:t>根据以上描述对信息系统以及相关外部环境进行重要性评估。</w:t>
      </w:r>
    </w:p>
    <w:p w14:paraId="486B8651">
      <w:pPr>
        <w:pStyle w:val="19"/>
        <w:numPr>
          <w:ilvl w:val="1"/>
          <w:numId w:val="9"/>
        </w:numPr>
        <w:ind w:firstLine="480"/>
        <w:rPr>
          <w:rFonts w:hint="eastAsia" w:ascii="宋体" w:hAnsi="宋体" w:eastAsia="宋体"/>
          <w:sz w:val="24"/>
        </w:rPr>
      </w:pPr>
      <w:r>
        <w:rPr>
          <w:rFonts w:hint="eastAsia" w:ascii="宋体" w:hAnsi="宋体" w:eastAsia="宋体"/>
          <w:sz w:val="24"/>
        </w:rPr>
        <w:t>影响度评估</w:t>
      </w:r>
    </w:p>
    <w:p w14:paraId="600CAB43">
      <w:pPr>
        <w:pStyle w:val="19"/>
        <w:ind w:firstLine="480"/>
        <w:rPr>
          <w:rFonts w:hint="eastAsia" w:ascii="宋体" w:hAnsi="宋体" w:eastAsia="宋体"/>
          <w:sz w:val="24"/>
        </w:rPr>
      </w:pPr>
      <w:r>
        <w:rPr>
          <w:rFonts w:hint="eastAsia" w:ascii="宋体" w:hAnsi="宋体" w:eastAsia="宋体"/>
          <w:sz w:val="24"/>
        </w:rPr>
        <w:t>等级 高 赋值 3 核心业务全面中断；影响大面积用户正常使用；</w:t>
      </w:r>
    </w:p>
    <w:p w14:paraId="61132160">
      <w:pPr>
        <w:pStyle w:val="19"/>
        <w:ind w:firstLine="480"/>
        <w:rPr>
          <w:rFonts w:hint="eastAsia" w:ascii="宋体" w:hAnsi="宋体" w:eastAsia="宋体"/>
          <w:sz w:val="24"/>
        </w:rPr>
      </w:pPr>
      <w:r>
        <w:rPr>
          <w:rFonts w:hint="eastAsia" w:ascii="宋体" w:hAnsi="宋体" w:eastAsia="宋体"/>
          <w:sz w:val="24"/>
        </w:rPr>
        <w:t>等级 中 赋值 2 部分核心业务中断；影响范围内部分用户的正常使用；</w:t>
      </w:r>
    </w:p>
    <w:p w14:paraId="35F43944">
      <w:pPr>
        <w:pStyle w:val="19"/>
        <w:ind w:firstLine="480"/>
        <w:rPr>
          <w:rFonts w:hint="eastAsia" w:ascii="宋体" w:hAnsi="宋体" w:eastAsia="宋体"/>
          <w:sz w:val="24"/>
        </w:rPr>
      </w:pPr>
      <w:r>
        <w:rPr>
          <w:rFonts w:hint="eastAsia" w:ascii="宋体" w:hAnsi="宋体" w:eastAsia="宋体"/>
          <w:sz w:val="24"/>
        </w:rPr>
        <w:t>等级 低 赋值 1 单一业务中断；影响个别用户正常使用；</w:t>
      </w:r>
    </w:p>
    <w:p w14:paraId="7545B3ED">
      <w:pPr>
        <w:pStyle w:val="19"/>
        <w:ind w:firstLine="480"/>
        <w:rPr>
          <w:rFonts w:hint="eastAsia" w:ascii="宋体" w:hAnsi="宋体" w:eastAsia="宋体"/>
          <w:sz w:val="24"/>
        </w:rPr>
      </w:pPr>
      <w:r>
        <w:rPr>
          <w:rFonts w:hint="eastAsia" w:ascii="宋体" w:hAnsi="宋体" w:eastAsia="宋体"/>
          <w:sz w:val="24"/>
        </w:rPr>
        <w:t>根据以上描述对信息系统以及相关外部环境进行影响度评估。</w:t>
      </w:r>
    </w:p>
    <w:p w14:paraId="0E147D38">
      <w:pPr>
        <w:pStyle w:val="19"/>
        <w:numPr>
          <w:ilvl w:val="1"/>
          <w:numId w:val="9"/>
        </w:numPr>
        <w:ind w:firstLine="480"/>
        <w:rPr>
          <w:rFonts w:hint="eastAsia" w:ascii="宋体" w:hAnsi="宋体" w:eastAsia="宋体"/>
          <w:sz w:val="24"/>
        </w:rPr>
      </w:pPr>
      <w:r>
        <w:rPr>
          <w:rFonts w:hint="eastAsia" w:ascii="宋体" w:hAnsi="宋体" w:eastAsia="宋体"/>
          <w:sz w:val="24"/>
        </w:rPr>
        <w:t>发生几率评估</w:t>
      </w:r>
    </w:p>
    <w:p w14:paraId="43147308">
      <w:pPr>
        <w:pStyle w:val="19"/>
        <w:ind w:firstLine="480"/>
        <w:rPr>
          <w:rFonts w:hint="eastAsia" w:ascii="宋体" w:hAnsi="宋体" w:eastAsia="宋体"/>
          <w:sz w:val="24"/>
        </w:rPr>
      </w:pPr>
      <w:r>
        <w:rPr>
          <w:rFonts w:hint="eastAsia" w:ascii="宋体" w:hAnsi="宋体" w:eastAsia="宋体"/>
          <w:sz w:val="24"/>
        </w:rPr>
        <w:t>等级 经常 取值 3 可能每个季度发生一次或者以上；</w:t>
      </w:r>
    </w:p>
    <w:p w14:paraId="028DE1C3">
      <w:pPr>
        <w:pStyle w:val="19"/>
        <w:ind w:firstLine="480"/>
        <w:rPr>
          <w:rFonts w:hint="eastAsia" w:ascii="宋体" w:hAnsi="宋体" w:eastAsia="宋体"/>
          <w:sz w:val="24"/>
        </w:rPr>
      </w:pPr>
      <w:r>
        <w:rPr>
          <w:rFonts w:hint="eastAsia" w:ascii="宋体" w:hAnsi="宋体" w:eastAsia="宋体"/>
          <w:sz w:val="24"/>
        </w:rPr>
        <w:t>等级 偶尔 取值 2 可能每半年会发生一次；</w:t>
      </w:r>
    </w:p>
    <w:p w14:paraId="181A9FE1">
      <w:pPr>
        <w:pStyle w:val="19"/>
        <w:ind w:firstLine="480"/>
        <w:rPr>
          <w:rFonts w:hint="eastAsia" w:ascii="宋体" w:hAnsi="宋体" w:eastAsia="宋体"/>
          <w:sz w:val="24"/>
        </w:rPr>
      </w:pPr>
      <w:r>
        <w:rPr>
          <w:rFonts w:hint="eastAsia" w:ascii="宋体" w:hAnsi="宋体" w:eastAsia="宋体"/>
          <w:sz w:val="24"/>
        </w:rPr>
        <w:t>等级 极少 取值 1 可能每年发生一次或更少；</w:t>
      </w:r>
    </w:p>
    <w:p w14:paraId="50742A65">
      <w:pPr>
        <w:pStyle w:val="19"/>
        <w:ind w:firstLine="480"/>
        <w:rPr>
          <w:rFonts w:hint="eastAsia" w:ascii="宋体" w:hAnsi="宋体" w:eastAsia="宋体"/>
          <w:sz w:val="24"/>
        </w:rPr>
      </w:pPr>
      <w:r>
        <w:rPr>
          <w:rFonts w:hint="eastAsia" w:ascii="宋体" w:hAnsi="宋体" w:eastAsia="宋体"/>
          <w:sz w:val="24"/>
        </w:rPr>
        <w:t>根据以上描述对风险发生几率进行评估。</w:t>
      </w:r>
    </w:p>
    <w:p w14:paraId="138B4341">
      <w:pPr>
        <w:pStyle w:val="19"/>
        <w:numPr>
          <w:ilvl w:val="1"/>
          <w:numId w:val="9"/>
        </w:numPr>
        <w:ind w:firstLine="480"/>
        <w:rPr>
          <w:rFonts w:hint="eastAsia" w:ascii="宋体" w:hAnsi="宋体" w:eastAsia="宋体"/>
          <w:sz w:val="24"/>
        </w:rPr>
      </w:pPr>
      <w:r>
        <w:rPr>
          <w:rFonts w:hint="eastAsia" w:ascii="宋体" w:hAnsi="宋体" w:eastAsia="宋体"/>
          <w:sz w:val="24"/>
        </w:rPr>
        <w:t>发生时段评估</w:t>
      </w:r>
    </w:p>
    <w:p w14:paraId="609FD0EE">
      <w:pPr>
        <w:pStyle w:val="19"/>
        <w:ind w:firstLine="480"/>
        <w:rPr>
          <w:rFonts w:hint="eastAsia" w:ascii="宋体" w:hAnsi="宋体" w:eastAsia="宋体"/>
          <w:sz w:val="24"/>
        </w:rPr>
      </w:pPr>
      <w:r>
        <w:rPr>
          <w:rFonts w:hint="eastAsia" w:ascii="宋体" w:hAnsi="宋体" w:eastAsia="宋体"/>
          <w:sz w:val="24"/>
        </w:rPr>
        <w:t>等级 高 赋值 3 核心业务并发高峰期；核心业务关键程序执行期；</w:t>
      </w:r>
    </w:p>
    <w:p w14:paraId="6E1F1CC4">
      <w:pPr>
        <w:pStyle w:val="19"/>
        <w:ind w:firstLine="480"/>
        <w:rPr>
          <w:rFonts w:hint="eastAsia" w:ascii="宋体" w:hAnsi="宋体" w:eastAsia="宋体"/>
          <w:sz w:val="24"/>
        </w:rPr>
      </w:pPr>
      <w:r>
        <w:rPr>
          <w:rFonts w:hint="eastAsia" w:ascii="宋体" w:hAnsi="宋体" w:eastAsia="宋体"/>
          <w:sz w:val="24"/>
        </w:rPr>
        <w:t>等级 中 赋值 2 部分核心业务并发高峰期；部分核心程序执行期；</w:t>
      </w:r>
    </w:p>
    <w:p w14:paraId="3A9F7108">
      <w:pPr>
        <w:pStyle w:val="19"/>
        <w:ind w:firstLine="480"/>
        <w:rPr>
          <w:rFonts w:hint="eastAsia" w:ascii="宋体" w:hAnsi="宋体" w:eastAsia="宋体"/>
          <w:sz w:val="24"/>
        </w:rPr>
      </w:pPr>
      <w:r>
        <w:rPr>
          <w:rFonts w:hint="eastAsia" w:ascii="宋体" w:hAnsi="宋体" w:eastAsia="宋体"/>
          <w:sz w:val="24"/>
        </w:rPr>
        <w:t>等级 低 赋值 1 非核心业务并发期；非核心程序执行期。</w:t>
      </w:r>
    </w:p>
    <w:p w14:paraId="11C0140E">
      <w:pPr>
        <w:pStyle w:val="19"/>
        <w:numPr>
          <w:ilvl w:val="1"/>
          <w:numId w:val="9"/>
        </w:numPr>
        <w:ind w:firstLine="480"/>
        <w:rPr>
          <w:rFonts w:hint="eastAsia" w:ascii="宋体" w:hAnsi="宋体" w:eastAsia="宋体"/>
          <w:sz w:val="24"/>
        </w:rPr>
      </w:pPr>
      <w:r>
        <w:rPr>
          <w:rFonts w:hint="eastAsia" w:ascii="宋体" w:hAnsi="宋体" w:eastAsia="宋体"/>
          <w:sz w:val="24"/>
        </w:rPr>
        <w:t>风险等级评估</w:t>
      </w:r>
    </w:p>
    <w:p w14:paraId="10CE0FE4">
      <w:pPr>
        <w:pStyle w:val="19"/>
        <w:ind w:firstLine="480"/>
        <w:rPr>
          <w:rFonts w:hint="eastAsia" w:ascii="宋体" w:hAnsi="宋体" w:eastAsia="宋体"/>
          <w:sz w:val="24"/>
        </w:rPr>
      </w:pPr>
      <w:r>
        <w:rPr>
          <w:rFonts w:hint="eastAsia" w:ascii="宋体" w:hAnsi="宋体" w:eastAsia="宋体"/>
          <w:sz w:val="24"/>
        </w:rPr>
        <w:t>按照重要性、影响度、发生几率赋值相乘，得出信息系统以及相关环境的风险等级。等级描述如下：</w:t>
      </w:r>
    </w:p>
    <w:tbl>
      <w:tblPr>
        <w:tblStyle w:val="17"/>
        <w:tblW w:w="4998" w:type="pct"/>
        <w:tblInd w:w="0" w:type="dxa"/>
        <w:tblLayout w:type="autofit"/>
        <w:tblCellMar>
          <w:top w:w="0" w:type="dxa"/>
          <w:left w:w="108" w:type="dxa"/>
          <w:bottom w:w="0" w:type="dxa"/>
          <w:right w:w="108" w:type="dxa"/>
        </w:tblCellMar>
      </w:tblPr>
      <w:tblGrid>
        <w:gridCol w:w="1138"/>
        <w:gridCol w:w="411"/>
        <w:gridCol w:w="690"/>
        <w:gridCol w:w="690"/>
        <w:gridCol w:w="942"/>
        <w:gridCol w:w="625"/>
        <w:gridCol w:w="848"/>
        <w:gridCol w:w="848"/>
        <w:gridCol w:w="774"/>
        <w:gridCol w:w="774"/>
        <w:gridCol w:w="779"/>
      </w:tblGrid>
      <w:tr w14:paraId="0695901C">
        <w:tblPrEx>
          <w:tblCellMar>
            <w:top w:w="0" w:type="dxa"/>
            <w:left w:w="108" w:type="dxa"/>
            <w:bottom w:w="0" w:type="dxa"/>
            <w:right w:w="108" w:type="dxa"/>
          </w:tblCellMar>
        </w:tblPrEx>
        <w:trPr>
          <w:trHeight w:val="454" w:hRule="atLeast"/>
        </w:trPr>
        <w:tc>
          <w:tcPr>
            <w:tcW w:w="90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572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可能性</w:t>
            </w:r>
          </w:p>
        </w:tc>
        <w:tc>
          <w:tcPr>
            <w:tcW w:w="136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024E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w:t>
            </w:r>
          </w:p>
        </w:tc>
        <w:tc>
          <w:tcPr>
            <w:tcW w:w="136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3C9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2</w:t>
            </w:r>
          </w:p>
        </w:tc>
        <w:tc>
          <w:tcPr>
            <w:tcW w:w="136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23203">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3</w:t>
            </w:r>
          </w:p>
        </w:tc>
      </w:tr>
      <w:tr w14:paraId="21153C6A">
        <w:tblPrEx>
          <w:tblCellMar>
            <w:top w:w="0" w:type="dxa"/>
            <w:left w:w="108" w:type="dxa"/>
            <w:bottom w:w="0" w:type="dxa"/>
            <w:right w:w="108" w:type="dxa"/>
          </w:tblCellMar>
        </w:tblPrEx>
        <w:trPr>
          <w:trHeight w:val="454" w:hRule="atLeast"/>
        </w:trPr>
        <w:tc>
          <w:tcPr>
            <w:tcW w:w="90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62EA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影响度</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99F0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5C26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2</w:t>
            </w: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ED4F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3</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DA7E9">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3989">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F16D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E6F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2F55">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79B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3</w:t>
            </w:r>
          </w:p>
        </w:tc>
      </w:tr>
      <w:tr w14:paraId="638E4C77">
        <w:tblPrEx>
          <w:tblCellMar>
            <w:top w:w="0" w:type="dxa"/>
            <w:left w:w="108" w:type="dxa"/>
            <w:bottom w:w="0" w:type="dxa"/>
            <w:right w:w="108" w:type="dxa"/>
          </w:tblCellMar>
        </w:tblPrEx>
        <w:trPr>
          <w:trHeight w:val="454" w:hRule="atLeast"/>
        </w:trPr>
        <w:tc>
          <w:tcPr>
            <w:tcW w:w="66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B828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重要性</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A5A1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F0C4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FD8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8CF9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28B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1C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F23B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9982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F730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D93D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r>
      <w:tr w14:paraId="51F4CE49">
        <w:tblPrEx>
          <w:tblCellMar>
            <w:top w:w="0" w:type="dxa"/>
            <w:left w:w="108" w:type="dxa"/>
            <w:bottom w:w="0" w:type="dxa"/>
            <w:right w:w="108" w:type="dxa"/>
          </w:tblCellMar>
        </w:tblPrEx>
        <w:trPr>
          <w:trHeight w:val="454" w:hRule="atLeast"/>
        </w:trPr>
        <w:tc>
          <w:tcPr>
            <w:tcW w:w="6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607F">
            <w:pPr>
              <w:widowControl/>
              <w:jc w:val="center"/>
              <w:rPr>
                <w:rFonts w:hint="eastAsia" w:ascii="宋体" w:hAnsi="宋体" w:eastAsia="宋体" w:cs="宋体"/>
                <w:color w:val="000000"/>
                <w:sz w:val="24"/>
              </w:rPr>
            </w:pP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ADE3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C14B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45D0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151C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D5C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F97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CB2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91B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32CD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CFF2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w:t>
            </w:r>
          </w:p>
        </w:tc>
      </w:tr>
      <w:tr w14:paraId="6F3E44C5">
        <w:tblPrEx>
          <w:tblCellMar>
            <w:top w:w="0" w:type="dxa"/>
            <w:left w:w="108" w:type="dxa"/>
            <w:bottom w:w="0" w:type="dxa"/>
            <w:right w:w="108" w:type="dxa"/>
          </w:tblCellMar>
        </w:tblPrEx>
        <w:trPr>
          <w:trHeight w:val="454" w:hRule="atLeast"/>
        </w:trPr>
        <w:tc>
          <w:tcPr>
            <w:tcW w:w="6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A801">
            <w:pPr>
              <w:widowControl/>
              <w:jc w:val="center"/>
              <w:rPr>
                <w:rFonts w:hint="eastAsia" w:ascii="宋体" w:hAnsi="宋体" w:eastAsia="宋体" w:cs="宋体"/>
                <w:color w:val="000000"/>
                <w:sz w:val="24"/>
              </w:rPr>
            </w:pP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BEDE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291F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321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C0D7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A2A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800F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A9F1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CDA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BA2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EBB2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27</w:t>
            </w:r>
          </w:p>
        </w:tc>
      </w:tr>
      <w:tr w14:paraId="3923010D">
        <w:tblPrEx>
          <w:tblCellMar>
            <w:top w:w="0" w:type="dxa"/>
            <w:left w:w="108" w:type="dxa"/>
            <w:bottom w:w="0" w:type="dxa"/>
            <w:right w:w="108" w:type="dxa"/>
          </w:tblCellMar>
        </w:tblPrEx>
        <w:trPr>
          <w:trHeight w:val="454" w:hRule="atLeast"/>
        </w:trPr>
        <w:tc>
          <w:tcPr>
            <w:tcW w:w="6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11A99">
            <w:pPr>
              <w:widowControl/>
              <w:jc w:val="center"/>
              <w:rPr>
                <w:rFonts w:hint="eastAsia" w:ascii="宋体" w:hAnsi="宋体" w:eastAsia="宋体" w:cs="宋体"/>
                <w:color w:val="000000"/>
                <w:sz w:val="24"/>
              </w:rPr>
            </w:pP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6421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26E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859F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1123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53AA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8BF2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16</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75B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24</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5926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F01C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24</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38F7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48</w:t>
            </w:r>
          </w:p>
        </w:tc>
      </w:tr>
      <w:tr w14:paraId="11CD2FFA">
        <w:tblPrEx>
          <w:tblCellMar>
            <w:top w:w="0" w:type="dxa"/>
            <w:left w:w="108" w:type="dxa"/>
            <w:bottom w:w="0" w:type="dxa"/>
            <w:right w:w="108" w:type="dxa"/>
          </w:tblCellMar>
        </w:tblPrEx>
        <w:trPr>
          <w:trHeight w:val="454"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C142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风险值=重要性*风险发生可能性*风险发生的严重性</w:t>
            </w:r>
          </w:p>
        </w:tc>
      </w:tr>
    </w:tbl>
    <w:p w14:paraId="07B63236">
      <w:pPr>
        <w:pStyle w:val="19"/>
        <w:ind w:firstLine="480"/>
        <w:rPr>
          <w:rFonts w:hint="eastAsia" w:ascii="宋体" w:hAnsi="宋体" w:eastAsia="宋体"/>
          <w:sz w:val="24"/>
        </w:rPr>
      </w:pPr>
      <w:r>
        <w:rPr>
          <w:rFonts w:hint="eastAsia" w:ascii="宋体" w:hAnsi="宋体" w:eastAsia="宋体"/>
          <w:sz w:val="24"/>
        </w:rPr>
        <w:t>对应的风险等级如下：</w:t>
      </w:r>
    </w:p>
    <w:tbl>
      <w:tblPr>
        <w:tblStyle w:val="17"/>
        <w:tblW w:w="4999" w:type="pct"/>
        <w:tblInd w:w="0" w:type="dxa"/>
        <w:tblLayout w:type="autofit"/>
        <w:tblCellMar>
          <w:top w:w="0" w:type="dxa"/>
          <w:left w:w="108" w:type="dxa"/>
          <w:bottom w:w="0" w:type="dxa"/>
          <w:right w:w="108" w:type="dxa"/>
        </w:tblCellMar>
      </w:tblPr>
      <w:tblGrid>
        <w:gridCol w:w="4102"/>
        <w:gridCol w:w="4418"/>
      </w:tblGrid>
      <w:tr w14:paraId="0A257027">
        <w:tblPrEx>
          <w:tblCellMar>
            <w:top w:w="0" w:type="dxa"/>
            <w:left w:w="108" w:type="dxa"/>
            <w:bottom w:w="0" w:type="dxa"/>
            <w:right w:w="108" w:type="dxa"/>
          </w:tblCellMar>
        </w:tblPrEx>
        <w:trPr>
          <w:trHeight w:val="624" w:hRule="atLeast"/>
        </w:trPr>
        <w:tc>
          <w:tcPr>
            <w:tcW w:w="2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0F16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风险等级</w:t>
            </w:r>
          </w:p>
        </w:tc>
        <w:tc>
          <w:tcPr>
            <w:tcW w:w="2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A91BA">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风险值n</w:t>
            </w:r>
          </w:p>
        </w:tc>
      </w:tr>
      <w:tr w14:paraId="4235FE03">
        <w:tblPrEx>
          <w:tblCellMar>
            <w:top w:w="0" w:type="dxa"/>
            <w:left w:w="108" w:type="dxa"/>
            <w:bottom w:w="0" w:type="dxa"/>
            <w:right w:w="108" w:type="dxa"/>
          </w:tblCellMar>
        </w:tblPrEx>
        <w:trPr>
          <w:trHeight w:val="454" w:hRule="atLeast"/>
        </w:trPr>
        <w:tc>
          <w:tcPr>
            <w:tcW w:w="2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C4B0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w:t>
            </w:r>
          </w:p>
        </w:tc>
        <w:tc>
          <w:tcPr>
            <w:tcW w:w="2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40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n≥12</w:t>
            </w:r>
          </w:p>
        </w:tc>
      </w:tr>
      <w:tr w14:paraId="6DC5EC94">
        <w:tblPrEx>
          <w:tblCellMar>
            <w:top w:w="0" w:type="dxa"/>
            <w:left w:w="108" w:type="dxa"/>
            <w:bottom w:w="0" w:type="dxa"/>
            <w:right w:w="108" w:type="dxa"/>
          </w:tblCellMar>
        </w:tblPrEx>
        <w:trPr>
          <w:trHeight w:val="454" w:hRule="atLeast"/>
        </w:trPr>
        <w:tc>
          <w:tcPr>
            <w:tcW w:w="2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876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中</w:t>
            </w:r>
          </w:p>
        </w:tc>
        <w:tc>
          <w:tcPr>
            <w:tcW w:w="2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DA0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12＞n≥4</w:t>
            </w:r>
          </w:p>
        </w:tc>
      </w:tr>
      <w:tr w14:paraId="2316437E">
        <w:tblPrEx>
          <w:tblCellMar>
            <w:top w:w="0" w:type="dxa"/>
            <w:left w:w="108" w:type="dxa"/>
            <w:bottom w:w="0" w:type="dxa"/>
            <w:right w:w="108" w:type="dxa"/>
          </w:tblCellMar>
        </w:tblPrEx>
        <w:trPr>
          <w:trHeight w:val="454" w:hRule="atLeast"/>
        </w:trPr>
        <w:tc>
          <w:tcPr>
            <w:tcW w:w="2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1CB0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低</w:t>
            </w:r>
          </w:p>
        </w:tc>
        <w:tc>
          <w:tcPr>
            <w:tcW w:w="2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6765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4＞n</w:t>
            </w:r>
          </w:p>
        </w:tc>
      </w:tr>
    </w:tbl>
    <w:p w14:paraId="2827FD7C">
      <w:pPr>
        <w:pStyle w:val="19"/>
        <w:numPr>
          <w:ilvl w:val="1"/>
          <w:numId w:val="9"/>
        </w:numPr>
        <w:ind w:firstLine="480"/>
        <w:rPr>
          <w:rFonts w:hint="eastAsia" w:ascii="宋体" w:hAnsi="宋体" w:eastAsia="宋体"/>
          <w:sz w:val="24"/>
        </w:rPr>
      </w:pPr>
      <w:r>
        <w:rPr>
          <w:rFonts w:hint="eastAsia" w:ascii="宋体" w:hAnsi="宋体" w:eastAsia="宋体"/>
          <w:sz w:val="24"/>
        </w:rPr>
        <w:t>进行风险评估</w:t>
      </w:r>
    </w:p>
    <w:p w14:paraId="2134472E">
      <w:pPr>
        <w:pStyle w:val="19"/>
        <w:ind w:firstLine="480"/>
        <w:rPr>
          <w:rFonts w:hint="eastAsia" w:ascii="宋体" w:hAnsi="宋体" w:eastAsia="宋体"/>
          <w:sz w:val="24"/>
        </w:rPr>
      </w:pPr>
      <w:r>
        <w:rPr>
          <w:rFonts w:hint="eastAsia" w:ascii="宋体" w:hAnsi="宋体" w:eastAsia="宋体"/>
          <w:sz w:val="24"/>
        </w:rPr>
        <w:t>按照风险等级评估，列出信息系统以及相关外部环境，描述可能发生的风险，针对每一个风险制定控制措施并明确相应责任人，形成《风险评估表》，撰写风险评估报告。</w:t>
      </w:r>
    </w:p>
    <w:p w14:paraId="6D9B6DF9">
      <w:pPr>
        <w:pStyle w:val="19"/>
        <w:ind w:firstLine="0" w:firstLineChars="0"/>
        <w:rPr>
          <w:rFonts w:hint="eastAsia" w:ascii="宋体" w:hAnsi="宋体" w:eastAsia="宋体"/>
          <w:sz w:val="24"/>
        </w:rPr>
      </w:pPr>
      <w:r>
        <w:rPr>
          <w:rFonts w:hint="eastAsia" w:ascii="宋体" w:hAnsi="宋体" w:eastAsia="宋体"/>
          <w:sz w:val="24"/>
        </w:rPr>
        <w:t>4.2.5.3事件分级</w:t>
      </w:r>
    </w:p>
    <w:p w14:paraId="7ED6E77C">
      <w:pPr>
        <w:pStyle w:val="19"/>
        <w:ind w:firstLine="480"/>
        <w:rPr>
          <w:rFonts w:hint="eastAsia" w:ascii="宋体" w:hAnsi="宋体" w:eastAsia="宋体"/>
          <w:sz w:val="24"/>
        </w:rPr>
      </w:pPr>
      <w:r>
        <w:rPr>
          <w:rFonts w:hint="eastAsia" w:ascii="宋体" w:hAnsi="宋体" w:eastAsia="宋体"/>
          <w:sz w:val="24"/>
        </w:rPr>
        <w:t>根据信息系统事件的分级考虑要素，将信息系统事件划分为三个级别：Ⅰ级事件、Ⅱ级事件、Ⅲ级事件。</w:t>
      </w:r>
    </w:p>
    <w:p w14:paraId="157B6DF8">
      <w:pPr>
        <w:pStyle w:val="19"/>
        <w:ind w:firstLine="480"/>
        <w:rPr>
          <w:rFonts w:hint="eastAsia" w:ascii="宋体" w:hAnsi="宋体" w:eastAsia="宋体"/>
          <w:sz w:val="24"/>
        </w:rPr>
      </w:pPr>
      <w:r>
        <w:rPr>
          <w:rFonts w:hint="eastAsia" w:ascii="宋体" w:hAnsi="宋体" w:eastAsia="宋体"/>
          <w:sz w:val="24"/>
        </w:rPr>
        <w:t>一般（Ⅲ级）：综合分值在1-4分；</w:t>
      </w:r>
    </w:p>
    <w:p w14:paraId="3B36888E">
      <w:pPr>
        <w:pStyle w:val="19"/>
        <w:ind w:firstLine="480"/>
        <w:rPr>
          <w:rFonts w:hint="eastAsia" w:ascii="宋体" w:hAnsi="宋体" w:eastAsia="宋体"/>
          <w:sz w:val="24"/>
        </w:rPr>
      </w:pPr>
      <w:r>
        <w:rPr>
          <w:rFonts w:hint="eastAsia" w:ascii="宋体" w:hAnsi="宋体" w:eastAsia="宋体"/>
          <w:sz w:val="24"/>
        </w:rPr>
        <w:t>较大（Ⅱ级）：综合分值在5-12分；</w:t>
      </w:r>
    </w:p>
    <w:p w14:paraId="362171AC">
      <w:pPr>
        <w:pStyle w:val="19"/>
        <w:ind w:firstLine="480"/>
        <w:rPr>
          <w:rFonts w:hint="eastAsia" w:ascii="宋体" w:hAnsi="宋体" w:eastAsia="宋体"/>
          <w:sz w:val="24"/>
        </w:rPr>
      </w:pPr>
      <w:r>
        <w:rPr>
          <w:rFonts w:hint="eastAsia" w:ascii="宋体" w:hAnsi="宋体" w:eastAsia="宋体"/>
          <w:sz w:val="24"/>
        </w:rPr>
        <w:t>重大（Ⅰ级）：综合分值在大于12分。</w:t>
      </w:r>
    </w:p>
    <w:p w14:paraId="3C12B544">
      <w:pPr>
        <w:pStyle w:val="19"/>
        <w:numPr>
          <w:ilvl w:val="1"/>
          <w:numId w:val="10"/>
        </w:numPr>
        <w:ind w:firstLine="480"/>
        <w:rPr>
          <w:rFonts w:hint="eastAsia" w:ascii="宋体" w:hAnsi="宋体" w:eastAsia="宋体"/>
          <w:sz w:val="24"/>
        </w:rPr>
      </w:pPr>
      <w:r>
        <w:rPr>
          <w:rFonts w:hint="eastAsia" w:ascii="宋体" w:hAnsi="宋体" w:eastAsia="宋体"/>
          <w:sz w:val="24"/>
        </w:rPr>
        <w:t>信息系统重要性</w:t>
      </w:r>
    </w:p>
    <w:p w14:paraId="34C0CD1E">
      <w:pPr>
        <w:pStyle w:val="19"/>
        <w:ind w:firstLine="480"/>
        <w:rPr>
          <w:rFonts w:hint="eastAsia" w:ascii="宋体" w:hAnsi="宋体" w:eastAsia="宋体"/>
          <w:sz w:val="24"/>
        </w:rPr>
      </w:pPr>
      <w:r>
        <w:rPr>
          <w:rFonts w:hint="eastAsia" w:ascii="宋体" w:hAnsi="宋体" w:eastAsia="宋体"/>
          <w:sz w:val="24"/>
        </w:rPr>
        <w:t>信息系统的重要性由以下要素决定：</w:t>
      </w:r>
    </w:p>
    <w:p w14:paraId="6389C273">
      <w:pPr>
        <w:pStyle w:val="19"/>
        <w:ind w:firstLine="480"/>
        <w:rPr>
          <w:rFonts w:hint="eastAsia" w:ascii="宋体" w:hAnsi="宋体" w:eastAsia="宋体"/>
          <w:sz w:val="24"/>
        </w:rPr>
      </w:pPr>
      <w:r>
        <w:rPr>
          <w:rFonts w:hint="eastAsia" w:ascii="宋体" w:hAnsi="宋体" w:eastAsia="宋体"/>
          <w:sz w:val="24"/>
        </w:rPr>
        <w:t>（1）信息系统所属类型，即信息系统资产的安全利益主体。</w:t>
      </w:r>
    </w:p>
    <w:p w14:paraId="36F5ABB7">
      <w:pPr>
        <w:pStyle w:val="19"/>
        <w:ind w:firstLine="480"/>
        <w:rPr>
          <w:rFonts w:hint="eastAsia" w:ascii="宋体" w:hAnsi="宋体" w:eastAsia="宋体"/>
          <w:sz w:val="24"/>
        </w:rPr>
      </w:pPr>
      <w:r>
        <w:rPr>
          <w:rFonts w:hint="eastAsia" w:ascii="宋体" w:hAnsi="宋体" w:eastAsia="宋体"/>
          <w:sz w:val="24"/>
        </w:rPr>
        <w:t>（2）信息系统主要处理的业务信息类别。</w:t>
      </w:r>
    </w:p>
    <w:p w14:paraId="09C96194">
      <w:pPr>
        <w:pStyle w:val="19"/>
        <w:ind w:firstLine="480"/>
        <w:rPr>
          <w:rFonts w:hint="eastAsia" w:ascii="宋体" w:hAnsi="宋体" w:eastAsia="宋体"/>
          <w:sz w:val="24"/>
        </w:rPr>
      </w:pPr>
      <w:r>
        <w:rPr>
          <w:rFonts w:hint="eastAsia" w:ascii="宋体" w:hAnsi="宋体" w:eastAsia="宋体"/>
          <w:sz w:val="24"/>
        </w:rPr>
        <w:t>（3）信息系统服务范围，包括服务对象和服务网络覆盖范围。</w:t>
      </w:r>
    </w:p>
    <w:p w14:paraId="0DB112EE">
      <w:pPr>
        <w:pStyle w:val="19"/>
        <w:ind w:firstLine="480"/>
        <w:rPr>
          <w:rFonts w:hint="eastAsia" w:ascii="宋体" w:hAnsi="宋体" w:eastAsia="宋体"/>
          <w:sz w:val="24"/>
        </w:rPr>
      </w:pPr>
      <w:r>
        <w:rPr>
          <w:rFonts w:hint="eastAsia" w:ascii="宋体" w:hAnsi="宋体" w:eastAsia="宋体"/>
          <w:sz w:val="24"/>
        </w:rPr>
        <w:t>（4）业务对信息系统的依赖程度。</w:t>
      </w:r>
    </w:p>
    <w:p w14:paraId="5D2FF5B9">
      <w:pPr>
        <w:pStyle w:val="19"/>
        <w:ind w:firstLine="480"/>
        <w:rPr>
          <w:rFonts w:hint="eastAsia" w:ascii="宋体" w:hAnsi="宋体" w:eastAsia="宋体"/>
          <w:sz w:val="24"/>
        </w:rPr>
      </w:pPr>
      <w:r>
        <w:rPr>
          <w:rFonts w:hint="eastAsia" w:ascii="宋体" w:hAnsi="宋体" w:eastAsia="宋体"/>
          <w:sz w:val="24"/>
        </w:rPr>
        <w:t>其中第（1）与（2）个要素决定信息系统内信息资产的重要性，第（3）与第（4）个要素决定信息系统所提供服务的重要性，而信息资产及信息系统服务的重要性决定了信息系统的重要性。</w:t>
      </w:r>
    </w:p>
    <w:p w14:paraId="13F29C11">
      <w:pPr>
        <w:pStyle w:val="19"/>
        <w:ind w:firstLine="480"/>
        <w:rPr>
          <w:rFonts w:hint="eastAsia" w:ascii="宋体" w:hAnsi="宋体" w:eastAsia="宋体"/>
          <w:sz w:val="24"/>
        </w:rPr>
      </w:pPr>
      <w:r>
        <w:rPr>
          <w:rFonts w:hint="eastAsia" w:ascii="宋体" w:hAnsi="宋体" w:eastAsia="宋体"/>
          <w:sz w:val="24"/>
        </w:rPr>
        <w:t>信息系统分级及赋值如下：</w:t>
      </w:r>
    </w:p>
    <w:p w14:paraId="5D59F431">
      <w:pPr>
        <w:pStyle w:val="19"/>
        <w:ind w:firstLine="480"/>
        <w:rPr>
          <w:rFonts w:hint="eastAsia" w:ascii="宋体" w:hAnsi="宋体" w:eastAsia="宋体"/>
          <w:sz w:val="24"/>
        </w:rPr>
      </w:pPr>
      <w:r>
        <w:rPr>
          <w:rFonts w:hint="eastAsia" w:ascii="宋体" w:hAnsi="宋体" w:eastAsia="宋体"/>
          <w:sz w:val="24"/>
        </w:rPr>
        <w:t>赋值1 4级信息系统</w:t>
      </w:r>
    </w:p>
    <w:p w14:paraId="5EF9E898">
      <w:pPr>
        <w:pStyle w:val="19"/>
        <w:ind w:firstLine="480"/>
        <w:rPr>
          <w:rFonts w:hint="eastAsia" w:ascii="宋体" w:hAnsi="宋体" w:eastAsia="宋体"/>
          <w:sz w:val="24"/>
        </w:rPr>
      </w:pPr>
      <w:r>
        <w:rPr>
          <w:rFonts w:hint="eastAsia" w:ascii="宋体" w:hAnsi="宋体" w:eastAsia="宋体"/>
          <w:sz w:val="24"/>
        </w:rPr>
        <w:t>赋值2 3级信息系统</w:t>
      </w:r>
    </w:p>
    <w:p w14:paraId="345D0588">
      <w:pPr>
        <w:pStyle w:val="19"/>
        <w:ind w:firstLine="480"/>
        <w:rPr>
          <w:rFonts w:hint="eastAsia" w:ascii="宋体" w:hAnsi="宋体" w:eastAsia="宋体"/>
          <w:sz w:val="24"/>
        </w:rPr>
      </w:pPr>
      <w:r>
        <w:rPr>
          <w:rFonts w:hint="eastAsia" w:ascii="宋体" w:hAnsi="宋体" w:eastAsia="宋体"/>
          <w:sz w:val="24"/>
        </w:rPr>
        <w:t>赋值3 2级信息系统</w:t>
      </w:r>
    </w:p>
    <w:p w14:paraId="6FAA04FA">
      <w:pPr>
        <w:pStyle w:val="19"/>
        <w:ind w:firstLine="480"/>
        <w:rPr>
          <w:rFonts w:hint="eastAsia" w:ascii="宋体" w:hAnsi="宋体" w:eastAsia="宋体"/>
          <w:sz w:val="24"/>
        </w:rPr>
      </w:pPr>
      <w:r>
        <w:rPr>
          <w:rFonts w:hint="eastAsia" w:ascii="宋体" w:hAnsi="宋体" w:eastAsia="宋体"/>
          <w:sz w:val="24"/>
        </w:rPr>
        <w:t>赋值4 1级信息系统</w:t>
      </w:r>
    </w:p>
    <w:p w14:paraId="688DCB1A">
      <w:pPr>
        <w:pStyle w:val="19"/>
        <w:numPr>
          <w:ilvl w:val="1"/>
          <w:numId w:val="10"/>
        </w:numPr>
        <w:ind w:firstLine="480"/>
        <w:rPr>
          <w:rFonts w:hint="eastAsia" w:ascii="宋体" w:hAnsi="宋体" w:eastAsia="宋体"/>
          <w:sz w:val="24"/>
        </w:rPr>
      </w:pPr>
      <w:r>
        <w:rPr>
          <w:rFonts w:hint="eastAsia" w:ascii="宋体" w:hAnsi="宋体" w:eastAsia="宋体"/>
          <w:sz w:val="24"/>
        </w:rPr>
        <w:t>信息系统服务时段</w:t>
      </w:r>
    </w:p>
    <w:p w14:paraId="22B58E05">
      <w:pPr>
        <w:pStyle w:val="19"/>
        <w:ind w:firstLine="480"/>
        <w:rPr>
          <w:rFonts w:hint="eastAsia" w:ascii="宋体" w:hAnsi="宋体" w:eastAsia="宋体"/>
          <w:sz w:val="24"/>
        </w:rPr>
      </w:pPr>
      <w:r>
        <w:rPr>
          <w:rFonts w:hint="eastAsia" w:ascii="宋体" w:hAnsi="宋体" w:eastAsia="宋体"/>
          <w:sz w:val="24"/>
        </w:rPr>
        <w:t>信息系统服务时段划分为3级。依据应急事件发生的不同时间，对信息系统恢复正常服务所需的时间要求而确定。</w:t>
      </w:r>
    </w:p>
    <w:p w14:paraId="2A162D09">
      <w:pPr>
        <w:pStyle w:val="19"/>
        <w:ind w:firstLine="480"/>
        <w:rPr>
          <w:rFonts w:hint="eastAsia" w:ascii="宋体" w:hAnsi="宋体" w:eastAsia="宋体"/>
          <w:sz w:val="24"/>
        </w:rPr>
      </w:pPr>
      <w:r>
        <w:rPr>
          <w:rFonts w:hint="eastAsia" w:ascii="宋体" w:hAnsi="宋体" w:eastAsia="宋体"/>
          <w:sz w:val="24"/>
        </w:rPr>
        <w:t>赋值1 非系统服务时段（不含系统服务时段即将开始）</w:t>
      </w:r>
    </w:p>
    <w:p w14:paraId="2FCA763B">
      <w:pPr>
        <w:pStyle w:val="19"/>
        <w:ind w:firstLine="480"/>
        <w:rPr>
          <w:rFonts w:hint="eastAsia" w:ascii="宋体" w:hAnsi="宋体" w:eastAsia="宋体"/>
          <w:sz w:val="24"/>
        </w:rPr>
      </w:pPr>
      <w:r>
        <w:rPr>
          <w:rFonts w:hint="eastAsia" w:ascii="宋体" w:hAnsi="宋体" w:eastAsia="宋体"/>
          <w:sz w:val="24"/>
        </w:rPr>
        <w:t>赋值2 系统服务时段或系统服务时段即将开始</w:t>
      </w:r>
    </w:p>
    <w:p w14:paraId="0526859C">
      <w:pPr>
        <w:pStyle w:val="19"/>
        <w:ind w:firstLine="480"/>
        <w:rPr>
          <w:rFonts w:hint="eastAsia" w:ascii="宋体" w:hAnsi="宋体" w:eastAsia="宋体"/>
          <w:sz w:val="24"/>
        </w:rPr>
      </w:pPr>
      <w:r>
        <w:rPr>
          <w:rFonts w:hint="eastAsia" w:ascii="宋体" w:hAnsi="宋体" w:eastAsia="宋体"/>
          <w:sz w:val="24"/>
        </w:rPr>
        <w:t>赋值3 系统处于重点时段保障（业务必须正常运行时间）或处于服务高峰时段</w:t>
      </w:r>
    </w:p>
    <w:p w14:paraId="31E072C9">
      <w:pPr>
        <w:pStyle w:val="19"/>
        <w:ind w:firstLine="480"/>
        <w:rPr>
          <w:rFonts w:hint="eastAsia" w:ascii="宋体" w:hAnsi="宋体" w:eastAsia="宋体"/>
          <w:sz w:val="24"/>
        </w:rPr>
      </w:pPr>
      <w:r>
        <w:rPr>
          <w:rFonts w:hint="eastAsia" w:ascii="宋体" w:hAnsi="宋体" w:eastAsia="宋体"/>
          <w:sz w:val="24"/>
        </w:rPr>
        <w:t>信息系统损失程度赋值</w:t>
      </w:r>
    </w:p>
    <w:p w14:paraId="0AA05CF1">
      <w:pPr>
        <w:pStyle w:val="19"/>
        <w:ind w:firstLine="480"/>
        <w:rPr>
          <w:rFonts w:hint="eastAsia" w:ascii="宋体" w:hAnsi="宋体" w:eastAsia="宋体"/>
          <w:sz w:val="24"/>
        </w:rPr>
      </w:pPr>
      <w:r>
        <w:rPr>
          <w:rFonts w:hint="eastAsia" w:ascii="宋体" w:hAnsi="宋体" w:eastAsia="宋体"/>
          <w:sz w:val="24"/>
        </w:rPr>
        <w:t>应急事件造成的信息系统损失程度划分为3级。依据故障发生对信息系统提供的服务能力的下降程度而确定。</w:t>
      </w:r>
    </w:p>
    <w:tbl>
      <w:tblPr>
        <w:tblStyle w:val="17"/>
        <w:tblW w:w="4999" w:type="pct"/>
        <w:tblInd w:w="0" w:type="dxa"/>
        <w:tblLayout w:type="autofit"/>
        <w:tblCellMar>
          <w:top w:w="0" w:type="dxa"/>
          <w:left w:w="108" w:type="dxa"/>
          <w:bottom w:w="0" w:type="dxa"/>
          <w:right w:w="108" w:type="dxa"/>
        </w:tblCellMar>
      </w:tblPr>
      <w:tblGrid>
        <w:gridCol w:w="1785"/>
        <w:gridCol w:w="2245"/>
        <w:gridCol w:w="2245"/>
        <w:gridCol w:w="2245"/>
      </w:tblGrid>
      <w:tr w14:paraId="1F5249E1">
        <w:tblPrEx>
          <w:tblCellMar>
            <w:top w:w="0" w:type="dxa"/>
            <w:left w:w="108" w:type="dxa"/>
            <w:bottom w:w="0" w:type="dxa"/>
            <w:right w:w="108" w:type="dxa"/>
          </w:tblCellMar>
        </w:tblPrEx>
        <w:trPr>
          <w:trHeight w:val="312" w:hRule="atLeast"/>
        </w:trPr>
        <w:tc>
          <w:tcPr>
            <w:tcW w:w="10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A4DC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系统性能</w:t>
            </w:r>
          </w:p>
        </w:tc>
        <w:tc>
          <w:tcPr>
            <w:tcW w:w="395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7EA4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系统功能</w:t>
            </w:r>
          </w:p>
        </w:tc>
      </w:tr>
      <w:tr w14:paraId="6E23A6C1">
        <w:tblPrEx>
          <w:tblCellMar>
            <w:top w:w="0" w:type="dxa"/>
            <w:left w:w="108" w:type="dxa"/>
            <w:bottom w:w="0" w:type="dxa"/>
            <w:right w:w="108" w:type="dxa"/>
          </w:tblCellMar>
        </w:tblPrEx>
        <w:trPr>
          <w:trHeight w:val="312" w:hRule="atLeast"/>
        </w:trPr>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91228">
            <w:pPr>
              <w:widowControl/>
              <w:jc w:val="center"/>
              <w:rPr>
                <w:rFonts w:hint="eastAsia" w:ascii="宋体" w:hAnsi="宋体" w:eastAsia="宋体" w:cs="宋体"/>
                <w:b/>
                <w:bCs/>
                <w:color w:val="000000"/>
                <w:sz w:val="24"/>
              </w:rPr>
            </w:pP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A6512">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功能无损</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238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部分损失</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3D08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全部损失</w:t>
            </w:r>
          </w:p>
        </w:tc>
      </w:tr>
      <w:tr w14:paraId="0A566B19">
        <w:tblPrEx>
          <w:tblCellMar>
            <w:top w:w="0" w:type="dxa"/>
            <w:left w:w="108" w:type="dxa"/>
            <w:bottom w:w="0" w:type="dxa"/>
            <w:right w:w="108" w:type="dxa"/>
          </w:tblCellMar>
        </w:tblPrEx>
        <w:trPr>
          <w:trHeight w:val="454" w:hRule="atLeast"/>
        </w:trPr>
        <w:tc>
          <w:tcPr>
            <w:tcW w:w="10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1208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A33A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CB8F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04B5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r>
      <w:tr w14:paraId="3F55087C">
        <w:tblPrEx>
          <w:tblCellMar>
            <w:top w:w="0" w:type="dxa"/>
            <w:left w:w="108" w:type="dxa"/>
            <w:bottom w:w="0" w:type="dxa"/>
            <w:right w:w="108" w:type="dxa"/>
          </w:tblCellMar>
        </w:tblPrEx>
        <w:trPr>
          <w:trHeight w:val="454" w:hRule="atLeast"/>
        </w:trPr>
        <w:tc>
          <w:tcPr>
            <w:tcW w:w="10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75D8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＞或＝</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97E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57A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8ABD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r>
    </w:tbl>
    <w:p w14:paraId="3C334B7F">
      <w:pPr>
        <w:pStyle w:val="19"/>
        <w:ind w:firstLine="480"/>
        <w:rPr>
          <w:rFonts w:hint="eastAsia" w:ascii="宋体" w:hAnsi="宋体" w:eastAsia="宋体"/>
          <w:sz w:val="24"/>
        </w:rPr>
      </w:pPr>
      <w:r>
        <w:rPr>
          <w:rFonts w:hint="eastAsia" w:ascii="宋体" w:hAnsi="宋体" w:eastAsia="宋体"/>
          <w:sz w:val="24"/>
        </w:rPr>
        <w:t>重点时段保障的损失程度赋值为3</w:t>
      </w:r>
    </w:p>
    <w:p w14:paraId="16E427CC">
      <w:pPr>
        <w:pStyle w:val="19"/>
        <w:numPr>
          <w:ilvl w:val="1"/>
          <w:numId w:val="10"/>
        </w:numPr>
        <w:ind w:firstLine="480"/>
        <w:rPr>
          <w:rFonts w:hint="eastAsia" w:ascii="宋体" w:hAnsi="宋体" w:eastAsia="宋体"/>
          <w:sz w:val="24"/>
        </w:rPr>
      </w:pPr>
      <w:r>
        <w:rPr>
          <w:rFonts w:hint="eastAsia" w:ascii="宋体" w:hAnsi="宋体" w:eastAsia="宋体"/>
          <w:sz w:val="24"/>
        </w:rPr>
        <w:t>事件定级</w:t>
      </w:r>
    </w:p>
    <w:p w14:paraId="49D77CB9">
      <w:pPr>
        <w:pStyle w:val="19"/>
        <w:ind w:firstLine="480"/>
        <w:rPr>
          <w:rFonts w:hint="eastAsia" w:ascii="宋体" w:hAnsi="宋体" w:eastAsia="宋体"/>
          <w:sz w:val="24"/>
        </w:rPr>
      </w:pPr>
      <w:r>
        <w:rPr>
          <w:rFonts w:hint="eastAsia" w:ascii="宋体" w:hAnsi="宋体" w:eastAsia="宋体"/>
          <w:sz w:val="24"/>
        </w:rPr>
        <w:t>将以上应急事件三个要素的赋值相乘，事件级别如下表所示：</w:t>
      </w:r>
    </w:p>
    <w:tbl>
      <w:tblPr>
        <w:tblStyle w:val="17"/>
        <w:tblW w:w="5000" w:type="pct"/>
        <w:tblInd w:w="0" w:type="dxa"/>
        <w:tblLayout w:type="autofit"/>
        <w:tblCellMar>
          <w:top w:w="0" w:type="dxa"/>
          <w:left w:w="108" w:type="dxa"/>
          <w:bottom w:w="0" w:type="dxa"/>
          <w:right w:w="108" w:type="dxa"/>
        </w:tblCellMar>
      </w:tblPr>
      <w:tblGrid>
        <w:gridCol w:w="4261"/>
        <w:gridCol w:w="4261"/>
      </w:tblGrid>
      <w:tr w14:paraId="01445F75">
        <w:tblPrEx>
          <w:tblCellMar>
            <w:top w:w="0" w:type="dxa"/>
            <w:left w:w="108" w:type="dxa"/>
            <w:bottom w:w="0" w:type="dxa"/>
            <w:right w:w="108" w:type="dxa"/>
          </w:tblCellMar>
        </w:tblPrEx>
        <w:trPr>
          <w:trHeight w:val="624" w:hRule="atLeast"/>
          <w:tblHeader/>
        </w:trPr>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8A73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范围</w:t>
            </w:r>
          </w:p>
        </w:tc>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3B2F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级别</w:t>
            </w:r>
          </w:p>
        </w:tc>
      </w:tr>
      <w:tr w14:paraId="59B2DB95">
        <w:tblPrEx>
          <w:tblCellMar>
            <w:top w:w="0" w:type="dxa"/>
            <w:left w:w="108" w:type="dxa"/>
            <w:bottom w:w="0" w:type="dxa"/>
            <w:right w:w="108" w:type="dxa"/>
          </w:tblCellMar>
        </w:tblPrEx>
        <w:trPr>
          <w:trHeight w:val="454" w:hRule="atLeast"/>
        </w:trPr>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BCC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1~6</w:t>
            </w:r>
          </w:p>
        </w:tc>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189B">
            <w:pPr>
              <w:widowControl/>
              <w:jc w:val="center"/>
              <w:textAlignment w:val="center"/>
              <w:rPr>
                <w:rFonts w:hint="eastAsia" w:ascii="宋体" w:hAnsi="宋体" w:eastAsia="宋体" w:cs="宋体"/>
                <w:color w:val="000000"/>
                <w:sz w:val="24"/>
              </w:rPr>
            </w:pPr>
            <w:r>
              <w:rPr>
                <w:rFonts w:hint="eastAsia" w:ascii="宋体" w:hAnsi="宋体" w:eastAsia="宋体" w:cs="宋体"/>
                <w:sz w:val="24"/>
              </w:rPr>
              <w:t>Ⅲ</w:t>
            </w:r>
            <w:r>
              <w:rPr>
                <w:rFonts w:hint="eastAsia" w:ascii="宋体" w:hAnsi="宋体" w:eastAsia="宋体" w:cs="宋体"/>
                <w:color w:val="000000"/>
                <w:kern w:val="0"/>
                <w:sz w:val="24"/>
                <w:lang w:bidi="ar"/>
              </w:rPr>
              <w:t>事件</w:t>
            </w:r>
          </w:p>
        </w:tc>
      </w:tr>
      <w:tr w14:paraId="78E3721C">
        <w:tblPrEx>
          <w:tblCellMar>
            <w:top w:w="0" w:type="dxa"/>
            <w:left w:w="108" w:type="dxa"/>
            <w:bottom w:w="0" w:type="dxa"/>
            <w:right w:w="108" w:type="dxa"/>
          </w:tblCellMar>
        </w:tblPrEx>
        <w:trPr>
          <w:trHeight w:val="454" w:hRule="atLeast"/>
        </w:trPr>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EC4D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8~18</w:t>
            </w:r>
          </w:p>
        </w:tc>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21A31">
            <w:pPr>
              <w:widowControl/>
              <w:jc w:val="center"/>
              <w:textAlignment w:val="center"/>
              <w:rPr>
                <w:rFonts w:hint="eastAsia" w:ascii="宋体" w:hAnsi="宋体" w:eastAsia="宋体" w:cs="宋体"/>
                <w:color w:val="000000"/>
                <w:sz w:val="24"/>
              </w:rPr>
            </w:pPr>
            <w:r>
              <w:rPr>
                <w:rFonts w:hint="eastAsia" w:ascii="宋体" w:hAnsi="宋体" w:eastAsia="宋体" w:cs="宋体"/>
                <w:sz w:val="24"/>
              </w:rPr>
              <w:t>Ⅱ</w:t>
            </w:r>
            <w:r>
              <w:rPr>
                <w:rFonts w:hint="eastAsia" w:ascii="宋体" w:hAnsi="宋体" w:eastAsia="宋体" w:cs="宋体"/>
                <w:color w:val="000000"/>
                <w:kern w:val="0"/>
                <w:sz w:val="24"/>
                <w:lang w:bidi="ar"/>
              </w:rPr>
              <w:t>事件</w:t>
            </w:r>
          </w:p>
        </w:tc>
      </w:tr>
      <w:tr w14:paraId="169B57A6">
        <w:tblPrEx>
          <w:tblCellMar>
            <w:top w:w="0" w:type="dxa"/>
            <w:left w:w="108" w:type="dxa"/>
            <w:bottom w:w="0" w:type="dxa"/>
            <w:right w:w="108" w:type="dxa"/>
          </w:tblCellMar>
        </w:tblPrEx>
        <w:trPr>
          <w:trHeight w:val="454" w:hRule="atLeast"/>
        </w:trPr>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D91B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26~36</w:t>
            </w:r>
          </w:p>
        </w:tc>
        <w:tc>
          <w:tcPr>
            <w:tcW w:w="2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CB2FC">
            <w:pPr>
              <w:widowControl/>
              <w:jc w:val="center"/>
              <w:textAlignment w:val="center"/>
              <w:rPr>
                <w:rFonts w:hint="eastAsia" w:ascii="宋体" w:hAnsi="宋体" w:eastAsia="宋体" w:cs="宋体"/>
                <w:color w:val="000000"/>
                <w:sz w:val="24"/>
              </w:rPr>
            </w:pPr>
            <w:r>
              <w:rPr>
                <w:rFonts w:hint="eastAsia" w:ascii="宋体" w:hAnsi="宋体" w:eastAsia="宋体" w:cs="宋体"/>
                <w:sz w:val="24"/>
              </w:rPr>
              <w:t>I</w:t>
            </w:r>
            <w:r>
              <w:rPr>
                <w:rFonts w:hint="eastAsia" w:ascii="宋体" w:hAnsi="宋体" w:eastAsia="宋体" w:cs="宋体"/>
                <w:color w:val="000000"/>
                <w:kern w:val="0"/>
                <w:sz w:val="24"/>
                <w:lang w:bidi="ar"/>
              </w:rPr>
              <w:t>事件</w:t>
            </w:r>
          </w:p>
        </w:tc>
      </w:tr>
    </w:tbl>
    <w:p w14:paraId="607E3692">
      <w:pPr>
        <w:pStyle w:val="10"/>
        <w:numPr>
          <w:ilvl w:val="3"/>
          <w:numId w:val="0"/>
        </w:numPr>
        <w:tabs>
          <w:tab w:val="clear" w:pos="425"/>
        </w:tabs>
        <w:rPr>
          <w:rFonts w:hint="eastAsia" w:ascii="宋体" w:hAnsi="宋体" w:eastAsia="宋体" w:cs="宋体"/>
          <w:b w:val="0"/>
          <w:bCs/>
          <w:sz w:val="24"/>
        </w:rPr>
      </w:pPr>
      <w:r>
        <w:rPr>
          <w:rFonts w:hint="eastAsia" w:ascii="宋体" w:hAnsi="宋体" w:eastAsia="宋体" w:cs="宋体"/>
          <w:b w:val="0"/>
          <w:bCs/>
          <w:sz w:val="24"/>
        </w:rPr>
        <w:t>4.2.5.4应急流程</w:t>
      </w:r>
    </w:p>
    <w:p w14:paraId="650072E0">
      <w:pPr>
        <w:pStyle w:val="19"/>
        <w:ind w:firstLine="480"/>
        <w:rPr>
          <w:rFonts w:hint="eastAsia" w:ascii="宋体" w:hAnsi="宋体" w:eastAsia="宋体"/>
          <w:sz w:val="24"/>
        </w:rPr>
      </w:pPr>
      <w:r>
        <w:rPr>
          <w:rFonts w:hint="eastAsia" w:ascii="宋体" w:hAnsi="宋体" w:eastAsia="宋体"/>
          <w:sz w:val="24"/>
        </w:rPr>
        <w:t>1.故障发生</w:t>
      </w:r>
    </w:p>
    <w:p w14:paraId="5D43F488">
      <w:pPr>
        <w:pStyle w:val="19"/>
        <w:ind w:firstLine="480"/>
        <w:rPr>
          <w:rFonts w:hint="eastAsia" w:ascii="宋体" w:hAnsi="宋体" w:eastAsia="宋体"/>
          <w:sz w:val="24"/>
        </w:rPr>
      </w:pPr>
      <w:r>
        <w:rPr>
          <w:rFonts w:hint="eastAsia" w:ascii="宋体" w:hAnsi="宋体" w:eastAsia="宋体"/>
          <w:sz w:val="24"/>
        </w:rPr>
        <w:t>系统运维服务小组可从以下途径得知故障的发生：</w:t>
      </w:r>
    </w:p>
    <w:p w14:paraId="1308FA99">
      <w:pPr>
        <w:pStyle w:val="19"/>
        <w:ind w:firstLine="480"/>
        <w:rPr>
          <w:rFonts w:hint="eastAsia" w:ascii="宋体" w:hAnsi="宋体" w:eastAsia="宋体"/>
          <w:sz w:val="24"/>
        </w:rPr>
      </w:pPr>
      <w:r>
        <w:rPr>
          <w:rFonts w:hint="eastAsia" w:ascii="宋体" w:hAnsi="宋体" w:eastAsia="宋体"/>
          <w:sz w:val="24"/>
        </w:rPr>
        <w:t>（1）运维中心通过网管告警发现故障；</w:t>
      </w:r>
    </w:p>
    <w:p w14:paraId="5A82765A">
      <w:pPr>
        <w:pStyle w:val="19"/>
        <w:ind w:firstLine="480"/>
        <w:rPr>
          <w:rFonts w:hint="eastAsia" w:ascii="宋体" w:hAnsi="宋体" w:eastAsia="宋体"/>
          <w:sz w:val="24"/>
        </w:rPr>
      </w:pPr>
      <w:r>
        <w:rPr>
          <w:rFonts w:hint="eastAsia" w:ascii="宋体" w:hAnsi="宋体" w:eastAsia="宋体"/>
          <w:sz w:val="24"/>
        </w:rPr>
        <w:t>（2）维护人员通过维护巡检发现故障；</w:t>
      </w:r>
    </w:p>
    <w:p w14:paraId="5A03526E">
      <w:pPr>
        <w:pStyle w:val="19"/>
        <w:ind w:firstLine="480"/>
        <w:rPr>
          <w:rFonts w:hint="eastAsia" w:ascii="宋体" w:hAnsi="宋体" w:eastAsia="宋体"/>
          <w:sz w:val="24"/>
        </w:rPr>
      </w:pPr>
      <w:r>
        <w:rPr>
          <w:rFonts w:hint="eastAsia" w:ascii="宋体" w:hAnsi="宋体" w:eastAsia="宋体"/>
          <w:sz w:val="24"/>
        </w:rPr>
        <w:t>（3）用户发现故障，报给呼叫中心；</w:t>
      </w:r>
    </w:p>
    <w:p w14:paraId="4C7E29D7">
      <w:pPr>
        <w:pStyle w:val="19"/>
        <w:ind w:firstLine="480"/>
        <w:rPr>
          <w:rFonts w:hint="eastAsia" w:ascii="宋体" w:hAnsi="宋体" w:eastAsia="宋体"/>
          <w:sz w:val="24"/>
        </w:rPr>
      </w:pPr>
      <w:r>
        <w:rPr>
          <w:rFonts w:hint="eastAsia" w:ascii="宋体" w:hAnsi="宋体" w:eastAsia="宋体"/>
          <w:sz w:val="24"/>
        </w:rPr>
        <w:t>（4）驻场运维人员发现故障。</w:t>
      </w:r>
    </w:p>
    <w:p w14:paraId="1F17FBD1">
      <w:pPr>
        <w:pStyle w:val="19"/>
        <w:ind w:firstLine="480"/>
        <w:rPr>
          <w:rFonts w:hint="eastAsia" w:ascii="宋体" w:hAnsi="宋体" w:eastAsia="宋体"/>
          <w:sz w:val="24"/>
        </w:rPr>
      </w:pPr>
      <w:r>
        <w:rPr>
          <w:rFonts w:hint="eastAsia" w:ascii="宋体" w:hAnsi="宋体" w:eastAsia="宋体"/>
          <w:sz w:val="24"/>
        </w:rPr>
        <w:t>2.报障受理</w:t>
      </w:r>
    </w:p>
    <w:p w14:paraId="76244B2D">
      <w:pPr>
        <w:pStyle w:val="19"/>
        <w:ind w:firstLine="480"/>
        <w:rPr>
          <w:rFonts w:hint="eastAsia" w:ascii="宋体" w:hAnsi="宋体" w:eastAsia="宋体"/>
          <w:sz w:val="24"/>
        </w:rPr>
      </w:pPr>
      <w:r>
        <w:rPr>
          <w:rFonts w:hint="eastAsia" w:ascii="宋体" w:hAnsi="宋体" w:eastAsia="宋体"/>
          <w:sz w:val="24"/>
        </w:rPr>
        <w:t>运维服务小组得知系统故障发生后应立即响应并向报障人或单位详细了解系统故障情况。</w:t>
      </w:r>
    </w:p>
    <w:p w14:paraId="6964FDC6">
      <w:pPr>
        <w:pStyle w:val="19"/>
        <w:ind w:firstLine="480"/>
        <w:rPr>
          <w:rFonts w:hint="eastAsia" w:ascii="宋体" w:hAnsi="宋体" w:eastAsia="宋体"/>
          <w:sz w:val="24"/>
        </w:rPr>
      </w:pPr>
      <w:r>
        <w:rPr>
          <w:rFonts w:hint="eastAsia" w:ascii="宋体" w:hAnsi="宋体" w:eastAsia="宋体"/>
          <w:sz w:val="24"/>
        </w:rPr>
        <w:t>3.信息研判</w:t>
      </w:r>
    </w:p>
    <w:p w14:paraId="62687BA8">
      <w:pPr>
        <w:pStyle w:val="19"/>
        <w:ind w:firstLine="480"/>
        <w:rPr>
          <w:rFonts w:hint="eastAsia" w:ascii="宋体" w:hAnsi="宋体" w:eastAsia="宋体"/>
          <w:sz w:val="24"/>
        </w:rPr>
      </w:pPr>
      <w:r>
        <w:rPr>
          <w:rFonts w:hint="eastAsia" w:ascii="宋体" w:hAnsi="宋体" w:eastAsia="宋体"/>
          <w:sz w:val="24"/>
        </w:rPr>
        <w:t>运维服务小组根据了解到的系统故障情况进行分析判断，以确定采用一般故障处理流程还是立即启动系统突发故障应急处理预案。</w:t>
      </w:r>
    </w:p>
    <w:p w14:paraId="5D5CB6FE">
      <w:pPr>
        <w:pStyle w:val="19"/>
        <w:ind w:firstLine="480"/>
        <w:rPr>
          <w:rFonts w:hint="eastAsia" w:ascii="宋体" w:hAnsi="宋体" w:eastAsia="宋体"/>
          <w:sz w:val="24"/>
        </w:rPr>
      </w:pPr>
      <w:r>
        <w:rPr>
          <w:rFonts w:hint="eastAsia" w:ascii="宋体" w:hAnsi="宋体" w:eastAsia="宋体"/>
          <w:sz w:val="24"/>
        </w:rPr>
        <w:t>4.预案启动</w:t>
      </w:r>
    </w:p>
    <w:p w14:paraId="48E51BBE">
      <w:pPr>
        <w:pStyle w:val="19"/>
        <w:ind w:firstLine="480"/>
        <w:rPr>
          <w:rFonts w:hint="eastAsia" w:ascii="宋体" w:hAnsi="宋体" w:eastAsia="宋体"/>
          <w:sz w:val="24"/>
        </w:rPr>
      </w:pPr>
      <w:r>
        <w:rPr>
          <w:rFonts w:hint="eastAsia" w:ascii="宋体" w:hAnsi="宋体" w:eastAsia="宋体"/>
          <w:sz w:val="24"/>
        </w:rPr>
        <w:t>如需启动应急预案，则立刻通知系统突发故障应急领导小组，由领导小组启动应急预案，对系统突发故障应急事件进行全面管控处理。</w:t>
      </w:r>
    </w:p>
    <w:p w14:paraId="18663054">
      <w:pPr>
        <w:pStyle w:val="19"/>
        <w:ind w:firstLine="480"/>
        <w:rPr>
          <w:rFonts w:hint="eastAsia" w:ascii="宋体" w:hAnsi="宋体" w:eastAsia="宋体"/>
          <w:sz w:val="24"/>
        </w:rPr>
      </w:pPr>
      <w:r>
        <w:rPr>
          <w:rFonts w:hint="eastAsia" w:ascii="宋体" w:hAnsi="宋体" w:eastAsia="宋体"/>
          <w:sz w:val="24"/>
        </w:rPr>
        <w:t>5.资源确认</w:t>
      </w:r>
    </w:p>
    <w:p w14:paraId="2358B400">
      <w:pPr>
        <w:pStyle w:val="19"/>
        <w:ind w:firstLine="480"/>
        <w:rPr>
          <w:rFonts w:hint="eastAsia" w:ascii="宋体" w:hAnsi="宋体" w:eastAsia="宋体"/>
          <w:sz w:val="24"/>
        </w:rPr>
      </w:pPr>
      <w:r>
        <w:rPr>
          <w:rFonts w:hint="eastAsia" w:ascii="宋体" w:hAnsi="宋体" w:eastAsia="宋体"/>
          <w:sz w:val="24"/>
        </w:rPr>
        <w:t>系统突发故障应急预案启动后，首先是根据现场突发故障实际状况、紧急程度、技术难度、备品备件等情况对相关资源（主要是参与人员）依据经验进行调度和确认，主要包括技术支持人员、相关厂家技术支持人员、聘请的技术专家等资源。</w:t>
      </w:r>
    </w:p>
    <w:p w14:paraId="1CFE214B">
      <w:pPr>
        <w:pStyle w:val="19"/>
        <w:ind w:firstLine="480"/>
        <w:rPr>
          <w:rFonts w:hint="eastAsia" w:ascii="宋体" w:hAnsi="宋体" w:eastAsia="宋体"/>
          <w:sz w:val="24"/>
        </w:rPr>
      </w:pPr>
      <w:r>
        <w:rPr>
          <w:rFonts w:hint="eastAsia" w:ascii="宋体" w:hAnsi="宋体" w:eastAsia="宋体"/>
          <w:sz w:val="24"/>
        </w:rPr>
        <w:t>6.预案执行</w:t>
      </w:r>
    </w:p>
    <w:p w14:paraId="5C50040D">
      <w:pPr>
        <w:pStyle w:val="19"/>
        <w:ind w:firstLine="480"/>
        <w:rPr>
          <w:rFonts w:hint="eastAsia" w:ascii="宋体" w:hAnsi="宋体" w:eastAsia="宋体"/>
          <w:sz w:val="24"/>
        </w:rPr>
      </w:pPr>
      <w:r>
        <w:rPr>
          <w:rFonts w:hint="eastAsia" w:ascii="宋体" w:hAnsi="宋体" w:eastAsia="宋体"/>
          <w:sz w:val="24"/>
        </w:rPr>
        <w:t>按照既定的预案进行突发故障抢修，如遇到问题及时向系统突发故障应急领导小组汇报。</w:t>
      </w:r>
    </w:p>
    <w:p w14:paraId="04B83D58">
      <w:pPr>
        <w:pStyle w:val="19"/>
        <w:ind w:firstLine="480"/>
        <w:rPr>
          <w:rFonts w:hint="eastAsia" w:ascii="宋体" w:hAnsi="宋体" w:eastAsia="宋体"/>
          <w:sz w:val="24"/>
        </w:rPr>
      </w:pPr>
      <w:r>
        <w:rPr>
          <w:rFonts w:hint="eastAsia" w:ascii="宋体" w:hAnsi="宋体" w:eastAsia="宋体"/>
          <w:sz w:val="24"/>
        </w:rPr>
        <w:t>7.预案终止</w:t>
      </w:r>
    </w:p>
    <w:p w14:paraId="2B160B8C">
      <w:pPr>
        <w:pStyle w:val="19"/>
        <w:ind w:firstLine="480"/>
        <w:rPr>
          <w:rFonts w:hint="eastAsia" w:ascii="宋体" w:hAnsi="宋体" w:eastAsia="宋体"/>
          <w:sz w:val="24"/>
        </w:rPr>
      </w:pPr>
      <w:r>
        <w:rPr>
          <w:rFonts w:hint="eastAsia" w:ascii="宋体" w:hAnsi="宋体" w:eastAsia="宋体"/>
          <w:sz w:val="24"/>
        </w:rPr>
        <w:t>预案的终止时间由故障现场技术人员根据现场的实际进展情况，在与用户单位有关部门协调后报系统突发故障应急领导小组决定。</w:t>
      </w:r>
    </w:p>
    <w:p w14:paraId="07C5C4A4">
      <w:pPr>
        <w:pStyle w:val="19"/>
        <w:ind w:firstLine="480"/>
        <w:rPr>
          <w:rFonts w:hint="eastAsia" w:ascii="宋体" w:hAnsi="宋体" w:eastAsia="宋体"/>
          <w:sz w:val="24"/>
        </w:rPr>
      </w:pPr>
      <w:r>
        <w:rPr>
          <w:rFonts w:hint="eastAsia" w:ascii="宋体" w:hAnsi="宋体" w:eastAsia="宋体"/>
          <w:sz w:val="24"/>
        </w:rPr>
        <w:t>8.结果上报</w:t>
      </w:r>
    </w:p>
    <w:p w14:paraId="491585B2">
      <w:pPr>
        <w:pStyle w:val="19"/>
        <w:ind w:firstLine="480"/>
        <w:rPr>
          <w:rFonts w:hint="eastAsia" w:ascii="宋体" w:hAnsi="宋体" w:eastAsia="宋体"/>
          <w:sz w:val="24"/>
        </w:rPr>
      </w:pPr>
      <w:r>
        <w:rPr>
          <w:rFonts w:hint="eastAsia" w:ascii="宋体" w:hAnsi="宋体" w:eastAsia="宋体"/>
          <w:sz w:val="24"/>
        </w:rPr>
        <w:t>预案终止后，相关预案参与人员将整个事件过程中的经验和教训，修改、完善事件应急预案，然后集中上报至系统突发故障应急领导小组。</w:t>
      </w:r>
    </w:p>
    <w:p w14:paraId="59B6C764">
      <w:pPr>
        <w:pStyle w:val="19"/>
        <w:ind w:firstLine="480"/>
        <w:rPr>
          <w:rFonts w:hint="eastAsia" w:ascii="宋体" w:hAnsi="宋体" w:eastAsia="宋体"/>
          <w:sz w:val="24"/>
        </w:rPr>
      </w:pPr>
      <w:r>
        <w:rPr>
          <w:rFonts w:hint="eastAsia" w:ascii="宋体" w:hAnsi="宋体" w:eastAsia="宋体"/>
          <w:sz w:val="24"/>
        </w:rPr>
        <w:t>当发现各类信息系统事件时，应按照事件等级逐级汇报。</w:t>
      </w:r>
    </w:p>
    <w:p w14:paraId="540C3D57">
      <w:pPr>
        <w:pStyle w:val="19"/>
        <w:ind w:firstLine="480"/>
        <w:rPr>
          <w:rFonts w:hint="eastAsia" w:ascii="宋体" w:hAnsi="宋体" w:eastAsia="宋体"/>
          <w:sz w:val="24"/>
        </w:rPr>
      </w:pPr>
      <w:r>
        <w:rPr>
          <w:rFonts w:hint="eastAsia" w:ascii="宋体" w:hAnsi="宋体" w:eastAsia="宋体"/>
          <w:sz w:val="24"/>
        </w:rPr>
        <w:t>报告分为紧急报告和详细汇报。紧急报告是指相应部门在事件发生后，立即向本部详细汇报是指由相应部门应急处理机构在事件处理暂告一段落后，以书面形式提交的详细报告。</w:t>
      </w:r>
    </w:p>
    <w:p w14:paraId="749A0FAA">
      <w:pPr>
        <w:pStyle w:val="19"/>
        <w:ind w:firstLine="480"/>
        <w:rPr>
          <w:rFonts w:hint="eastAsia" w:ascii="宋体" w:hAnsi="宋体" w:eastAsia="宋体"/>
          <w:sz w:val="24"/>
        </w:rPr>
      </w:pPr>
      <w:r>
        <w:rPr>
          <w:rFonts w:hint="eastAsia" w:ascii="宋体" w:hAnsi="宋体" w:eastAsia="宋体"/>
          <w:sz w:val="24"/>
        </w:rPr>
        <w:t>应急指挥小组对各类事件的影响进行初步判断，汇报矩阵如下：</w:t>
      </w:r>
    </w:p>
    <w:tbl>
      <w:tblPr>
        <w:tblStyle w:val="17"/>
        <w:tblW w:w="4998" w:type="pct"/>
        <w:jc w:val="center"/>
        <w:tblLayout w:type="autofit"/>
        <w:tblCellMar>
          <w:top w:w="0" w:type="dxa"/>
          <w:left w:w="108" w:type="dxa"/>
          <w:bottom w:w="0" w:type="dxa"/>
          <w:right w:w="108" w:type="dxa"/>
        </w:tblCellMar>
      </w:tblPr>
      <w:tblGrid>
        <w:gridCol w:w="2654"/>
        <w:gridCol w:w="3005"/>
        <w:gridCol w:w="2860"/>
      </w:tblGrid>
      <w:tr w14:paraId="4FA4EC86">
        <w:tblPrEx>
          <w:tblCellMar>
            <w:top w:w="0" w:type="dxa"/>
            <w:left w:w="108" w:type="dxa"/>
            <w:bottom w:w="0" w:type="dxa"/>
            <w:right w:w="108" w:type="dxa"/>
          </w:tblCellMar>
        </w:tblPrEx>
        <w:trPr>
          <w:trHeight w:val="624" w:hRule="atLeast"/>
          <w:tblHeader/>
          <w:jc w:val="center"/>
        </w:trPr>
        <w:tc>
          <w:tcPr>
            <w:tcW w:w="1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7DD8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事件级别</w:t>
            </w:r>
          </w:p>
        </w:tc>
        <w:tc>
          <w:tcPr>
            <w:tcW w:w="1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A45C2">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报告事件要求</w:t>
            </w:r>
          </w:p>
        </w:tc>
        <w:tc>
          <w:tcPr>
            <w:tcW w:w="1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E26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报告对象</w:t>
            </w:r>
          </w:p>
        </w:tc>
      </w:tr>
      <w:tr w14:paraId="71BE2194">
        <w:tblPrEx>
          <w:tblCellMar>
            <w:top w:w="0" w:type="dxa"/>
            <w:left w:w="108" w:type="dxa"/>
            <w:bottom w:w="0" w:type="dxa"/>
            <w:right w:w="108" w:type="dxa"/>
          </w:tblCellMar>
        </w:tblPrEx>
        <w:trPr>
          <w:trHeight w:val="454" w:hRule="atLeast"/>
          <w:jc w:val="center"/>
        </w:trPr>
        <w:tc>
          <w:tcPr>
            <w:tcW w:w="1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2BFBA">
            <w:pPr>
              <w:widowControl/>
              <w:jc w:val="center"/>
              <w:rPr>
                <w:rFonts w:hint="eastAsia" w:ascii="宋体" w:hAnsi="宋体" w:eastAsia="宋体" w:cs="宋体"/>
                <w:color w:val="000000"/>
                <w:sz w:val="24"/>
              </w:rPr>
            </w:pPr>
            <w:r>
              <w:rPr>
                <w:rFonts w:hint="eastAsia" w:ascii="宋体" w:hAnsi="宋体" w:eastAsia="宋体" w:cs="宋体"/>
                <w:sz w:val="24"/>
              </w:rPr>
              <w:t>I</w:t>
            </w:r>
          </w:p>
        </w:tc>
        <w:tc>
          <w:tcPr>
            <w:tcW w:w="1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1FD6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10分钟内</w:t>
            </w:r>
          </w:p>
        </w:tc>
        <w:tc>
          <w:tcPr>
            <w:tcW w:w="1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2AF5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总负责人</w:t>
            </w:r>
          </w:p>
        </w:tc>
      </w:tr>
      <w:tr w14:paraId="6D78327C">
        <w:tblPrEx>
          <w:tblCellMar>
            <w:top w:w="0" w:type="dxa"/>
            <w:left w:w="108" w:type="dxa"/>
            <w:bottom w:w="0" w:type="dxa"/>
            <w:right w:w="108" w:type="dxa"/>
          </w:tblCellMar>
        </w:tblPrEx>
        <w:trPr>
          <w:trHeight w:val="454" w:hRule="atLeast"/>
          <w:jc w:val="center"/>
        </w:trPr>
        <w:tc>
          <w:tcPr>
            <w:tcW w:w="1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1DB5">
            <w:pPr>
              <w:widowControl/>
              <w:jc w:val="center"/>
              <w:rPr>
                <w:rFonts w:hint="eastAsia" w:ascii="宋体" w:hAnsi="宋体" w:eastAsia="宋体" w:cs="宋体"/>
                <w:color w:val="000000"/>
                <w:sz w:val="24"/>
              </w:rPr>
            </w:pPr>
            <w:r>
              <w:rPr>
                <w:rFonts w:hint="eastAsia" w:ascii="宋体" w:hAnsi="宋体" w:eastAsia="宋体" w:cs="宋体"/>
                <w:sz w:val="24"/>
              </w:rPr>
              <w:t>Ⅱ</w:t>
            </w:r>
          </w:p>
        </w:tc>
        <w:tc>
          <w:tcPr>
            <w:tcW w:w="1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74C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30分钟内</w:t>
            </w:r>
          </w:p>
        </w:tc>
        <w:tc>
          <w:tcPr>
            <w:tcW w:w="1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0EAA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总负责人</w:t>
            </w:r>
          </w:p>
        </w:tc>
      </w:tr>
      <w:tr w14:paraId="1F949581">
        <w:tblPrEx>
          <w:tblCellMar>
            <w:top w:w="0" w:type="dxa"/>
            <w:left w:w="108" w:type="dxa"/>
            <w:bottom w:w="0" w:type="dxa"/>
            <w:right w:w="108" w:type="dxa"/>
          </w:tblCellMar>
        </w:tblPrEx>
        <w:trPr>
          <w:trHeight w:val="454" w:hRule="atLeast"/>
          <w:jc w:val="center"/>
        </w:trPr>
        <w:tc>
          <w:tcPr>
            <w:tcW w:w="1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5A314">
            <w:pPr>
              <w:widowControl/>
              <w:jc w:val="center"/>
              <w:rPr>
                <w:rFonts w:hint="eastAsia" w:ascii="宋体" w:hAnsi="宋体" w:eastAsia="宋体" w:cs="宋体"/>
                <w:color w:val="000000"/>
                <w:sz w:val="24"/>
              </w:rPr>
            </w:pPr>
            <w:r>
              <w:rPr>
                <w:rFonts w:hint="eastAsia" w:ascii="宋体" w:hAnsi="宋体" w:eastAsia="宋体" w:cs="宋体"/>
                <w:sz w:val="24"/>
              </w:rPr>
              <w:t>Ⅲ</w:t>
            </w:r>
          </w:p>
        </w:tc>
        <w:tc>
          <w:tcPr>
            <w:tcW w:w="1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DFCA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60分钟内</w:t>
            </w:r>
          </w:p>
        </w:tc>
        <w:tc>
          <w:tcPr>
            <w:tcW w:w="1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4F1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总负责人</w:t>
            </w:r>
          </w:p>
        </w:tc>
      </w:tr>
      <w:bookmarkEnd w:id="310"/>
    </w:tbl>
    <w:p w14:paraId="22382F69">
      <w:pPr>
        <w:pStyle w:val="26"/>
        <w:numPr>
          <w:ilvl w:val="0"/>
          <w:numId w:val="11"/>
        </w:numPr>
        <w:outlineLvl w:val="2"/>
        <w:rPr>
          <w:rFonts w:ascii="宋体" w:hAnsi="宋体" w:eastAsia="宋体" w:cs="宋体"/>
          <w:b/>
          <w:sz w:val="24"/>
          <w:szCs w:val="24"/>
        </w:rPr>
      </w:pPr>
      <w:r>
        <w:rPr>
          <w:rFonts w:ascii="宋体" w:hAnsi="宋体" w:eastAsia="宋体" w:cs="宋体"/>
          <w:b/>
          <w:sz w:val="24"/>
          <w:szCs w:val="24"/>
        </w:rPr>
        <w:t>技术和服务要求（以“</w:t>
      </w:r>
      <w:r>
        <w:rPr>
          <w:rFonts w:ascii="宋体" w:hAnsi="宋体" w:eastAsia="宋体" w:cs="宋体"/>
          <w:b/>
          <w:sz w:val="24"/>
          <w:szCs w:val="24"/>
          <w:lang w:eastAsia="zh-CN"/>
        </w:rPr>
        <w:t>★</w:t>
      </w:r>
      <w:r>
        <w:rPr>
          <w:rFonts w:ascii="宋体" w:hAnsi="宋体" w:eastAsia="宋体" w:cs="宋体"/>
          <w:b/>
          <w:sz w:val="24"/>
          <w:szCs w:val="24"/>
        </w:rPr>
        <w:t>”标示的内容为不允许负偏离的实质性要求）</w:t>
      </w:r>
    </w:p>
    <w:tbl>
      <w:tblPr>
        <w:tblStyle w:val="17"/>
        <w:tblW w:w="5100" w:type="pct"/>
        <w:tblInd w:w="0" w:type="dxa"/>
        <w:tblLayout w:type="fixed"/>
        <w:tblCellMar>
          <w:top w:w="0" w:type="dxa"/>
          <w:left w:w="108" w:type="dxa"/>
          <w:bottom w:w="0" w:type="dxa"/>
          <w:right w:w="108" w:type="dxa"/>
        </w:tblCellMar>
      </w:tblPr>
      <w:tblGrid>
        <w:gridCol w:w="924"/>
        <w:gridCol w:w="1613"/>
        <w:gridCol w:w="3364"/>
        <w:gridCol w:w="1019"/>
        <w:gridCol w:w="840"/>
        <w:gridCol w:w="932"/>
      </w:tblGrid>
      <w:tr w14:paraId="57C3215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F95CD">
            <w:pPr>
              <w:widowControl/>
              <w:jc w:val="center"/>
              <w:textAlignment w:val="center"/>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bidi="ar"/>
              </w:rPr>
              <w:t>序号</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2BE54">
            <w:pPr>
              <w:widowControl/>
              <w:jc w:val="center"/>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bidi="ar"/>
              </w:rPr>
              <w:t>名称</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C62BA">
            <w:pPr>
              <w:widowControl/>
              <w:jc w:val="center"/>
              <w:rPr>
                <w:rFonts w:hint="eastAsia" w:ascii="宋体" w:hAnsi="宋体" w:eastAsia="宋体" w:cs="宋体"/>
                <w:b/>
                <w:bCs/>
                <w:color w:val="000000"/>
                <w:kern w:val="0"/>
                <w:sz w:val="24"/>
                <w:lang w:bidi="ar"/>
              </w:rPr>
            </w:pPr>
            <w:r>
              <w:rPr>
                <w:rFonts w:ascii="Times New Roman" w:hAnsi="Times New Roman" w:eastAsia="宋体" w:cs="Times New Roman"/>
                <w:b/>
                <w:bCs/>
                <w:color w:val="000000"/>
                <w:kern w:val="0"/>
                <w:szCs w:val="21"/>
                <w:lang w:bidi="ar"/>
              </w:rPr>
              <w:t>技术参数</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4349D">
            <w:pPr>
              <w:widowControl/>
              <w:rPr>
                <w:rFonts w:hint="eastAsia" w:ascii="宋体" w:hAnsi="宋体" w:eastAsia="宋体" w:cs="宋体"/>
                <w:b/>
                <w:bCs/>
                <w:color w:val="000000"/>
                <w:kern w:val="0"/>
                <w:sz w:val="24"/>
                <w:lang w:bidi="ar"/>
              </w:rPr>
            </w:pPr>
            <w:r>
              <w:rPr>
                <w:rFonts w:ascii="Times New Roman" w:hAnsi="Times New Roman" w:eastAsia="宋体" w:cs="Times New Roman"/>
                <w:b/>
                <w:bCs/>
                <w:color w:val="000000"/>
                <w:kern w:val="0"/>
                <w:szCs w:val="21"/>
                <w:lang w:bidi="ar"/>
              </w:rPr>
              <w:t>单位</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349F8">
            <w:pPr>
              <w:widowControl/>
              <w:rPr>
                <w:rFonts w:hint="eastAsia" w:ascii="宋体" w:hAnsi="宋体" w:eastAsia="宋体" w:cs="宋体"/>
                <w:b/>
                <w:bCs/>
                <w:color w:val="000000"/>
                <w:kern w:val="0"/>
                <w:sz w:val="24"/>
                <w:lang w:bidi="ar"/>
              </w:rPr>
            </w:pPr>
            <w:r>
              <w:rPr>
                <w:rFonts w:ascii="Times New Roman" w:hAnsi="Times New Roman" w:eastAsia="宋体" w:cs="Times New Roman"/>
                <w:b/>
                <w:bCs/>
                <w:color w:val="000000"/>
                <w:kern w:val="0"/>
                <w:szCs w:val="21"/>
                <w:lang w:bidi="ar"/>
              </w:rPr>
              <w:t>数量</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98E40">
            <w:pPr>
              <w:widowControl/>
              <w:jc w:val="center"/>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bidi="ar"/>
              </w:rPr>
              <w:t>备注</w:t>
            </w:r>
          </w:p>
        </w:tc>
      </w:tr>
      <w:tr w14:paraId="58D0FE1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E1C3">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一</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9EDEAA">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基础支撑系统</w:t>
            </w:r>
          </w:p>
        </w:tc>
      </w:tr>
      <w:tr w14:paraId="003F6FC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0AC7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（一）</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D64C71">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网络及综合布线系统</w:t>
            </w:r>
          </w:p>
        </w:tc>
      </w:tr>
      <w:tr w14:paraId="1461CFD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F1DC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120A">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法院专网</w:t>
            </w:r>
          </w:p>
        </w:tc>
      </w:tr>
      <w:tr w14:paraId="74E59D5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F4C8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71C8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核心交换机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E1FD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1.交换容量≥38Tbps，包转发率≥7200Mpps。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2.主控引擎与业务板卡完全物理分离， 采用全分布式转发处理架构，独立主控引擎插槽≥2个，独立业务插槽数≥3个；主控引擎故障情况下，不能影响整机转发能力。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3.设备高度≤4U，设备深度≤600mm。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4.支持1+1冗余的硬件监控系统，可以集中监控板卡、风扇、电源、环境等状态参数。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5.设备支持硬件健康状态可视化，可以对风扇状态、电源、温度、板载电压进行监控，尤其是在日常巡查中发现电压异常前兆，可及时处理，避免出现电压异常宕机。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6.N:1虚拟化：可将2台物理设备虚拟化为1台逻辑设备，虚拟组内设备具备统一的二层及三层转发表项，统一的管理界面，并可实现跨设备链路聚合。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7.支持IEEE 802.1d（STP）、 802.1w（RSTP）、 802.1s（MSTP），支持端口聚合，支持一对一镜像、多对一镜像、一对多镜像，支持流镜像，支持SPAN、RSPAN远程镜像。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8.支持静态路由、RIP、RIPng、OSPF、OSPFv3、BGP、BGP4+、ISIS、ISISv6，支持路由协议多实例，支持GR for OSPF/IS-IS/BGP，支持策略路由。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9.支持IGMPv1/v2/v3、IGMP Snooping 、PIM DM、PIM SM、PIM SSM；支持组播流量控制、支持组播查询器。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10.支持IPv6过渡技术，IPv4/IPv6双栈、6over4隧道、4 over6隧道；支持IPv6 DHCP SERVER、IPv6 DHCP Relay、DHCP Snooping。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11.支持专门针对CPU保护机制的功能，可将送CPU的报文，如ARP报文的速率进行限制，使CPU的使用率降低到10%以内，保障了CPU安全。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12.支持基础安全保护策略 ，可实现ARP等各种攻击的自动防御，保护系统各种服务的正常运行。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14.支持SNMP v1/v2c/v3、Telnet、RMON、SSH；支持通过命令行、中文图形化配置软件等方式进行配置和管理。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15.支持并实配双引擎、双电源，配置≥24端口千兆以太网光口（SFP，LC），≥12端口千兆以太网电口复用（RJ45），≥4端口万兆以太网光口（SFP+，LC）。</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848C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DEE9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7C677">
            <w:pPr>
              <w:widowControl/>
              <w:jc w:val="center"/>
              <w:rPr>
                <w:rFonts w:hint="eastAsia" w:ascii="宋体" w:hAnsi="宋体" w:eastAsia="宋体" w:cs="宋体"/>
                <w:color w:val="000000"/>
                <w:sz w:val="24"/>
              </w:rPr>
            </w:pPr>
            <w:r>
              <w:rPr>
                <w:rFonts w:hint="eastAsia" w:ascii="宋体" w:hAnsi="宋体" w:eastAsia="宋体" w:cs="宋体"/>
                <w:color w:val="000000"/>
                <w:sz w:val="24"/>
              </w:rPr>
              <w:t>核心产品</w:t>
            </w:r>
          </w:p>
        </w:tc>
      </w:tr>
      <w:tr w14:paraId="7449D76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30CB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AD1B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汇聚交换机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C5D8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1.交换容量≥672Gbps；转发性能≥228Mpps。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2.固化100/1000M SFP光接口≥24，10G/1G SFP+光接口≥4个。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3.支持并实配可拔插双模块化电源，单电源功率≥70W，实现1+1冗余。配置两个万兆多模光模块。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5.要求所投产品端口浪涌抗扰度≥10KV，即具备10KV的防雷能力。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6.支持静态路由、RIP/RIPng、OSPFv2/OSPFv3等三层路由协议。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7.支持CPU保护功能，能限制非法报文对CPU的攻击，保护交换机在各种环境下稳定工作。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8.支持专门基础网络保护机制，能够限制用户向网络中发送数据包的速率，对有攻击行为的用户进行隔离，保证设备和整网的安全稳定运行。</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BF9A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542B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AE5D">
            <w:pPr>
              <w:widowControl/>
              <w:rPr>
                <w:rFonts w:hint="eastAsia" w:ascii="宋体" w:hAnsi="宋体" w:eastAsia="宋体" w:cs="宋体"/>
                <w:color w:val="800080"/>
                <w:sz w:val="24"/>
                <w:u w:val="single"/>
              </w:rPr>
            </w:pPr>
          </w:p>
        </w:tc>
      </w:tr>
      <w:tr w14:paraId="7E690CB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D43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3424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接入交换机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2DCB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1.交换容量≥432G、包转发率≥87Mpps。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2.固化10/100/1000M以太网端口≥48，固化1G SFP光接口≥4个；整机最大可用千兆口≥52。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4.要求所投设备MAC地址≥16K。</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6.支持IPV4/IPV6静态路由，RIP、RIPng。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8.设备自带云管理功能，即插即用，可随时查看网络健康度，告警及时推送，有日记事件供回溯。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A051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1139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8C34C">
            <w:pPr>
              <w:widowControl/>
              <w:rPr>
                <w:rFonts w:hint="eastAsia" w:ascii="宋体" w:hAnsi="宋体" w:eastAsia="宋体" w:cs="宋体"/>
                <w:color w:val="0000FF"/>
                <w:sz w:val="24"/>
                <w:u w:val="single"/>
              </w:rPr>
            </w:pPr>
          </w:p>
        </w:tc>
      </w:tr>
      <w:tr w14:paraId="5F7607A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3EC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6E78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接入交换机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C14D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1.交换容量≥336G、包转发率≥51Mpps。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2.固化10/100/1000M以太网端口≥24个，固化1G SFP光接口≥4个。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4.要求所投设备MAC地址≥16K。</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6.支持IPV4/IPV6静态路由，RIP、RIPng。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8.设备自带云管理功能，即插即用，可随时查看网络健康度，告警及时推送，有日记事件供回溯。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8087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9BC5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9FEF0">
            <w:pPr>
              <w:widowControl/>
              <w:rPr>
                <w:rFonts w:hint="eastAsia" w:ascii="宋体" w:hAnsi="宋体" w:eastAsia="宋体" w:cs="宋体"/>
                <w:color w:val="0000FF"/>
                <w:sz w:val="24"/>
                <w:u w:val="single"/>
              </w:rPr>
            </w:pPr>
          </w:p>
        </w:tc>
      </w:tr>
      <w:tr w14:paraId="29FA10F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0F3B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300C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千兆光模块</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1ED2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1000BASE-LX mini GBIC转换模块（1310nm）。</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475D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9B68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C8228">
            <w:pPr>
              <w:widowControl/>
              <w:rPr>
                <w:rFonts w:hint="eastAsia" w:ascii="宋体" w:hAnsi="宋体" w:eastAsia="宋体" w:cs="宋体"/>
                <w:color w:val="0000FF"/>
                <w:sz w:val="24"/>
                <w:u w:val="single"/>
              </w:rPr>
            </w:pPr>
          </w:p>
        </w:tc>
      </w:tr>
      <w:tr w14:paraId="600CDBC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FAA3">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4408A">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互联网</w:t>
            </w:r>
          </w:p>
        </w:tc>
      </w:tr>
      <w:tr w14:paraId="725CBF9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74AF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4978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核心交换机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560F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1.交换容量≥38Tbps，包转发率≥7200Mpps。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2.主控引擎与业务板卡完全物理分离， 采用全分布式转发处理架构，独立主控引擎插槽≥2个，独立业务插槽数≥3个；主控引擎故障情况下，不能影响整机转发能力。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3.设备高度≤4U，设备深度≤600mm。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4.支持1+1冗余的硬件监控系统，可以集中监控板卡、风扇、电源、环境等状态参数。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5.设备支持硬件健康状态可视化，可以对风扇状态、电源、温度、板载电压进行监控，尤其是在日常巡查中发现电压异常前兆，可及时处理，避免出现电压异常宕机。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6.N:1虚拟化：可将2台物理设备虚拟化为1台逻辑设备，虚拟组内设备具备统一的二层及三层转发表项，统一的管理界面，并可实现跨设备链路聚合；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7.支持IEEE 802.1d（STP）、 802.1w（RSTP）、 802.1s（MSTP），支持端口聚合，支持一对一镜像、多对一镜像、一对多镜像，支持流镜像，支持SPAN、RSPAN远程镜像。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8.支持静态路由、RIP、RIPng、OSPF、OSPFv3、BGP、BGP4+、ISIS、ISISv6，支持路由协议多实例，支持GR for OSPF/IS-IS/BGP，支持策略路由。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9.支持IGMPv1/v2/v3、IGMP Snooping 、PIM DM、PIM SM、PIM SSM；支持组播流量控制、支持组播查询器。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10.支持IPv6过渡技术，IPv4/IPv6双栈、6over4隧道、4 over6隧道；支持IPv6 DHCP SERVER、IPv6 DHCP Relay、DHCP Snooping。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11.支持专门针对CPU保护机制的功能，可将送CPU的报文，如ARP报文的速率进行限制，使CPU的使用率降低到10%以内，保障了CPU安全。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12.支持基础安全保护策略 ，可实现ARP等各种攻击的自动防御，保护系统各种服务的正常运行。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14.支持SNMP v1/v2c/v3、Telnet、RMON、SSH；支持通过命令行、中文图形化配置软件等方式进行配置和管理。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15.支持并实配双引擎、双电源，配置≥24端口千兆以太网光口（SFP，LC），≥12端口千兆以太网电口复用（RJ45），≥4端口万兆以太网光口（SFP+，LC）。</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6D96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EF1D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00857">
            <w:pPr>
              <w:widowControl/>
              <w:jc w:val="center"/>
              <w:rPr>
                <w:rFonts w:hint="eastAsia" w:ascii="宋体" w:hAnsi="宋体" w:eastAsia="宋体" w:cs="宋体"/>
                <w:color w:val="000000"/>
                <w:sz w:val="24"/>
              </w:rPr>
            </w:pPr>
            <w:r>
              <w:rPr>
                <w:rFonts w:hint="eastAsia" w:ascii="宋体" w:hAnsi="宋体" w:eastAsia="宋体" w:cs="宋体"/>
                <w:color w:val="000000"/>
                <w:sz w:val="24"/>
              </w:rPr>
              <w:t>核心产品</w:t>
            </w:r>
          </w:p>
        </w:tc>
      </w:tr>
      <w:tr w14:paraId="0C49294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F7A8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C18A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汇聚交换机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AC4D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1.交换容量≥672Gbps；转发性能≥228Mpps。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2.固化100/1000M SFP光接口≥24，10G/1G SFP+光接口≥4个。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3.支持并实配可拔插双模块化电源，单电源功率≥70W，实现1+1冗余。配置两个万兆多模光模块。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5.要求所投产品端口浪涌抗扰度≥10KV，即具备10KV的防雷能力。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6.支持静态路由、RIP/RIPng、OSPFv2/OSPFv3等三层路由协议。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7.支持CPU保护功能，能限制非法报文对CPU的攻击，保护交换机在各种环境下稳定工作。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8.支持专门基础网络保护机制，能够限制用户向网络中发送数据包的速率，对有攻击行为的用户进行隔离，保证设备和整网的安全稳定运行。</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F385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1243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73E2D">
            <w:pPr>
              <w:widowControl/>
              <w:rPr>
                <w:rFonts w:hint="eastAsia" w:ascii="宋体" w:hAnsi="宋体" w:eastAsia="宋体" w:cs="宋体"/>
                <w:color w:val="000000"/>
                <w:sz w:val="24"/>
              </w:rPr>
            </w:pPr>
          </w:p>
        </w:tc>
      </w:tr>
      <w:tr w14:paraId="1FF1477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155F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BE86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接入交换机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EB09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1.交换容量≥432G、包转发率≥87Mpps。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2.固化10/100/1000M以太网端口≥48，固化1G SFP光接口≥4个；整机最大可用千兆口≥52。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4.要求所投设备MAC地址≥16K。</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6.支持IPV4/IPV6静态路由，RIP、RIPng。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8.设备自带云管理功能，即插即用，可随时查看网络健康度，告警及时推送，有日记事件供回溯。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AA65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D3F7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961FE">
            <w:pPr>
              <w:widowControl/>
              <w:rPr>
                <w:rFonts w:hint="eastAsia" w:ascii="宋体" w:hAnsi="宋体" w:eastAsia="宋体" w:cs="宋体"/>
                <w:color w:val="000000"/>
                <w:sz w:val="24"/>
              </w:rPr>
            </w:pPr>
          </w:p>
        </w:tc>
      </w:tr>
      <w:tr w14:paraId="41BE249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01D5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25C6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接入交换机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FFEC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1.交换容量≥336G、包转发率≥51Mpps。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2.固化10/100/1000M以太网端口≥24个，固化1G SFP光接口≥4个。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4.要求所投设备MAC地址≥16K。</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6.支持IPV4/IPV6静态路由，RIP、RIPng。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8.设备自带云管理功能，即插即用，可随时查看网络健康度，告警及时推送，有日记事件供回溯。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D57C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D5E7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ACCD">
            <w:pPr>
              <w:widowControl/>
              <w:rPr>
                <w:rFonts w:hint="eastAsia" w:ascii="宋体" w:hAnsi="宋体" w:eastAsia="宋体" w:cs="宋体"/>
                <w:color w:val="000000"/>
                <w:sz w:val="24"/>
              </w:rPr>
            </w:pPr>
          </w:p>
        </w:tc>
      </w:tr>
      <w:tr w14:paraId="63B4623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D9E5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FB33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千兆光模块</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B0F6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1000BASE-LX mini GBIC转换模块（1310nm）。</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A0AA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8743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FA5B1">
            <w:pPr>
              <w:widowControl/>
              <w:rPr>
                <w:rFonts w:hint="eastAsia" w:ascii="宋体" w:hAnsi="宋体" w:eastAsia="宋体" w:cs="宋体"/>
                <w:b/>
                <w:bCs/>
                <w:color w:val="000000"/>
                <w:sz w:val="24"/>
              </w:rPr>
            </w:pPr>
          </w:p>
        </w:tc>
      </w:tr>
      <w:tr w14:paraId="1700C96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9065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50515">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线材及辅材</w:t>
            </w:r>
          </w:p>
        </w:tc>
      </w:tr>
      <w:tr w14:paraId="6194D07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C296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DF15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六类双绞线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19AE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六类网线、非屏蔽纯铜线千兆网线箱线灰色305米。</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FB3F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882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25572">
            <w:pPr>
              <w:widowControl/>
              <w:rPr>
                <w:rFonts w:hint="eastAsia" w:ascii="宋体" w:hAnsi="宋体" w:eastAsia="宋体" w:cs="宋体"/>
                <w:color w:val="0000FF"/>
                <w:sz w:val="24"/>
                <w:u w:val="single"/>
              </w:rPr>
            </w:pPr>
          </w:p>
        </w:tc>
      </w:tr>
      <w:tr w14:paraId="321B386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EBEE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E4A9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单口面板</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0057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单口面板+超六类模块1个。</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00D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145E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341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36F23">
            <w:pPr>
              <w:widowControl/>
              <w:rPr>
                <w:rFonts w:hint="eastAsia" w:ascii="宋体" w:hAnsi="宋体" w:eastAsia="宋体" w:cs="宋体"/>
                <w:color w:val="000000"/>
                <w:sz w:val="24"/>
              </w:rPr>
            </w:pPr>
          </w:p>
        </w:tc>
      </w:tr>
      <w:tr w14:paraId="2E8E779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EB09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9520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24口配线架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D4AE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24口6类非屏蔽配线架。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EA69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A4E5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D3F9F">
            <w:pPr>
              <w:widowControl/>
              <w:rPr>
                <w:rFonts w:hint="eastAsia" w:ascii="宋体" w:hAnsi="宋体" w:eastAsia="宋体" w:cs="宋体"/>
                <w:color w:val="0000FF"/>
                <w:sz w:val="24"/>
                <w:u w:val="single"/>
              </w:rPr>
            </w:pPr>
          </w:p>
        </w:tc>
      </w:tr>
      <w:tr w14:paraId="7F8021C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E20D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DAEB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48口配线架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3A20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48口6类非屏蔽配线架。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CC03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5C7C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D1A8B">
            <w:pPr>
              <w:widowControl/>
              <w:rPr>
                <w:rFonts w:hint="eastAsia" w:ascii="宋体" w:hAnsi="宋体" w:eastAsia="宋体" w:cs="宋体"/>
                <w:color w:val="0000FF"/>
                <w:sz w:val="24"/>
                <w:u w:val="single"/>
              </w:rPr>
            </w:pPr>
          </w:p>
        </w:tc>
      </w:tr>
      <w:tr w14:paraId="2BA12E2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F27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14A6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理线器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FE11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铝合金理线架。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A94A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6BDF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7B3A">
            <w:pPr>
              <w:widowControl/>
              <w:rPr>
                <w:rFonts w:hint="eastAsia" w:ascii="宋体" w:hAnsi="宋体" w:eastAsia="宋体" w:cs="宋体"/>
                <w:color w:val="000000"/>
                <w:sz w:val="24"/>
              </w:rPr>
            </w:pPr>
          </w:p>
        </w:tc>
      </w:tr>
      <w:tr w14:paraId="6BEBC79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4259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418F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光纤配线架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F355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12口机架式光纤配线架。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D3FF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CA56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27C0">
            <w:pPr>
              <w:widowControl/>
              <w:rPr>
                <w:rFonts w:hint="eastAsia" w:ascii="宋体" w:hAnsi="宋体" w:eastAsia="宋体" w:cs="宋体"/>
                <w:color w:val="000000"/>
                <w:sz w:val="24"/>
              </w:rPr>
            </w:pPr>
          </w:p>
        </w:tc>
      </w:tr>
      <w:tr w14:paraId="48A5E5A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4D9B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08CF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超六类网线跳线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C602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六类网线、非屏蔽纯铜线千兆网线（2米）。</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2A1F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D92F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341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298D">
            <w:pPr>
              <w:widowControl/>
              <w:rPr>
                <w:rFonts w:hint="eastAsia" w:ascii="宋体" w:hAnsi="宋体" w:eastAsia="宋体" w:cs="宋体"/>
                <w:color w:val="0000FF"/>
                <w:sz w:val="24"/>
                <w:u w:val="single"/>
              </w:rPr>
            </w:pPr>
          </w:p>
        </w:tc>
      </w:tr>
      <w:tr w14:paraId="154827F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2DC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E4F3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12芯光纤</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29B1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室外铠装12芯单模光纤。</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5C47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DBDC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900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73565">
            <w:pPr>
              <w:widowControl/>
              <w:rPr>
                <w:rFonts w:hint="eastAsia" w:ascii="宋体" w:hAnsi="宋体" w:eastAsia="宋体" w:cs="宋体"/>
                <w:color w:val="0000FF"/>
                <w:sz w:val="24"/>
                <w:u w:val="single"/>
              </w:rPr>
            </w:pPr>
          </w:p>
        </w:tc>
      </w:tr>
      <w:tr w14:paraId="4DC7C57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18FB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30B5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光纤跳线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5DFD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陶瓷插芯，单模双芯。</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A1F6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30DB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18C15">
            <w:pPr>
              <w:widowControl/>
              <w:rPr>
                <w:rFonts w:hint="eastAsia" w:ascii="宋体" w:hAnsi="宋体" w:eastAsia="宋体" w:cs="宋体"/>
                <w:color w:val="000000"/>
                <w:sz w:val="24"/>
              </w:rPr>
            </w:pPr>
          </w:p>
        </w:tc>
      </w:tr>
      <w:tr w14:paraId="280E9ED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424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1DA3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楼层机柜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E295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 xml:space="preserve">12U，600*600*637标准网络机柜；1个PDU；含机柜底座支架。 </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46D2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D6C9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C498D">
            <w:pPr>
              <w:widowControl/>
              <w:rPr>
                <w:rFonts w:hint="eastAsia" w:ascii="宋体" w:hAnsi="宋体" w:eastAsia="宋体" w:cs="宋体"/>
                <w:b/>
                <w:bCs/>
                <w:color w:val="000000"/>
                <w:sz w:val="24"/>
              </w:rPr>
            </w:pPr>
          </w:p>
        </w:tc>
      </w:tr>
      <w:tr w14:paraId="67C3D30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1227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（二）</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4AA3D">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信息机房</w:t>
            </w:r>
          </w:p>
        </w:tc>
      </w:tr>
      <w:tr w14:paraId="50B78F1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3B0D2">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35D19">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装饰装修工程</w:t>
            </w:r>
          </w:p>
        </w:tc>
      </w:tr>
      <w:tr w14:paraId="1648DAB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9BE9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0D6F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全钢静电通风地板</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4434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600*600*35mm。</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5204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平方米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433C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7B3D">
            <w:pPr>
              <w:widowControl/>
              <w:rPr>
                <w:rFonts w:hint="eastAsia" w:ascii="宋体" w:hAnsi="宋体" w:eastAsia="宋体" w:cs="宋体"/>
                <w:color w:val="000000"/>
                <w:sz w:val="24"/>
              </w:rPr>
            </w:pPr>
          </w:p>
        </w:tc>
      </w:tr>
      <w:tr w14:paraId="4E47DD6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B1BD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8930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金属桥架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E222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200*100*1.2mm。</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20AF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C627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9CE30">
            <w:pPr>
              <w:widowControl/>
              <w:rPr>
                <w:rFonts w:hint="eastAsia" w:ascii="宋体" w:hAnsi="宋体" w:eastAsia="宋体" w:cs="宋体"/>
                <w:color w:val="000000"/>
                <w:sz w:val="24"/>
              </w:rPr>
            </w:pPr>
          </w:p>
        </w:tc>
      </w:tr>
      <w:tr w14:paraId="5B98CF7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4B93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41564E">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消防工程</w:t>
            </w:r>
          </w:p>
        </w:tc>
      </w:tr>
      <w:tr w14:paraId="3FAF01A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B0B7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4109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气体灭火控制器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DB02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具有火灾探测报警和气体灭火控制双重功能，可配接各种编码火灾探测器、手动报警按钮、紧急启/停按钮、声光警报器、气体喷洒指示灯、手自动转换开关以及输出模块，实现1个防火区的火灾报警和气体灭火控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B713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3AC9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F39F">
            <w:pPr>
              <w:widowControl/>
              <w:rPr>
                <w:rFonts w:hint="eastAsia" w:ascii="宋体" w:hAnsi="宋体" w:eastAsia="宋体" w:cs="宋体"/>
                <w:color w:val="0000FF"/>
                <w:sz w:val="24"/>
                <w:u w:val="single"/>
              </w:rPr>
            </w:pPr>
          </w:p>
        </w:tc>
      </w:tr>
      <w:tr w14:paraId="1305ED1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EB31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A44C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柜式七氟丙烷灭火装置</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CD5E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包括钢瓶、启动装置、柜体、压力开关、喷射短管、单喷嘴。（不含灭火剂，压力2.5MPa）</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658C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8B90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F79F1">
            <w:pPr>
              <w:widowControl/>
              <w:rPr>
                <w:rFonts w:hint="eastAsia" w:ascii="宋体" w:hAnsi="宋体" w:eastAsia="宋体" w:cs="宋体"/>
                <w:color w:val="0000FF"/>
                <w:sz w:val="24"/>
                <w:u w:val="single"/>
              </w:rPr>
            </w:pPr>
          </w:p>
        </w:tc>
      </w:tr>
      <w:tr w14:paraId="16EC821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468D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6B46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七氟丙烷药剂</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3CB6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1.密封性好，具有良好的防泄漏性。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2.洁净环保，具有良好的清洁性，在大气中完全汽化不留残渣。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3.良好的电气绝缘性。</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E1AA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KG</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197B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71F67">
            <w:pPr>
              <w:widowControl/>
              <w:rPr>
                <w:rFonts w:hint="eastAsia" w:ascii="宋体" w:hAnsi="宋体" w:eastAsia="宋体" w:cs="宋体"/>
                <w:color w:val="0000FF"/>
                <w:sz w:val="24"/>
                <w:u w:val="single"/>
              </w:rPr>
            </w:pPr>
          </w:p>
        </w:tc>
      </w:tr>
      <w:tr w14:paraId="0D4C2F5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6A33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1259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机械泄压阀</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AED5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定制金属泄压阀。</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EF46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2BAD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645B0">
            <w:pPr>
              <w:widowControl/>
              <w:rPr>
                <w:rFonts w:hint="eastAsia" w:ascii="宋体" w:hAnsi="宋体" w:eastAsia="宋体" w:cs="宋体"/>
                <w:color w:val="000000"/>
                <w:sz w:val="24"/>
              </w:rPr>
            </w:pPr>
          </w:p>
        </w:tc>
      </w:tr>
      <w:tr w14:paraId="5CA2E8C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754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DCA2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启停按钮</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07F4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1.编码方式：电子编码方式，编码范围可在21~30之间任意设定。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2.常开输出触点：额定值DC60V、0.1A，接触电阻小于等于100M欧姆。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3.启动方式：击碎玻璃罩后，按下“按下喷洒”按键。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4.启动零件类型：重复使用型。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5.“按下喷洒”按键复位方式：用专用钥匙复位。</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F831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5AB8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32D04">
            <w:pPr>
              <w:widowControl/>
              <w:rPr>
                <w:rFonts w:hint="eastAsia" w:ascii="宋体" w:hAnsi="宋体" w:eastAsia="宋体" w:cs="宋体"/>
                <w:color w:val="000000"/>
                <w:sz w:val="24"/>
              </w:rPr>
            </w:pPr>
          </w:p>
        </w:tc>
      </w:tr>
      <w:tr w14:paraId="4ABB9AD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79C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4813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烟雾感应器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DDE3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工作电压：信号总线电压：总线24V   允许范围：16V～28V；工作电流：监视电流≤0.6mA  报警电流≤1.8mA；保护面积：空间高度为6米以下时，保护面积为60平方米；线制：信号二总线无极性。</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1D50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5E4C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7678">
            <w:pPr>
              <w:widowControl/>
              <w:rPr>
                <w:rFonts w:hint="eastAsia" w:ascii="宋体" w:hAnsi="宋体" w:eastAsia="宋体" w:cs="宋体"/>
                <w:color w:val="000000"/>
                <w:sz w:val="24"/>
              </w:rPr>
            </w:pPr>
          </w:p>
        </w:tc>
      </w:tr>
      <w:tr w14:paraId="3A1F97B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A56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6B5E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温度感应器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CB24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工作电压：总线24V，允许范围：16V～28V；工作电流：监视电流≤0.6mA   报警电流≤1.8mA。</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F844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2DD7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8B6C">
            <w:pPr>
              <w:widowControl/>
              <w:rPr>
                <w:rFonts w:hint="eastAsia" w:ascii="宋体" w:hAnsi="宋体" w:eastAsia="宋体" w:cs="宋体"/>
                <w:color w:val="000000"/>
                <w:sz w:val="24"/>
              </w:rPr>
            </w:pPr>
          </w:p>
        </w:tc>
      </w:tr>
      <w:tr w14:paraId="35D06C5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CD78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5DDF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气体释放警报器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0365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闪光频率：每分钟闪亮45正负5次；编码方式：电子编码方式，编码范围可在11~20之间任意设定。</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1DF5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1820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A262">
            <w:pPr>
              <w:widowControl/>
              <w:rPr>
                <w:rFonts w:hint="eastAsia" w:ascii="宋体" w:hAnsi="宋体" w:eastAsia="宋体" w:cs="宋体"/>
                <w:color w:val="000000"/>
                <w:sz w:val="24"/>
              </w:rPr>
            </w:pPr>
          </w:p>
        </w:tc>
      </w:tr>
      <w:tr w14:paraId="250E6A4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C85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7469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声光报警器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BBCE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信号总线电压：24V ，允许范围：16V～28V； 电源总线电压：DC24V   允许范围：DC20V～DC28V。</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C11D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61AA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8A067">
            <w:pPr>
              <w:widowControl/>
              <w:rPr>
                <w:rFonts w:hint="eastAsia" w:ascii="宋体" w:hAnsi="宋体" w:eastAsia="宋体" w:cs="宋体"/>
                <w:color w:val="000000"/>
                <w:sz w:val="24"/>
              </w:rPr>
            </w:pPr>
          </w:p>
        </w:tc>
      </w:tr>
      <w:tr w14:paraId="59433CB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118D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F2B629">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空调工程</w:t>
            </w:r>
          </w:p>
        </w:tc>
      </w:tr>
      <w:tr w14:paraId="059E7B4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D92E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9478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空调</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A45A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3匹变频、快速冷暖、自清洁、空调立式空调柜机。</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432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2E6D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E9E60">
            <w:pPr>
              <w:widowControl/>
              <w:rPr>
                <w:rFonts w:hint="eastAsia" w:ascii="宋体" w:hAnsi="宋体" w:eastAsia="宋体" w:cs="宋体"/>
                <w:color w:val="000000"/>
                <w:sz w:val="24"/>
              </w:rPr>
            </w:pPr>
          </w:p>
        </w:tc>
      </w:tr>
      <w:tr w14:paraId="4B6D968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D1C2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1.4</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25ED712">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供配电工程</w:t>
            </w:r>
          </w:p>
        </w:tc>
      </w:tr>
      <w:tr w14:paraId="214EDBA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4430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B83A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UPS</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5CAE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设备类型：在线式；额定容量：20KVA；功率：18KW；输出/入电压：380V。</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4B1D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857D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F4DF7">
            <w:pPr>
              <w:widowControl/>
              <w:rPr>
                <w:rFonts w:hint="eastAsia" w:ascii="宋体" w:hAnsi="宋体" w:eastAsia="宋体" w:cs="宋体"/>
                <w:color w:val="000000"/>
                <w:sz w:val="24"/>
              </w:rPr>
            </w:pPr>
          </w:p>
        </w:tc>
      </w:tr>
      <w:tr w14:paraId="04C8C42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DE7E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6F01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电池</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4CA3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12V100AH铅酸蓄电池，含连接线缆。</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F6EF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197C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9A701">
            <w:pPr>
              <w:widowControl/>
              <w:rPr>
                <w:rFonts w:hint="eastAsia" w:ascii="宋体" w:hAnsi="宋体" w:eastAsia="宋体" w:cs="宋体"/>
                <w:color w:val="0000FF"/>
                <w:sz w:val="24"/>
                <w:u w:val="single"/>
              </w:rPr>
            </w:pPr>
          </w:p>
        </w:tc>
      </w:tr>
      <w:tr w14:paraId="3FEB844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9F08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C1A4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UPS电池柜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9872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容纳≥16块100ah电池。</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226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C8BD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E5DA7">
            <w:pPr>
              <w:widowControl/>
              <w:rPr>
                <w:rFonts w:hint="eastAsia" w:ascii="宋体" w:hAnsi="宋体" w:eastAsia="宋体" w:cs="宋体"/>
                <w:color w:val="000000"/>
                <w:sz w:val="24"/>
              </w:rPr>
            </w:pPr>
          </w:p>
        </w:tc>
      </w:tr>
      <w:tr w14:paraId="2E71CC7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E122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C0A4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机柜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3665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 xml:space="preserve">42U，600*800*2000标准网络机柜；含2个托盘，2个PDU；含机柜底座支架。                                  </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AE18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A55B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79312">
            <w:pPr>
              <w:widowControl/>
              <w:rPr>
                <w:rFonts w:hint="eastAsia" w:ascii="宋体" w:hAnsi="宋体" w:eastAsia="宋体" w:cs="宋体"/>
                <w:color w:val="000000"/>
                <w:sz w:val="24"/>
              </w:rPr>
            </w:pPr>
          </w:p>
        </w:tc>
      </w:tr>
      <w:tr w14:paraId="601C804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EC50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993C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列头柜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72B4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容量≥50KVA，≥2路125A三相输入，≥2组14路32A输出。</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3676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1DD5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60C8F">
            <w:pPr>
              <w:widowControl/>
              <w:rPr>
                <w:rFonts w:hint="eastAsia" w:ascii="宋体" w:hAnsi="宋体" w:eastAsia="宋体" w:cs="宋体"/>
                <w:color w:val="000000"/>
                <w:sz w:val="24"/>
              </w:rPr>
            </w:pPr>
          </w:p>
        </w:tc>
      </w:tr>
      <w:tr w14:paraId="787995E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1CB5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343C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市电配电箱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B8AA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配置空开，配置输入端子160A≥2个，输出端子125A≥4个、32A≥6个，分市电和UPS配电单元。</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2D0F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7FC8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D4F4">
            <w:pPr>
              <w:widowControl/>
              <w:rPr>
                <w:rFonts w:hint="eastAsia" w:ascii="宋体" w:hAnsi="宋体" w:eastAsia="宋体" w:cs="宋体"/>
                <w:color w:val="000000"/>
                <w:sz w:val="24"/>
              </w:rPr>
            </w:pPr>
          </w:p>
        </w:tc>
      </w:tr>
      <w:tr w14:paraId="1753907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83267">
            <w:pPr>
              <w:widowControl/>
              <w:jc w:val="center"/>
              <w:textAlignment w:val="center"/>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1.5</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D328CE1">
            <w:pPr>
              <w:widowControl/>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防雷接地</w:t>
            </w:r>
          </w:p>
        </w:tc>
      </w:tr>
      <w:tr w14:paraId="1E365CD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B1C3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77B00">
            <w:pPr>
              <w:widowControl/>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紫铜排　</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667D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30*4mm。</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BAAA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FB8C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10694">
            <w:pPr>
              <w:widowControl/>
              <w:rPr>
                <w:rFonts w:hint="eastAsia" w:ascii="宋体" w:hAnsi="宋体" w:eastAsia="宋体" w:cs="宋体"/>
                <w:color w:val="000000"/>
                <w:sz w:val="24"/>
              </w:rPr>
            </w:pPr>
          </w:p>
        </w:tc>
      </w:tr>
      <w:tr w14:paraId="4E981BF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5894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0B12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等电位接地装置箱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8F3C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箱体尺寸400x300 ，含4*40*340mm黄铜排。</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C94C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533D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2C83A">
            <w:pPr>
              <w:widowControl/>
              <w:rPr>
                <w:rFonts w:hint="eastAsia" w:ascii="宋体" w:hAnsi="宋体" w:eastAsia="宋体" w:cs="宋体"/>
                <w:color w:val="000000"/>
                <w:sz w:val="24"/>
              </w:rPr>
            </w:pPr>
          </w:p>
        </w:tc>
      </w:tr>
      <w:tr w14:paraId="50E58F0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64D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6F846">
            <w:pPr>
              <w:widowControl/>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二级电源防雷器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F641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安装在机房配电柜处，最大放电电流80KA。</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02F0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8395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A1BD">
            <w:pPr>
              <w:widowControl/>
              <w:rPr>
                <w:rFonts w:hint="eastAsia" w:ascii="宋体" w:hAnsi="宋体" w:eastAsia="宋体" w:cs="宋体"/>
                <w:color w:val="000000"/>
                <w:sz w:val="24"/>
              </w:rPr>
            </w:pPr>
          </w:p>
        </w:tc>
      </w:tr>
      <w:tr w14:paraId="718CD79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DB2D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235F9">
            <w:pPr>
              <w:widowControl/>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三级电源防雷器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D6BD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安装在UPS进线端，最大放电电流40KA。</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E336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5CCC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DFC81">
            <w:pPr>
              <w:widowControl/>
              <w:rPr>
                <w:rFonts w:hint="eastAsia" w:ascii="宋体" w:hAnsi="宋体" w:eastAsia="宋体" w:cs="宋体"/>
                <w:color w:val="000000"/>
                <w:sz w:val="24"/>
              </w:rPr>
            </w:pPr>
          </w:p>
        </w:tc>
      </w:tr>
      <w:tr w14:paraId="397FB92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8EB38">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二</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A491F1">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综合安防系统</w:t>
            </w:r>
          </w:p>
        </w:tc>
      </w:tr>
      <w:tr w14:paraId="6E1859D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E9E2D">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（一）</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7071B">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视频监控系统</w:t>
            </w:r>
          </w:p>
        </w:tc>
      </w:tr>
      <w:tr w14:paraId="4AE1A0F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C894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CE9A">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综合安防平台</w:t>
            </w:r>
          </w:p>
        </w:tc>
      </w:tr>
      <w:tr w14:paraId="3E42DDD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823D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3538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综合管理平台</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8683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支持系统内的组织、人员、车辆、用户、角色、认证、区域等的配置和管理。</w:t>
            </w: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w:t>
            </w:r>
            <w:r>
              <w:rPr>
                <w:rStyle w:val="27"/>
                <w:rFonts w:hint="eastAsia" w:ascii="宋体" w:hAnsi="宋体" w:eastAsia="宋体" w:cs="宋体"/>
                <w:sz w:val="24"/>
                <w:szCs w:val="24"/>
                <w:lang w:bidi="ar"/>
              </w:rPr>
              <w:t>包含图上监控、事件联动、视频网管、门禁网管、停车场网管、紧急报警、违停球接入等功能。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w:t>
            </w:r>
            <w:r>
              <w:rPr>
                <w:rStyle w:val="27"/>
                <w:rFonts w:hint="eastAsia" w:ascii="宋体" w:hAnsi="宋体" w:eastAsia="宋体" w:cs="宋体"/>
                <w:sz w:val="24"/>
                <w:szCs w:val="24"/>
                <w:lang w:bidi="ar"/>
              </w:rPr>
              <w:t>支持前端编码设备的集中管理。</w:t>
            </w: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w:t>
            </w:r>
            <w:r>
              <w:rPr>
                <w:rStyle w:val="27"/>
                <w:rFonts w:hint="eastAsia" w:ascii="宋体" w:hAnsi="宋体" w:eastAsia="宋体" w:cs="宋体"/>
                <w:sz w:val="24"/>
                <w:szCs w:val="24"/>
                <w:lang w:bidi="ar"/>
              </w:rPr>
              <w:t>支持视频预览、录像回放、图片查看、解码上墙等功能。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w:t>
            </w:r>
            <w:r>
              <w:rPr>
                <w:rStyle w:val="27"/>
                <w:rFonts w:hint="eastAsia" w:ascii="宋体" w:hAnsi="宋体" w:eastAsia="宋体" w:cs="宋体"/>
                <w:sz w:val="24"/>
                <w:szCs w:val="24"/>
                <w:lang w:bidi="ar"/>
              </w:rPr>
              <w:t>支持访客预约、来访记录查询、访客权限管理。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w:t>
            </w:r>
            <w:r>
              <w:rPr>
                <w:rStyle w:val="27"/>
                <w:rFonts w:hint="eastAsia" w:ascii="宋体" w:hAnsi="宋体" w:eastAsia="宋体" w:cs="宋体"/>
                <w:sz w:val="24"/>
                <w:szCs w:val="24"/>
                <w:lang w:bidi="ar"/>
              </w:rPr>
              <w:t>支持入侵报警检测，支持实时报警事件接收和反控。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w:t>
            </w:r>
            <w:r>
              <w:rPr>
                <w:rStyle w:val="27"/>
                <w:rFonts w:hint="eastAsia" w:ascii="宋体" w:hAnsi="宋体" w:eastAsia="宋体" w:cs="宋体"/>
                <w:sz w:val="24"/>
                <w:szCs w:val="24"/>
                <w:lang w:bidi="ar"/>
              </w:rPr>
              <w:t>基于人，物，事件的全方位管控。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w:t>
            </w:r>
            <w:r>
              <w:rPr>
                <w:rStyle w:val="27"/>
                <w:rFonts w:hint="eastAsia" w:ascii="宋体" w:hAnsi="宋体" w:eastAsia="宋体" w:cs="宋体"/>
                <w:sz w:val="24"/>
                <w:szCs w:val="24"/>
                <w:lang w:bidi="ar"/>
              </w:rPr>
              <w:t>围绕安检员的内部精细化管理模式。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w:t>
            </w:r>
            <w:r>
              <w:rPr>
                <w:rStyle w:val="27"/>
                <w:rFonts w:hint="eastAsia" w:ascii="宋体" w:hAnsi="宋体" w:eastAsia="宋体" w:cs="宋体"/>
                <w:sz w:val="24"/>
                <w:szCs w:val="24"/>
                <w:lang w:bidi="ar"/>
              </w:rPr>
              <w:t>下沉到设备元器件的完备的资产管理体系。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w:t>
            </w:r>
            <w:r>
              <w:rPr>
                <w:rStyle w:val="27"/>
                <w:rFonts w:hint="eastAsia" w:ascii="宋体" w:hAnsi="宋体" w:eastAsia="宋体" w:cs="宋体"/>
                <w:sz w:val="24"/>
                <w:szCs w:val="24"/>
                <w:lang w:bidi="ar"/>
              </w:rPr>
              <w:t>标准化的事件管控流程和业务闭环。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w:t>
            </w:r>
            <w:r>
              <w:rPr>
                <w:rStyle w:val="27"/>
                <w:rFonts w:hint="eastAsia" w:ascii="宋体" w:hAnsi="宋体" w:eastAsia="宋体" w:cs="宋体"/>
                <w:sz w:val="24"/>
                <w:szCs w:val="24"/>
                <w:lang w:bidi="ar"/>
              </w:rPr>
              <w:t>物联资源的管理，汇聚，多维数据融合。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w:t>
            </w:r>
            <w:r>
              <w:rPr>
                <w:rStyle w:val="27"/>
                <w:rFonts w:hint="eastAsia" w:ascii="宋体" w:hAnsi="宋体" w:eastAsia="宋体" w:cs="宋体"/>
                <w:sz w:val="24"/>
                <w:szCs w:val="24"/>
                <w:lang w:bidi="ar"/>
              </w:rPr>
              <w:t>完善的数据服务能力。</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3D23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4562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1B23">
            <w:pPr>
              <w:widowControl/>
              <w:rPr>
                <w:rFonts w:hint="eastAsia" w:ascii="宋体" w:hAnsi="宋体" w:eastAsia="宋体" w:cs="宋体"/>
                <w:color w:val="000000"/>
                <w:sz w:val="24"/>
              </w:rPr>
            </w:pPr>
          </w:p>
        </w:tc>
      </w:tr>
      <w:tr w14:paraId="01EC2E0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551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06B9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监视器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27ABF704">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1.尺寸：≥55英寸。</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2.分辨率：≥3840*2160@60Hz。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3.视角：178°（水平）/ 178°（垂直）。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4.响应时间：8 ms （G to 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5.对比度：4000：1。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6.亮度：450cd/㎡。</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7.支持边缘屏蔽功能，可消除显示终端上存在的黑边及因拼缝带来的图像变形。含支架。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01DA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EA1A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7109">
            <w:pPr>
              <w:widowControl/>
              <w:rPr>
                <w:rFonts w:hint="eastAsia" w:ascii="宋体" w:hAnsi="宋体" w:eastAsia="宋体" w:cs="宋体"/>
                <w:color w:val="0000FF"/>
                <w:sz w:val="24"/>
                <w:u w:val="single"/>
              </w:rPr>
            </w:pPr>
          </w:p>
        </w:tc>
      </w:tr>
      <w:tr w14:paraId="2B80F96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F830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1DF3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管理服务器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CF24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1.2U双路标准机架式服务器。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2.CPU：1颗处理器，核数≥10核，主频≥2.2GHz。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3.内存：64G DDR4，16根内存插槽，最大支持扩展至2TB内存。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4.硬盘：2块1.2T 10K 2.5寸 SAS硬盘。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5.阵列卡：RAID_2G， 支持RAID 0/1/5/10。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6.PCIE扩展：最大可支持6个PCIE扩展插槽。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7.网口：2个千兆电口。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8.其他接口：1个RJ45管理接口，后置2个USB 3.0接口，前置2个USB2.0接口，1个VGA接口。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9.电源：标配550W（1+1）高效冗余电源。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10.含操作系统。</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7A1E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BDEF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633E1">
            <w:pPr>
              <w:widowControl/>
              <w:rPr>
                <w:rFonts w:hint="eastAsia" w:ascii="宋体" w:hAnsi="宋体" w:eastAsia="宋体" w:cs="宋体"/>
                <w:color w:val="000000"/>
                <w:sz w:val="24"/>
              </w:rPr>
            </w:pPr>
          </w:p>
        </w:tc>
      </w:tr>
      <w:tr w14:paraId="60E0022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ED3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60A8F">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前端监控部分</w:t>
            </w:r>
          </w:p>
        </w:tc>
      </w:tr>
      <w:tr w14:paraId="72CCB14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EF20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7ACF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智能半球摄像机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02926E73">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1.≥400万 1/3" CMOS 智能半球型网络摄像机。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2.采用深度学习硬件及算法，支持越界侦测，区域入侵侦测，进入区域侦测和离开区域侦测，支持联动声音报警。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3.最低照度： 彩色：0.005 Lux @（F1.2，AGC ON），0 Lux with IR。</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4.补光距离： 最远可达30 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5.视频压缩标准： 主码流：H.265/H.264。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6.网络： 1个RJ45 10 M/100 M自适应以太网口。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7.音频： 1路输入（Line in）；1路输出（Line out）；1个内置麦克风，1个内置扬声器。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8.报警： 1路输入，1路输出（输出最大支持AC24/DC24 V，1 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9.防护： IP66，IK10。</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3DD8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6AD9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F062D">
            <w:pPr>
              <w:widowControl/>
              <w:rPr>
                <w:rFonts w:hint="eastAsia" w:ascii="宋体" w:hAnsi="宋体" w:eastAsia="宋体" w:cs="宋体"/>
                <w:color w:val="0000FF"/>
                <w:sz w:val="24"/>
                <w:u w:val="single"/>
              </w:rPr>
            </w:pPr>
          </w:p>
        </w:tc>
      </w:tr>
      <w:tr w14:paraId="38360CB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9F53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0312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拾音器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A11D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结构：针孔式；监听面积：35平方米；灵敏度：-47dB；指向特性：全指向性；信噪比：50dB；颜色：白色、黑色。配专用适配器调节器。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B1DD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414C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CCF35">
            <w:pPr>
              <w:widowControl/>
              <w:rPr>
                <w:rFonts w:hint="eastAsia" w:ascii="宋体" w:hAnsi="宋体" w:eastAsia="宋体" w:cs="宋体"/>
                <w:color w:val="000000"/>
                <w:sz w:val="24"/>
              </w:rPr>
            </w:pPr>
          </w:p>
        </w:tc>
      </w:tr>
      <w:tr w14:paraId="30B8256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2372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B6E6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智能网络球机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7099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1.支持声光警戒功能，≥400万7寸24倍全景镜头4mm全彩双眸球机。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2.传感器类型： 广角：1/1.8＂progressive scan CMOS； 变焦：1/2.8＂progressive scan CMOS。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3.焦距： 广角：4 mm； 变焦：4.5~108 mm，24倍光学变倍。</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4.视场角： 水平视场角：90°~3.3°（广角~望远）； 其中广角：90°；变焦：56.9°~3.3°。</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5.主码流帧率分辨率： 50 Hz：25 fps（2560 × 1440）；60Hz：20 fps（2560 × 1440）。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6.视频压缩标准： H.265，H.264，MJPEG。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7.网络接口： RJ45网口，自适应10M/100M网络数据。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8.报警输入： ≥2路报警输入；报警输出： ≥1路报警输出；音频输入： ≥1路音频输入；音频输出：≥1路音频输出。白光照射距离： 30 m；红外照射距离： 200 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9.在单路和双路模式下，设备水平视场角均应≥90°。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10.支持双镜头从最小倍率至最大倍率或最大倍率至最小倍率的变倍过程中视频图像不间断。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11.除雾： 加热玻璃除雾。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12.防护： IP66。</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8753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6C7F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B6B5">
            <w:pPr>
              <w:widowControl/>
              <w:rPr>
                <w:rFonts w:hint="eastAsia" w:ascii="宋体" w:hAnsi="宋体" w:eastAsia="宋体" w:cs="宋体"/>
                <w:color w:val="0000FF"/>
                <w:sz w:val="24"/>
                <w:u w:val="single"/>
              </w:rPr>
            </w:pPr>
          </w:p>
        </w:tc>
      </w:tr>
      <w:tr w14:paraId="0A3B2C8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EEA8F">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92E23">
            <w:pPr>
              <w:widowControl/>
              <w:jc w:val="left"/>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BEBC7">
            <w:pPr>
              <w:widowControl/>
              <w:jc w:val="left"/>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球机专用支架。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0FCD2">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FE1B9">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6373">
            <w:pPr>
              <w:widowControl/>
              <w:rPr>
                <w:rFonts w:hint="eastAsia" w:ascii="宋体" w:hAnsi="宋体" w:eastAsia="宋体" w:cs="宋体"/>
                <w:color w:val="000000" w:themeColor="text1"/>
                <w:sz w:val="24"/>
                <w14:textFill>
                  <w14:solidFill>
                    <w14:schemeClr w14:val="tx1"/>
                  </w14:solidFill>
                </w14:textFill>
              </w:rPr>
            </w:pPr>
          </w:p>
        </w:tc>
      </w:tr>
      <w:tr w14:paraId="6D2989B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640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3303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电梯网络摄像机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64ADCAF4">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1.≥400万 1/3" CMOS 红外迷你半球型网络摄像机。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场景变更侦测，虚焦侦测，区域入侵侦测，越界侦测，进入区域侦测，离开区域侦测，物品遗留侦测，物品拿取侦测，徘徊侦测，停车侦测，人员聚集侦测，快速移动侦测，音频异常侦测，音频抖升侦测，音频抖降侦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3.最低照度 彩色：0.005 Lux @（F1.2，AGC ON），0 Lux with IR。</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4.视频压缩标准： 主码流：H.265/H.264。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5.网络： 1个RJ45 10 M/100 M自适应以太网口。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6.音频： 1路输入（Line in）；1路输出（Line out）；1个内置麦克风，1个内置扬声器。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7.报警： 1路输入，1路输出（报警输出最大支持DC12 V，30 mA）。</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FE12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DB8A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2126C">
            <w:pPr>
              <w:widowControl/>
              <w:rPr>
                <w:rFonts w:hint="eastAsia" w:ascii="宋体" w:hAnsi="宋体" w:eastAsia="宋体" w:cs="宋体"/>
                <w:color w:val="0000FF"/>
                <w:sz w:val="24"/>
                <w:u w:val="single"/>
              </w:rPr>
            </w:pPr>
          </w:p>
        </w:tc>
      </w:tr>
      <w:tr w14:paraId="512E7FF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4C1B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9598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电梯网桥</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CA99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1.2.4G电梯网桥，802.11n制式。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2.成对包装，距离200米。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3.2网口设计。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4.成对包装。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5.支持轻智能统一管理功能。</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226E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C005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57321">
            <w:pPr>
              <w:widowControl/>
              <w:rPr>
                <w:rFonts w:hint="eastAsia" w:ascii="宋体" w:hAnsi="宋体" w:eastAsia="宋体" w:cs="宋体"/>
                <w:color w:val="0000FF"/>
                <w:sz w:val="24"/>
                <w:u w:val="single"/>
              </w:rPr>
            </w:pPr>
          </w:p>
        </w:tc>
      </w:tr>
      <w:tr w14:paraId="0468C6B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F414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81CE2">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监控存储部分</w:t>
            </w:r>
          </w:p>
        </w:tc>
      </w:tr>
      <w:tr w14:paraId="7D27EA6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C58A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220B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硬盘录像机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EC83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1.2U标准机架式8盘位网络硬盘录像机，ATX电源。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2.支持满配12TB硬盘。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3.≥2个HDMI接口、≥2个VGA接口，双异源输出。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4.≥2个10M/100M/1000Mbps网口。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5.≥2个USB2.0接口、≥1个USB3.0接口。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6.≥1个eSATA接口。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7.报警IO接口：≥16路报警输入，≥4路报警输出。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8.串行接口：≥1路全双工485接口 ，≥1路标准RS-232接口。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9.具有存储安全保障功能，当存储压力过高或硬盘出现性能不足时，可优先录像业务存储。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4438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0209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F7AD4">
            <w:pPr>
              <w:widowControl/>
              <w:rPr>
                <w:rFonts w:hint="eastAsia" w:ascii="宋体" w:hAnsi="宋体" w:eastAsia="宋体" w:cs="宋体"/>
                <w:color w:val="0000FF"/>
                <w:sz w:val="24"/>
                <w:u w:val="single"/>
              </w:rPr>
            </w:pPr>
          </w:p>
        </w:tc>
      </w:tr>
      <w:tr w14:paraId="4167445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89E5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FC53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硬盘</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E168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1.6TB容量，3.5英寸 SATA 3.0接口，5400RPM。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2.单硬盘支持多达32个摄像头的高清流。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3.高达256MiB缓冲区，流畅存储视频有效防止丢帧。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4.24×7全天候高效稳定运行。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5.年度工作负载等级为180TB/年。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6.MTBF可达1，000，000小时。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7.高级格式（AF）512e扇区技术，保障硬盘扇区4K对齐。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8、支持3年质保服务。</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294A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CB3A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37</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408E">
            <w:pPr>
              <w:widowControl/>
              <w:rPr>
                <w:rFonts w:hint="eastAsia" w:ascii="宋体" w:hAnsi="宋体" w:eastAsia="宋体" w:cs="宋体"/>
                <w:color w:val="0000FF"/>
                <w:sz w:val="24"/>
                <w:u w:val="single"/>
              </w:rPr>
            </w:pPr>
          </w:p>
        </w:tc>
      </w:tr>
      <w:tr w14:paraId="4A7CBC0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61673">
            <w:pPr>
              <w:widowControl/>
              <w:jc w:val="center"/>
              <w:textAlignment w:val="center"/>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（二）</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806E1">
            <w:pPr>
              <w:widowControl/>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门禁管理系统</w:t>
            </w:r>
          </w:p>
        </w:tc>
      </w:tr>
      <w:tr w14:paraId="7C41DFF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4884">
            <w:pPr>
              <w:widowControl/>
              <w:jc w:val="center"/>
              <w:textAlignment w:val="center"/>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B5CB36">
            <w:pPr>
              <w:widowControl/>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智慧法庭（4间）、立案大厅、执行大厅、指挥中心、信息机房</w:t>
            </w:r>
          </w:p>
        </w:tc>
      </w:tr>
      <w:tr w14:paraId="7095064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9B84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E985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人脸识别一体机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8003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1.嵌入式Linux操作系统。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 7英寸触摸显示屏，屏幕比例9：16，屏幕分辨率600*1024。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3.采用宽动态200万双目摄像头。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4.支持人脸、刷卡（IC卡、手机NFC卡、CPU卡序列号/内容、身份证卡序列号）、密码认证方式，可外接身份证、指纹、蓝牙、二维码功能模块。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5.采用深度学习算法，支持单人或多人识别（最多5人同时认证）功能；支持照片、视频防假；1：N人脸识别速度≤0.2s，人脸验证准确率≥99%。</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6.本地支持10000人脸库、50000张卡，15万条事件记录。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7.硬件接口：LAN*1、RS485*1、Wiegand * 1（支持双向）、typeC类型USB接口*1、电锁*1、门磁*1、报警输入*2、报警输出*1、开门按钮*1、SD卡槽*1（最大支持512GB）、3.5mm音频输出接口*1。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8.产品厂商应具有符合ISO/IEC 27701：2019要求的隐私信息管理体系认证。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9.支持口罩检测模式，可配置提醒戴口罩模式、强制戴口罩模式，关联门禁控制。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10.认证结果显示可配：支持认证成功界面的“照片”、“姓名”、“工号”信息可配置是否显示。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11.刷卡+密码、刷卡+人脸、人脸+密码等组合认证方式，支持多个人员认证（人脸、刷卡等）通过后才开门。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C8B4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7179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4FE0">
            <w:pPr>
              <w:widowControl/>
              <w:rPr>
                <w:rFonts w:hint="eastAsia" w:ascii="宋体" w:hAnsi="宋体" w:eastAsia="宋体" w:cs="宋体"/>
                <w:color w:val="000000"/>
                <w:sz w:val="24"/>
              </w:rPr>
            </w:pPr>
          </w:p>
        </w:tc>
      </w:tr>
      <w:tr w14:paraId="44DC695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FEE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2EE0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门禁电源箱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1B9D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1.输入电压：100-240VAC。</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2.输出电压：12VDC。</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3.输出电流：4.17A。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4.输出功率：50W。</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425C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A42F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811B8">
            <w:pPr>
              <w:widowControl/>
              <w:rPr>
                <w:rFonts w:hint="eastAsia" w:ascii="宋体" w:hAnsi="宋体" w:eastAsia="宋体" w:cs="宋体"/>
                <w:color w:val="000000"/>
                <w:sz w:val="24"/>
              </w:rPr>
            </w:pPr>
          </w:p>
        </w:tc>
      </w:tr>
      <w:tr w14:paraId="37CC255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293A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7AA4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门禁电池</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BAD7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1.标准电压：12V。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2.额定容量：7.0Ah。</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9D7D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A27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0A47">
            <w:pPr>
              <w:widowControl/>
              <w:rPr>
                <w:rFonts w:hint="eastAsia" w:ascii="宋体" w:hAnsi="宋体" w:eastAsia="宋体" w:cs="宋体"/>
                <w:color w:val="000000"/>
                <w:sz w:val="24"/>
              </w:rPr>
            </w:pPr>
          </w:p>
        </w:tc>
      </w:tr>
      <w:tr w14:paraId="771919D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0D1B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96CC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开门按钮</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E392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1.结构：塑料面板。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2.性能：最大耐电流1.25A，电压250V。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3.输出：常开。</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4400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812E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8CACF">
            <w:pPr>
              <w:widowControl/>
              <w:rPr>
                <w:rFonts w:hint="eastAsia" w:ascii="宋体" w:hAnsi="宋体" w:eastAsia="宋体" w:cs="宋体"/>
                <w:color w:val="000000"/>
                <w:sz w:val="24"/>
              </w:rPr>
            </w:pPr>
          </w:p>
        </w:tc>
      </w:tr>
      <w:tr w14:paraId="7F12F57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191F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8AAF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双门磁力锁</w:t>
            </w:r>
            <w:bookmarkStart w:id="311" w:name="_GoBack"/>
            <w:bookmarkEnd w:id="311"/>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4569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1.最大静态直线拉力：280kg ± 15%。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2.断电开锁，满足消防要求。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3.具有电锁状态指示灯（红灯为开锁状态， 绿灯为上锁状态）。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4.支持锁状态侦测信号（门磁）输出：NO/NC/COM接点。</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BD9E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3E32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9CBF">
            <w:pPr>
              <w:widowControl/>
              <w:rPr>
                <w:rFonts w:hint="eastAsia" w:ascii="宋体" w:hAnsi="宋体" w:eastAsia="宋体" w:cs="宋体"/>
                <w:color w:val="000000"/>
                <w:sz w:val="24"/>
              </w:rPr>
            </w:pPr>
          </w:p>
        </w:tc>
      </w:tr>
      <w:tr w14:paraId="06AA861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E62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91D2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单门磁力锁</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F947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1.最大静态直线拉力：280kg ± 15%  * 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2.断电开锁，满足消防要求。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3.具有电锁状态指示灯（红灯为开锁状态， 绿灯为上锁状态）。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4.支持锁状态侦测信号（门磁）输出：NO/NC/COM接点。</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E8C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FD89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5FC2">
            <w:pPr>
              <w:widowControl/>
              <w:rPr>
                <w:rFonts w:hint="eastAsia" w:ascii="宋体" w:hAnsi="宋体" w:eastAsia="宋体" w:cs="宋体"/>
                <w:color w:val="000000"/>
                <w:sz w:val="24"/>
              </w:rPr>
            </w:pPr>
          </w:p>
        </w:tc>
      </w:tr>
      <w:tr w14:paraId="44362F7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720D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45F1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磁力锁支架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157B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1.选用材料：高强铝合金，表面喷沙。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2.外壳处理：阳极硬化电镀处理。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3.适用门型：木门、金属门。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4.开门方式：90度内开式门。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ED74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5A9C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FA9EA">
            <w:pPr>
              <w:widowControl/>
              <w:rPr>
                <w:rFonts w:hint="eastAsia" w:ascii="宋体" w:hAnsi="宋体" w:eastAsia="宋体" w:cs="宋体"/>
                <w:color w:val="000000"/>
                <w:sz w:val="24"/>
              </w:rPr>
            </w:pPr>
          </w:p>
        </w:tc>
      </w:tr>
      <w:tr w14:paraId="3EB5B9C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8415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0C27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采集设备</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1FB5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1.3.97英寸触摸显示屏，屏幕分辨率800*480。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2.采用200万双目摄像头，有照片视频防假功能。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3.支持人脸采集、指纹采集、卡片录入（ID/Mifare/普通CPU/国密CPU卡/二三代身份证序列号）。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4.支持有线网络、无线WiFi、USB口通信。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5.支持在线采集，通过网络协议或USB口对接到平台，平台进行在线采集，采集信息实时上传。</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33E5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ABF3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31EA">
            <w:pPr>
              <w:widowControl/>
              <w:rPr>
                <w:rFonts w:hint="eastAsia" w:ascii="宋体" w:hAnsi="宋体" w:eastAsia="宋体" w:cs="宋体"/>
                <w:color w:val="000000"/>
                <w:sz w:val="24"/>
              </w:rPr>
            </w:pPr>
          </w:p>
        </w:tc>
      </w:tr>
      <w:tr w14:paraId="10F6801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58E24">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ADC69">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24小时法院</w:t>
            </w:r>
          </w:p>
        </w:tc>
      </w:tr>
      <w:tr w14:paraId="55BDB80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957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B507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人证核验终端</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AD07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1.采用≥7英寸LCD触摸显示屏，200万像素双目摄像头，面部识别距离0.2-3m，支持照片视频防假。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2.支持50000张人脸白名单，1：N人脸比对时间≤0.2S/人，1：1人证比对时间≤1S/人，支持50000张卡片，100000条记录。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3.支持人证、人脸、刷卡、密码（超级密码）等认证方式；可读取Mifare 卡（IC 卡）卡号、CPU 卡序列号、二三代身份证序列号及内容。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4.通讯方式：上行通讯为TCP/IP；支持外接RS485，Wiegand副读卡器；基线支持标准韦根34/26。</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5.输入接口：LAN*1、RS485*1、wiegand * 1、USB*1、门磁*1、报警输入*2、防拆*1、开门按钮*1。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6.电锁*1个，报警输出*1个。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7.室内外环境，室外使用必须搭配遮阳罩。</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BC93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2D2A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7B5FE">
            <w:pPr>
              <w:widowControl/>
              <w:rPr>
                <w:rFonts w:hint="eastAsia" w:ascii="宋体" w:hAnsi="宋体" w:eastAsia="宋体" w:cs="宋体"/>
                <w:color w:val="000000"/>
                <w:sz w:val="24"/>
              </w:rPr>
            </w:pPr>
          </w:p>
        </w:tc>
      </w:tr>
      <w:tr w14:paraId="45DB152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8B30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954B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安全模块</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387E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1.通讯方式：RS485与门禁一体机通讯。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2.硬件接口：RS485*1、韦根*1、电锁输出*1、门磁输入*1、开门按钮*1、消防信号输入*1。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3.具有1路硬件消防联动干接点接口，可硬联动门锁打开。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4.具有防拆报警功能。</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2B00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88D2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23D9">
            <w:pPr>
              <w:widowControl/>
              <w:rPr>
                <w:rFonts w:hint="eastAsia" w:ascii="宋体" w:hAnsi="宋体" w:eastAsia="宋体" w:cs="宋体"/>
                <w:color w:val="000000"/>
                <w:sz w:val="24"/>
              </w:rPr>
            </w:pPr>
          </w:p>
        </w:tc>
      </w:tr>
      <w:tr w14:paraId="045FDD7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71A1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FA7A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门禁电源箱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0D68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1.输入电压：100-240VAC。</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2.输出电压：12VDC。</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3.输出电流：4.17A。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4.输出功率：50W。</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35C2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30CD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0C204">
            <w:pPr>
              <w:widowControl/>
              <w:rPr>
                <w:rFonts w:hint="eastAsia" w:ascii="宋体" w:hAnsi="宋体" w:eastAsia="宋体" w:cs="宋体"/>
                <w:color w:val="000000"/>
                <w:sz w:val="24"/>
              </w:rPr>
            </w:pPr>
          </w:p>
        </w:tc>
      </w:tr>
      <w:tr w14:paraId="27DEF18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0A33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1F4D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门禁电池</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A5B6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1.标准电压：12V。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2.额定容量：7.0Ah。</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272D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B65F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36463">
            <w:pPr>
              <w:widowControl/>
              <w:rPr>
                <w:rFonts w:hint="eastAsia" w:ascii="宋体" w:hAnsi="宋体" w:eastAsia="宋体" w:cs="宋体"/>
                <w:color w:val="000000"/>
                <w:sz w:val="24"/>
              </w:rPr>
            </w:pPr>
          </w:p>
        </w:tc>
      </w:tr>
      <w:tr w14:paraId="39BDA81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4671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2B24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开门按钮</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ECD2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1.结构：塑料面板。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2.性能：最大耐电流1.25A，电压250V。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3.输出：常开。</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105D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9FD9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3818C">
            <w:pPr>
              <w:widowControl/>
              <w:rPr>
                <w:rFonts w:hint="eastAsia" w:ascii="宋体" w:hAnsi="宋体" w:eastAsia="宋体" w:cs="宋体"/>
                <w:color w:val="000000"/>
                <w:sz w:val="24"/>
              </w:rPr>
            </w:pPr>
          </w:p>
        </w:tc>
      </w:tr>
      <w:tr w14:paraId="1CFF87E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024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E476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单门磁力锁</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6722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1.最大静态直线拉力：280kg ± 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2.断电开锁，满足消防要求。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3.具有电锁状态指示灯（红灯为开锁状态， 绿灯为上锁状态）。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4.支持锁状态侦测信号（门磁）输出：NO/NC/COM接点。</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5B79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177B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BEF4">
            <w:pPr>
              <w:widowControl/>
              <w:rPr>
                <w:rFonts w:hint="eastAsia" w:ascii="宋体" w:hAnsi="宋体" w:eastAsia="宋体" w:cs="宋体"/>
                <w:color w:val="000000"/>
                <w:sz w:val="24"/>
              </w:rPr>
            </w:pPr>
          </w:p>
        </w:tc>
      </w:tr>
      <w:tr w14:paraId="4544E06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A7E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B243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磁力锁支架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9957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1.选用材料：高强铝合金，表面喷沙。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2.外壳处理：阳极硬化电镀处理。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3.适用门型：木门、金属门。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4.开门方式：90度内开式门。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7F29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3389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E49A">
            <w:pPr>
              <w:widowControl/>
              <w:rPr>
                <w:rFonts w:hint="eastAsia" w:ascii="宋体" w:hAnsi="宋体" w:eastAsia="宋体" w:cs="宋体"/>
                <w:color w:val="000000"/>
                <w:sz w:val="24"/>
              </w:rPr>
            </w:pPr>
          </w:p>
        </w:tc>
      </w:tr>
      <w:tr w14:paraId="6A83EC2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2817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（三）</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0EE56A">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配电及线材</w:t>
            </w:r>
          </w:p>
        </w:tc>
      </w:tr>
      <w:tr w14:paraId="098C0DA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7431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4FE8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4631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RVV电线电缆 国标纯铜环保 RVV3*1.5 200米 。</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A6D7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卷</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5DDE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E839D">
            <w:pPr>
              <w:widowControl/>
              <w:rPr>
                <w:rFonts w:hint="eastAsia" w:ascii="宋体" w:hAnsi="宋体" w:eastAsia="宋体" w:cs="宋体"/>
                <w:color w:val="000000"/>
                <w:sz w:val="24"/>
              </w:rPr>
            </w:pPr>
          </w:p>
        </w:tc>
      </w:tr>
      <w:tr w14:paraId="5348072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5986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4E9E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超五类双绞线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F3DF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六类网线、非屏蔽纯铜线千兆网线箱线灰色305米。</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99CF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6FD4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69D0">
            <w:pPr>
              <w:widowControl/>
              <w:rPr>
                <w:rFonts w:hint="eastAsia" w:ascii="宋体" w:hAnsi="宋体" w:eastAsia="宋体" w:cs="宋体"/>
                <w:color w:val="0000FF"/>
                <w:sz w:val="24"/>
                <w:u w:val="single"/>
              </w:rPr>
            </w:pPr>
          </w:p>
        </w:tc>
      </w:tr>
      <w:tr w14:paraId="57A9F6F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87FE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E7A2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POE交换机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0485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1.≥24个百兆PoE电口，2个千兆光电复用口。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2.交换容量 8.8 Gbps。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3.包转发率 6.55 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4.支持IEEE 802.3at/af，端口最大供电功率 30 W，整机最大供电功率 370 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5.支持IEEE 802.3、IEEE 802.3u、IEEE 802.3x。</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2F65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2045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D13B6">
            <w:pPr>
              <w:widowControl/>
              <w:rPr>
                <w:rFonts w:hint="eastAsia" w:ascii="宋体" w:hAnsi="宋体" w:eastAsia="宋体" w:cs="宋体"/>
                <w:color w:val="000000"/>
                <w:sz w:val="24"/>
              </w:rPr>
            </w:pPr>
          </w:p>
        </w:tc>
      </w:tr>
      <w:tr w14:paraId="467D79E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5723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BC98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接入交换机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F0B3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1.交换容量≥336G、包转发率≥51Mpps。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2.固化10/100/1000M以太网端口≥24个，固化1G SFP光接口≥4个。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4.要求所投设备MAC地址≥16K。</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6.支持IPV4/IPV6静态路由，RIP、RIPng。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8.设备自带云管理功能，即插即用，可随时查看网络健康度，告警及时推送，有日记事件供回溯。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D5E1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0A6C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E545">
            <w:pPr>
              <w:widowControl/>
              <w:rPr>
                <w:rFonts w:hint="eastAsia" w:ascii="宋体" w:hAnsi="宋体" w:eastAsia="宋体" w:cs="宋体"/>
                <w:color w:val="000000"/>
                <w:sz w:val="24"/>
              </w:rPr>
            </w:pPr>
          </w:p>
        </w:tc>
      </w:tr>
      <w:tr w14:paraId="4307F4D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A99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B110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千兆光模块</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9A60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1000BASE-LX mini GBIC转换模块（1310nm）。</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2CB2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99AD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4955">
            <w:pPr>
              <w:widowControl/>
              <w:rPr>
                <w:rFonts w:hint="eastAsia" w:ascii="宋体" w:hAnsi="宋体" w:eastAsia="宋体" w:cs="宋体"/>
                <w:color w:val="000000"/>
                <w:sz w:val="24"/>
              </w:rPr>
            </w:pPr>
          </w:p>
        </w:tc>
      </w:tr>
      <w:tr w14:paraId="0160A86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856A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07B1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网络机柜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EECF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 xml:space="preserve">42U，600*800*2000标准网络机柜；含2个托盘，2个PDU；含机柜底座支架，按需配置。                                  </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5576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719E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9AD0D">
            <w:pPr>
              <w:widowControl/>
              <w:rPr>
                <w:rFonts w:hint="eastAsia" w:ascii="宋体" w:hAnsi="宋体" w:eastAsia="宋体" w:cs="宋体"/>
                <w:color w:val="000000"/>
                <w:sz w:val="24"/>
              </w:rPr>
            </w:pPr>
          </w:p>
        </w:tc>
      </w:tr>
      <w:tr w14:paraId="116CEAB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9921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三</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D592C8">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司法业务配套系统</w:t>
            </w:r>
          </w:p>
        </w:tc>
      </w:tr>
      <w:tr w14:paraId="4B27B27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5ED5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（一）</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1DE6B0">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立案大厅</w:t>
            </w:r>
          </w:p>
        </w:tc>
      </w:tr>
      <w:tr w14:paraId="3663A0E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793B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9DA2C">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安检通道系统</w:t>
            </w:r>
          </w:p>
        </w:tc>
      </w:tr>
      <w:tr w14:paraId="54C762B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08C5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5D2C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人证识别一体机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50ED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操作系统：</w:t>
            </w:r>
            <w:r>
              <w:rPr>
                <w:rFonts w:hint="eastAsia" w:ascii="宋体" w:hAnsi="宋体" w:eastAsia="宋体" w:cs="宋体"/>
                <w:color w:val="000000"/>
                <w:kern w:val="0"/>
                <w:sz w:val="24"/>
                <w:lang w:bidi="ar"/>
              </w:rPr>
              <w:t>Android</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2.≥10.1</w:t>
            </w:r>
            <w:r>
              <w:rPr>
                <w:rStyle w:val="27"/>
                <w:rFonts w:hint="eastAsia" w:ascii="宋体" w:hAnsi="宋体" w:eastAsia="宋体" w:cs="宋体"/>
                <w:sz w:val="24"/>
                <w:szCs w:val="24"/>
                <w:lang w:bidi="ar"/>
              </w:rPr>
              <w:t>寸</w:t>
            </w:r>
            <w:r>
              <w:rPr>
                <w:rFonts w:hint="eastAsia" w:ascii="宋体" w:hAnsi="宋体" w:eastAsia="宋体" w:cs="宋体"/>
                <w:color w:val="000000"/>
                <w:kern w:val="0"/>
                <w:sz w:val="24"/>
                <w:lang w:bidi="ar"/>
              </w:rPr>
              <w:t>LCD</w:t>
            </w:r>
            <w:r>
              <w:rPr>
                <w:rStyle w:val="27"/>
                <w:rFonts w:hint="eastAsia" w:ascii="宋体" w:hAnsi="宋体" w:eastAsia="宋体" w:cs="宋体"/>
                <w:sz w:val="24"/>
                <w:szCs w:val="24"/>
                <w:lang w:bidi="ar"/>
              </w:rPr>
              <w:t>触摸屏，屏幕分辨率</w:t>
            </w:r>
            <w:r>
              <w:rPr>
                <w:rFonts w:hint="eastAsia" w:ascii="宋体" w:hAnsi="宋体" w:eastAsia="宋体" w:cs="宋体"/>
                <w:color w:val="000000"/>
                <w:kern w:val="0"/>
                <w:sz w:val="24"/>
                <w:lang w:bidi="ar"/>
              </w:rPr>
              <w:t>1280*800</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w:t>
            </w:r>
            <w:r>
              <w:rPr>
                <w:rStyle w:val="27"/>
                <w:rFonts w:hint="eastAsia" w:ascii="宋体" w:hAnsi="宋体" w:eastAsia="宋体" w:cs="宋体"/>
                <w:sz w:val="24"/>
                <w:szCs w:val="24"/>
                <w:lang w:bidi="ar"/>
              </w:rPr>
              <w:t>采用宽动态</w:t>
            </w:r>
            <w:r>
              <w:rPr>
                <w:rFonts w:hint="eastAsia" w:ascii="宋体" w:hAnsi="宋体" w:eastAsia="宋体" w:cs="宋体"/>
                <w:color w:val="000000"/>
                <w:kern w:val="0"/>
                <w:sz w:val="24"/>
                <w:lang w:bidi="ar"/>
              </w:rPr>
              <w:t>200</w:t>
            </w:r>
            <w:r>
              <w:rPr>
                <w:rStyle w:val="27"/>
                <w:rFonts w:hint="eastAsia" w:ascii="宋体" w:hAnsi="宋体" w:eastAsia="宋体" w:cs="宋体"/>
                <w:sz w:val="24"/>
                <w:szCs w:val="24"/>
                <w:lang w:bidi="ar"/>
              </w:rPr>
              <w:t>万双目摄像头。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w:t>
            </w:r>
            <w:r>
              <w:rPr>
                <w:rStyle w:val="27"/>
                <w:rFonts w:hint="eastAsia" w:ascii="宋体" w:hAnsi="宋体" w:eastAsia="宋体" w:cs="宋体"/>
                <w:sz w:val="24"/>
                <w:szCs w:val="24"/>
                <w:lang w:bidi="ar"/>
              </w:rPr>
              <w:t>人证</w:t>
            </w:r>
            <w:r>
              <w:rPr>
                <w:rFonts w:hint="eastAsia" w:ascii="宋体" w:hAnsi="宋体" w:eastAsia="宋体" w:cs="宋体"/>
                <w:color w:val="000000"/>
                <w:kern w:val="0"/>
                <w:sz w:val="24"/>
                <w:lang w:bidi="ar"/>
              </w:rPr>
              <w:t>1:1</w:t>
            </w:r>
            <w:r>
              <w:rPr>
                <w:rStyle w:val="27"/>
                <w:rFonts w:hint="eastAsia" w:ascii="宋体" w:hAnsi="宋体" w:eastAsia="宋体" w:cs="宋体"/>
                <w:sz w:val="24"/>
                <w:szCs w:val="24"/>
                <w:lang w:bidi="ar"/>
              </w:rPr>
              <w:t>认证方式，同时支持人脸、刷卡、的</w:t>
            </w:r>
            <w:r>
              <w:rPr>
                <w:rFonts w:hint="eastAsia" w:ascii="宋体" w:hAnsi="宋体" w:eastAsia="宋体" w:cs="宋体"/>
                <w:color w:val="000000"/>
                <w:kern w:val="0"/>
                <w:sz w:val="24"/>
                <w:lang w:bidi="ar"/>
              </w:rPr>
              <w:t>1:N</w:t>
            </w:r>
            <w:r>
              <w:rPr>
                <w:rStyle w:val="27"/>
                <w:rFonts w:hint="eastAsia" w:ascii="宋体" w:hAnsi="宋体" w:eastAsia="宋体" w:cs="宋体"/>
                <w:sz w:val="24"/>
                <w:szCs w:val="24"/>
                <w:lang w:bidi="ar"/>
              </w:rPr>
              <w:t>认证方式。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w:t>
            </w:r>
            <w:r>
              <w:rPr>
                <w:rStyle w:val="27"/>
                <w:rFonts w:hint="eastAsia" w:ascii="宋体" w:hAnsi="宋体" w:eastAsia="宋体" w:cs="宋体"/>
                <w:sz w:val="24"/>
                <w:szCs w:val="24"/>
                <w:lang w:bidi="ar"/>
              </w:rPr>
              <w:t>本地支持</w:t>
            </w:r>
            <w:r>
              <w:rPr>
                <w:rFonts w:hint="eastAsia" w:ascii="宋体" w:hAnsi="宋体" w:eastAsia="宋体" w:cs="宋体"/>
                <w:color w:val="000000"/>
                <w:kern w:val="0"/>
                <w:sz w:val="24"/>
                <w:lang w:bidi="ar"/>
              </w:rPr>
              <w:t>10</w:t>
            </w:r>
            <w:r>
              <w:rPr>
                <w:rStyle w:val="27"/>
                <w:rFonts w:hint="eastAsia" w:ascii="宋体" w:hAnsi="宋体" w:eastAsia="宋体" w:cs="宋体"/>
                <w:sz w:val="24"/>
                <w:szCs w:val="24"/>
                <w:lang w:bidi="ar"/>
              </w:rPr>
              <w:t>万人脸库、</w:t>
            </w:r>
            <w:r>
              <w:rPr>
                <w:rFonts w:hint="eastAsia" w:ascii="宋体" w:hAnsi="宋体" w:eastAsia="宋体" w:cs="宋体"/>
                <w:color w:val="000000"/>
                <w:kern w:val="0"/>
                <w:sz w:val="24"/>
                <w:lang w:bidi="ar"/>
              </w:rPr>
              <w:t>50</w:t>
            </w:r>
            <w:r>
              <w:rPr>
                <w:rStyle w:val="27"/>
                <w:rFonts w:hint="eastAsia" w:ascii="宋体" w:hAnsi="宋体" w:eastAsia="宋体" w:cs="宋体"/>
                <w:sz w:val="24"/>
                <w:szCs w:val="24"/>
                <w:lang w:bidi="ar"/>
              </w:rPr>
              <w:t>万张卡，</w:t>
            </w:r>
            <w:r>
              <w:rPr>
                <w:rFonts w:hint="eastAsia" w:ascii="宋体" w:hAnsi="宋体" w:eastAsia="宋体" w:cs="宋体"/>
                <w:color w:val="000000"/>
                <w:kern w:val="0"/>
                <w:sz w:val="24"/>
                <w:lang w:bidi="ar"/>
              </w:rPr>
              <w:t>50</w:t>
            </w:r>
            <w:r>
              <w:rPr>
                <w:rStyle w:val="27"/>
                <w:rFonts w:hint="eastAsia" w:ascii="宋体" w:hAnsi="宋体" w:eastAsia="宋体" w:cs="宋体"/>
                <w:sz w:val="24"/>
                <w:szCs w:val="24"/>
                <w:lang w:bidi="ar"/>
              </w:rPr>
              <w:t>万条事件记录。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w:t>
            </w:r>
            <w:r>
              <w:rPr>
                <w:rStyle w:val="27"/>
                <w:rFonts w:hint="eastAsia" w:ascii="宋体" w:hAnsi="宋体" w:eastAsia="宋体" w:cs="宋体"/>
                <w:sz w:val="24"/>
                <w:szCs w:val="24"/>
                <w:lang w:bidi="ar"/>
              </w:rPr>
              <w:t>采用深度学习算法，支持照片、视频防假；</w:t>
            </w:r>
            <w:r>
              <w:rPr>
                <w:rFonts w:hint="eastAsia" w:ascii="宋体" w:hAnsi="宋体" w:eastAsia="宋体" w:cs="宋体"/>
                <w:color w:val="000000"/>
                <w:kern w:val="0"/>
                <w:sz w:val="24"/>
                <w:lang w:bidi="ar"/>
              </w:rPr>
              <w:t>1:N</w:t>
            </w:r>
            <w:r>
              <w:rPr>
                <w:rStyle w:val="27"/>
                <w:rFonts w:hint="eastAsia" w:ascii="宋体" w:hAnsi="宋体" w:eastAsia="宋体" w:cs="宋体"/>
                <w:sz w:val="24"/>
                <w:szCs w:val="24"/>
                <w:lang w:bidi="ar"/>
              </w:rPr>
              <w:t>人脸识别速度</w:t>
            </w:r>
            <w:r>
              <w:rPr>
                <w:rFonts w:hint="eastAsia" w:ascii="宋体" w:hAnsi="宋体" w:eastAsia="宋体" w:cs="宋体"/>
                <w:color w:val="000000"/>
                <w:kern w:val="0"/>
                <w:sz w:val="24"/>
                <w:lang w:bidi="ar"/>
              </w:rPr>
              <w:t>≤0.2s</w:t>
            </w:r>
            <w:r>
              <w:rPr>
                <w:rStyle w:val="27"/>
                <w:rFonts w:hint="eastAsia" w:ascii="宋体" w:hAnsi="宋体" w:eastAsia="宋体" w:cs="宋体"/>
                <w:sz w:val="24"/>
                <w:szCs w:val="24"/>
                <w:lang w:bidi="ar"/>
              </w:rPr>
              <w:t>，人脸验证准确率</w:t>
            </w:r>
            <w:r>
              <w:rPr>
                <w:rFonts w:hint="eastAsia" w:ascii="宋体" w:hAnsi="宋体" w:eastAsia="宋体" w:cs="宋体"/>
                <w:color w:val="000000"/>
                <w:kern w:val="0"/>
                <w:sz w:val="24"/>
                <w:lang w:bidi="ar"/>
              </w:rPr>
              <w:t>≥99%</w:t>
            </w:r>
            <w:r>
              <w:rPr>
                <w:rStyle w:val="27"/>
                <w:rFonts w:hint="eastAsia" w:ascii="宋体" w:hAnsi="宋体" w:eastAsia="宋体" w:cs="宋体"/>
                <w:sz w:val="24"/>
                <w:szCs w:val="24"/>
                <w:lang w:bidi="ar"/>
              </w:rPr>
              <w:t>。</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6239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F61F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F31D3">
            <w:pPr>
              <w:widowControl/>
              <w:rPr>
                <w:rFonts w:hint="eastAsia" w:ascii="宋体" w:hAnsi="宋体" w:eastAsia="宋体" w:cs="宋体"/>
                <w:color w:val="000000"/>
                <w:sz w:val="24"/>
              </w:rPr>
            </w:pPr>
          </w:p>
        </w:tc>
      </w:tr>
      <w:tr w14:paraId="07ED19D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D21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2540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人脸测温安检门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EA00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1.测温：热成像相机测温。</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2.热成像分辨率：160*120。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3.测温精度：±0.5℃。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4.测温范围：30-45℃。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5.人脸抓拍：2路，200w。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6.无感测温：可对通过安检门的人员进行脸部温度测试并进行人员准确匹配，温度精度：±0.5℃，搭配黑体进度可达 ±0.3℃。</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7.人体温度初筛：可通过安全温度阈值设置，超过该阈值，可联动安检门本地声光报警，建立首道防线。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8.人脸抓拍：可对通过安检门的人员进行人脸抓拍，抓拍成功率99%以上，实现安检过程可查。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9.金属检测：可检测到1个回形针大小的金属，有效进行违规物品核验。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10.联网功能：可实现联网互通，搭配平台进行人脸数据、客流数据、报警数据、通过人员和温度精准匹配等数据进行汇聚应用。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11.多区位报警功能：人体不同位置的多个金属通过安检门时会同时报警，并可以指示多个金属的位置，最多支持18区位。</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E351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67EB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9BB3">
            <w:pPr>
              <w:widowControl/>
              <w:rPr>
                <w:rFonts w:hint="eastAsia" w:ascii="宋体" w:hAnsi="宋体" w:eastAsia="宋体" w:cs="宋体"/>
                <w:color w:val="000000"/>
                <w:sz w:val="24"/>
              </w:rPr>
            </w:pPr>
          </w:p>
        </w:tc>
      </w:tr>
      <w:tr w14:paraId="679889E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5119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0A87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手持金属探测器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AE80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1.电源: 标配充电电池。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2.频率: 约25KHz。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3.电压：9V。</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4C48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4B4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E3EB6">
            <w:pPr>
              <w:widowControl/>
              <w:rPr>
                <w:rFonts w:hint="eastAsia" w:ascii="宋体" w:hAnsi="宋体" w:eastAsia="宋体" w:cs="宋体"/>
                <w:color w:val="000000"/>
                <w:sz w:val="24"/>
              </w:rPr>
            </w:pPr>
          </w:p>
        </w:tc>
      </w:tr>
      <w:tr w14:paraId="1141B58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6A0B">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10821">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立案窗口服务区</w:t>
            </w:r>
          </w:p>
        </w:tc>
      </w:tr>
      <w:tr w14:paraId="03C7CDD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EBAB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DC5D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P3全彩LED条屏</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A936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像素间距3.0mm，像素密度111111点/㎡，模组分辨率64*64，模组尺寸192mm（W）×192mm（H），水平视角160°，垂直视角140°，显示屏亮度≥500，对比度3000:1，换帧频率60HZ，刷新率≥1920HZ，峰值功耗408W/m2，平均功耗204W/m2。</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5C44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7234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5.23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0DB3F">
            <w:pPr>
              <w:widowControl/>
              <w:rPr>
                <w:rFonts w:hint="eastAsia" w:ascii="宋体" w:hAnsi="宋体" w:eastAsia="宋体" w:cs="宋体"/>
                <w:color w:val="0000FF"/>
                <w:sz w:val="24"/>
                <w:u w:val="single"/>
              </w:rPr>
            </w:pPr>
          </w:p>
        </w:tc>
      </w:tr>
      <w:tr w14:paraId="6115591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F7ACF">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70D4B">
            <w:pPr>
              <w:widowControl/>
              <w:jc w:val="left"/>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操作电脑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2B15FBFF">
            <w:pPr>
              <w:widowControl/>
              <w:jc w:val="left"/>
              <w:textAlignment w:val="top"/>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121F5">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06FF2">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37CBE">
            <w:pPr>
              <w:widowControl/>
              <w:rPr>
                <w:rFonts w:hint="eastAsia" w:ascii="宋体" w:hAnsi="宋体" w:eastAsia="宋体" w:cs="宋体"/>
                <w:color w:val="000000" w:themeColor="text1"/>
                <w:sz w:val="24"/>
                <w14:textFill>
                  <w14:solidFill>
                    <w14:schemeClr w14:val="tx1"/>
                  </w14:solidFill>
                </w14:textFill>
              </w:rPr>
            </w:pPr>
          </w:p>
        </w:tc>
      </w:tr>
      <w:tr w14:paraId="054FD91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7BFEB">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A57D0">
            <w:pPr>
              <w:widowControl/>
              <w:jc w:val="left"/>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黑白激光多功能一体机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79E4D">
            <w:pPr>
              <w:widowControl/>
              <w:jc w:val="left"/>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国产化打印机，单页打印速度：≥35/分钟；首页打印时间：≤4s；自动双面打印，双面打印速度：≥20/分钟。</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0E4B5">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2F3F5">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5CFC0">
            <w:pPr>
              <w:widowControl/>
              <w:rPr>
                <w:rFonts w:hint="eastAsia" w:ascii="宋体" w:hAnsi="宋体" w:eastAsia="宋体" w:cs="宋体"/>
                <w:color w:val="000000" w:themeColor="text1"/>
                <w:sz w:val="24"/>
                <w14:textFill>
                  <w14:solidFill>
                    <w14:schemeClr w14:val="tx1"/>
                  </w14:solidFill>
                </w14:textFill>
              </w:rPr>
            </w:pPr>
          </w:p>
        </w:tc>
      </w:tr>
      <w:tr w14:paraId="6B99216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8D14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15CE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触摸屏发号机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6923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19寸落地触摸屏式，含软件系统、语音系统（请XX号到XX号窗口办理）、接口电路系统、微型打印机，80mm宽，热敏型打印机。主机：I5 CPU，4G内存， 128固，集成显卡。含正版操作系统，含485通讯控制器，TX-80微型打印机，接口电路系统，身份证读卡器。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32E2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E6B8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00053">
            <w:pPr>
              <w:widowControl/>
              <w:rPr>
                <w:rFonts w:hint="eastAsia" w:ascii="宋体" w:hAnsi="宋体" w:eastAsia="宋体" w:cs="宋体"/>
                <w:color w:val="000000"/>
                <w:sz w:val="24"/>
              </w:rPr>
            </w:pPr>
          </w:p>
        </w:tc>
      </w:tr>
      <w:tr w14:paraId="43C95C4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26D0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DFA9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语音卡</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24FB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通过智能语音卡可实现业务内容分类呼叫，实名制呼叫，女声多种语音库。</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9CEF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4BFC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D1E8B">
            <w:pPr>
              <w:widowControl/>
              <w:rPr>
                <w:rFonts w:hint="eastAsia" w:ascii="宋体" w:hAnsi="宋体" w:eastAsia="宋体" w:cs="宋体"/>
                <w:color w:val="000000"/>
                <w:sz w:val="24"/>
              </w:rPr>
            </w:pPr>
          </w:p>
        </w:tc>
      </w:tr>
      <w:tr w14:paraId="0A24CE0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659A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A2A9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无线呼叫器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FE0C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无线通讯，每个窗口一个，液晶英文显示屏，共16键，可显示当前窗口号，业务代码，当前办理号码，等待人数等信息。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F25E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E198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677F6">
            <w:pPr>
              <w:widowControl/>
              <w:rPr>
                <w:rFonts w:hint="eastAsia" w:ascii="宋体" w:hAnsi="宋体" w:eastAsia="宋体" w:cs="宋体"/>
                <w:color w:val="000000"/>
                <w:sz w:val="24"/>
              </w:rPr>
            </w:pPr>
          </w:p>
        </w:tc>
      </w:tr>
      <w:tr w14:paraId="0EA324E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04B6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9104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综合显示屏</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30CB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WiFi，用于综合显示屏用。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B07B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4E04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34D3">
            <w:pPr>
              <w:widowControl/>
              <w:rPr>
                <w:rFonts w:hint="eastAsia" w:ascii="宋体" w:hAnsi="宋体" w:eastAsia="宋体" w:cs="宋体"/>
                <w:color w:val="000000"/>
                <w:sz w:val="24"/>
              </w:rPr>
            </w:pPr>
          </w:p>
        </w:tc>
      </w:tr>
      <w:tr w14:paraId="544A039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B3F68">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4C46EE">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室外信息发布系统</w:t>
            </w:r>
          </w:p>
        </w:tc>
      </w:tr>
      <w:tr w14:paraId="4C6BD9F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947C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3311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室外P3全彩</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E7DF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像素间距3.076mm，像素密度105625点/㎡，模组分辨率104*52，模组尺寸320mm（W）×160mm（H），水平视角140°，垂直视角120°，显示屏亮度≥4500，换帧频率60HZ，刷新率≥1920HZ，峰值功耗800W/m2，平均功耗300W/m2，防护等级：正面IP65。</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270C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E31A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11.52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4A572">
            <w:pPr>
              <w:widowControl/>
              <w:rPr>
                <w:rFonts w:hint="eastAsia" w:ascii="宋体" w:hAnsi="宋体" w:eastAsia="宋体" w:cs="宋体"/>
                <w:color w:val="000000"/>
                <w:sz w:val="24"/>
              </w:rPr>
            </w:pPr>
          </w:p>
        </w:tc>
      </w:tr>
      <w:tr w14:paraId="515EA3F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57A2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BDE1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413D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输出电压：5V，输出电流：，40A，额定功率：200W，输入电压：200～240VAC，交流电流：2.5A（230VAC），浪涌电流：60A/230VAC，工作温度：-25℃～+60℃ （AC 230V）（参考负载温度降额曲线），工作湿度：20～95%RH不凝固，可靠性高，负载能力强，符合3C要求</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9DFC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A590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6B1C5">
            <w:pPr>
              <w:widowControl/>
              <w:rPr>
                <w:rFonts w:hint="eastAsia" w:ascii="宋体" w:hAnsi="宋体" w:eastAsia="宋体" w:cs="宋体"/>
                <w:color w:val="000000"/>
                <w:sz w:val="24"/>
              </w:rPr>
            </w:pPr>
          </w:p>
        </w:tc>
      </w:tr>
      <w:tr w14:paraId="69216EC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41D9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F311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视频拼控</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A60E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322F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1B4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716C6">
            <w:pPr>
              <w:widowControl/>
              <w:rPr>
                <w:rFonts w:hint="eastAsia" w:ascii="宋体" w:hAnsi="宋体" w:eastAsia="宋体" w:cs="宋体"/>
                <w:color w:val="000000"/>
                <w:sz w:val="24"/>
              </w:rPr>
            </w:pPr>
          </w:p>
        </w:tc>
      </w:tr>
      <w:tr w14:paraId="27B4A51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4127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4A22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接收卡</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DFDA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集成12个标准HUB75接口，免接HUB板。采用千兆网口，可以连接PC端。支持逐点亮色度校正。支持接收卡预存画面设置。支持温度、电压、网线通讯和视频源信号状态检测。支持5Pin液晶模块。</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9963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张</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4709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FCB3B">
            <w:pPr>
              <w:widowControl/>
              <w:rPr>
                <w:rFonts w:hint="eastAsia" w:ascii="宋体" w:hAnsi="宋体" w:eastAsia="宋体" w:cs="宋体"/>
                <w:color w:val="000000"/>
                <w:sz w:val="24"/>
              </w:rPr>
            </w:pPr>
          </w:p>
        </w:tc>
      </w:tr>
      <w:tr w14:paraId="598E33E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E83E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7FEC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边框</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4FBE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7.962*1.434 铝材边框。</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13CF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D8ED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11.52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E0BF9">
            <w:pPr>
              <w:widowControl/>
              <w:rPr>
                <w:rFonts w:hint="eastAsia" w:ascii="宋体" w:hAnsi="宋体" w:eastAsia="宋体" w:cs="宋体"/>
                <w:color w:val="000000"/>
                <w:sz w:val="24"/>
              </w:rPr>
            </w:pPr>
          </w:p>
        </w:tc>
      </w:tr>
      <w:tr w14:paraId="0609EFB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B47E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2D20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配电箱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FE6E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1.类型：15KW配电柜。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2.控制：PLC控制器，网络远程控制。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3.元器件：断路器，接触器。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4.输入电压：380V，三相五线。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5.输出电压：220V。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6.输出回路：6个单相回路。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9102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D1D1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1669A">
            <w:pPr>
              <w:widowControl/>
              <w:rPr>
                <w:rFonts w:hint="eastAsia" w:ascii="宋体" w:hAnsi="宋体" w:eastAsia="宋体" w:cs="宋体"/>
                <w:color w:val="000000"/>
                <w:sz w:val="24"/>
              </w:rPr>
            </w:pPr>
          </w:p>
        </w:tc>
      </w:tr>
      <w:tr w14:paraId="20C0BDE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5483">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1.4</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D0A4B">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大厅内信息发布系统</w:t>
            </w:r>
          </w:p>
        </w:tc>
      </w:tr>
      <w:tr w14:paraId="460ECB2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14A6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F9626">
            <w:pPr>
              <w:widowControl/>
              <w:jc w:val="left"/>
              <w:textAlignment w:val="center"/>
              <w:rPr>
                <w:rFonts w:hint="eastAsia" w:ascii="宋体" w:hAnsi="宋体" w:eastAsia="宋体" w:cs="宋体"/>
                <w:b/>
                <w:bCs/>
                <w:color w:val="000000"/>
                <w:sz w:val="24"/>
              </w:rPr>
            </w:pPr>
            <w:r>
              <w:rPr>
                <w:rFonts w:hint="eastAsia" w:ascii="宋体" w:hAnsi="宋体" w:eastAsia="宋体" w:cs="宋体"/>
                <w:color w:val="000000"/>
                <w:kern w:val="0"/>
                <w:sz w:val="24"/>
                <w:lang w:bidi="ar"/>
              </w:rPr>
              <w:t>大厅内信息发布系统</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0160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像素间距2.0mm，像素密度250000点/㎡，模组分辨率160*80，模组尺寸320mm（W）×160mm（H），水平视角160°，垂直视角140°，显示屏亮度≥500，对比度3000:1，换帧频率60HZ，刷新率≥3840HZ，峰值功耗469W/m2，平均功耗235W/m2。</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91B4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8307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6.76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7E526">
            <w:pPr>
              <w:widowControl/>
              <w:rPr>
                <w:rFonts w:hint="eastAsia" w:ascii="宋体" w:hAnsi="宋体" w:eastAsia="宋体" w:cs="宋体"/>
                <w:color w:val="000000"/>
                <w:sz w:val="24"/>
              </w:rPr>
            </w:pPr>
          </w:p>
        </w:tc>
      </w:tr>
      <w:tr w14:paraId="350406E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57E8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3BA3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B9A2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输出电压：4.5V，输出电流：，40A，额定功率：180W，输入电压：200～240VAC，交流电流：230VAC/3.0A，浪涌电流：60A/230VAC，工作温度：-20℃～+70℃ （AC 230V）（参考负载温度降额曲线），工作湿度：20～95%RH不凝固，可靠性高，负载能力强，符合3C要求。</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E9F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E79B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F0232">
            <w:pPr>
              <w:widowControl/>
              <w:rPr>
                <w:rFonts w:hint="eastAsia" w:ascii="宋体" w:hAnsi="宋体" w:eastAsia="宋体" w:cs="宋体"/>
                <w:color w:val="000000"/>
                <w:sz w:val="24"/>
              </w:rPr>
            </w:pPr>
          </w:p>
        </w:tc>
      </w:tr>
      <w:tr w14:paraId="3FE4D53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A152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B34D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视频拼控</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6FFB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BC5C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F17A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BD3B0">
            <w:pPr>
              <w:widowControl/>
              <w:rPr>
                <w:rFonts w:hint="eastAsia" w:ascii="宋体" w:hAnsi="宋体" w:eastAsia="宋体" w:cs="宋体"/>
                <w:color w:val="000000"/>
                <w:sz w:val="24"/>
              </w:rPr>
            </w:pPr>
          </w:p>
        </w:tc>
      </w:tr>
      <w:tr w14:paraId="23B629B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5664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1282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接收卡</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D434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集成12个标准HUB75接口，免接HUB板。采用千兆网口，可以连接PC端。支持逐点亮色度校正。支持接收卡预存画面设置。支持温度、电压、网线通讯和视频源信号状态检测。支持5Pin液晶模块。</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A7A4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张</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1787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41ED">
            <w:pPr>
              <w:widowControl/>
              <w:rPr>
                <w:rFonts w:hint="eastAsia" w:ascii="宋体" w:hAnsi="宋体" w:eastAsia="宋体" w:cs="宋体"/>
                <w:color w:val="000000"/>
                <w:sz w:val="24"/>
              </w:rPr>
            </w:pPr>
          </w:p>
        </w:tc>
      </w:tr>
      <w:tr w14:paraId="4CE46EF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A4A3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EBEF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边框</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08AB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不锈钢包边。</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032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4520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6.76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C96DC">
            <w:pPr>
              <w:widowControl/>
              <w:rPr>
                <w:rFonts w:hint="eastAsia" w:ascii="宋体" w:hAnsi="宋体" w:eastAsia="宋体" w:cs="宋体"/>
                <w:color w:val="000000"/>
                <w:sz w:val="24"/>
              </w:rPr>
            </w:pPr>
          </w:p>
        </w:tc>
      </w:tr>
      <w:tr w14:paraId="5374CD2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1F79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4FB8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控制电脑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7D3169FD">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FEE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FB93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15B35">
            <w:pPr>
              <w:widowControl/>
              <w:rPr>
                <w:rFonts w:hint="eastAsia" w:ascii="宋体" w:hAnsi="宋体" w:eastAsia="宋体" w:cs="宋体"/>
                <w:color w:val="000000"/>
                <w:sz w:val="24"/>
              </w:rPr>
            </w:pPr>
          </w:p>
        </w:tc>
      </w:tr>
      <w:tr w14:paraId="6C3B9DA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E52C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9F2A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吸顶音箱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E0AF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根据现场情况可选壁装、吸顶2种安装方式，高保真两分频设计，功率35/140瓦，定阻，标准阻抗8Ω。</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8797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8466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1F9DF">
            <w:pPr>
              <w:widowControl/>
              <w:rPr>
                <w:rFonts w:hint="eastAsia" w:ascii="宋体" w:hAnsi="宋体" w:eastAsia="宋体" w:cs="宋体"/>
                <w:color w:val="000000"/>
                <w:sz w:val="24"/>
              </w:rPr>
            </w:pPr>
          </w:p>
        </w:tc>
      </w:tr>
      <w:tr w14:paraId="51F73D0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CE27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9E44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功放</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8205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1.额定输出功率 260W。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2.输出方式 4-16 ohms（Ω）定阻输出。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3.260W 70V（19 ohms（Ω）） 100V（39  ohms（Ω））定压输出。</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40B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5776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C332">
            <w:pPr>
              <w:widowControl/>
              <w:rPr>
                <w:rFonts w:hint="eastAsia" w:ascii="宋体" w:hAnsi="宋体" w:eastAsia="宋体" w:cs="宋体"/>
                <w:color w:val="000000"/>
                <w:sz w:val="24"/>
              </w:rPr>
            </w:pPr>
          </w:p>
        </w:tc>
      </w:tr>
      <w:tr w14:paraId="58ABA81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C92D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A8B3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配电箱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B848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类型：</w:t>
            </w:r>
            <w:r>
              <w:rPr>
                <w:rFonts w:hint="eastAsia" w:ascii="宋体" w:hAnsi="宋体" w:eastAsia="宋体" w:cs="宋体"/>
                <w:color w:val="000000"/>
                <w:kern w:val="0"/>
                <w:sz w:val="24"/>
                <w:lang w:bidi="ar"/>
              </w:rPr>
              <w:t>15KW</w:t>
            </w:r>
            <w:r>
              <w:rPr>
                <w:rStyle w:val="27"/>
                <w:rFonts w:hint="eastAsia" w:ascii="宋体" w:hAnsi="宋体" w:eastAsia="宋体" w:cs="宋体"/>
                <w:sz w:val="24"/>
                <w:szCs w:val="24"/>
                <w:lang w:bidi="ar"/>
              </w:rPr>
              <w:t>配电柜。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w:t>
            </w:r>
            <w:r>
              <w:rPr>
                <w:rStyle w:val="27"/>
                <w:rFonts w:hint="eastAsia" w:ascii="宋体" w:hAnsi="宋体" w:eastAsia="宋体" w:cs="宋体"/>
                <w:sz w:val="24"/>
                <w:szCs w:val="24"/>
                <w:lang w:bidi="ar"/>
              </w:rPr>
              <w:t>控制：</w:t>
            </w:r>
            <w:r>
              <w:rPr>
                <w:rFonts w:hint="eastAsia" w:ascii="宋体" w:hAnsi="宋体" w:eastAsia="宋体" w:cs="宋体"/>
                <w:color w:val="000000"/>
                <w:kern w:val="0"/>
                <w:sz w:val="24"/>
                <w:lang w:bidi="ar"/>
              </w:rPr>
              <w:t>PLC</w:t>
            </w:r>
            <w:r>
              <w:rPr>
                <w:rStyle w:val="27"/>
                <w:rFonts w:hint="eastAsia" w:ascii="宋体" w:hAnsi="宋体" w:eastAsia="宋体" w:cs="宋体"/>
                <w:sz w:val="24"/>
                <w:szCs w:val="24"/>
                <w:lang w:bidi="ar"/>
              </w:rPr>
              <w:t>控制器，网络远程控制。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w:t>
            </w:r>
            <w:r>
              <w:rPr>
                <w:rStyle w:val="27"/>
                <w:rFonts w:hint="eastAsia" w:ascii="宋体" w:hAnsi="宋体" w:eastAsia="宋体" w:cs="宋体"/>
                <w:sz w:val="24"/>
                <w:szCs w:val="24"/>
                <w:lang w:bidi="ar"/>
              </w:rPr>
              <w:t>元器件：断路器，接触器。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w:t>
            </w:r>
            <w:r>
              <w:rPr>
                <w:rStyle w:val="27"/>
                <w:rFonts w:hint="eastAsia" w:ascii="宋体" w:hAnsi="宋体" w:eastAsia="宋体" w:cs="宋体"/>
                <w:sz w:val="24"/>
                <w:szCs w:val="24"/>
                <w:lang w:bidi="ar"/>
              </w:rPr>
              <w:t>输入电压：</w:t>
            </w:r>
            <w:r>
              <w:rPr>
                <w:rFonts w:hint="eastAsia" w:ascii="宋体" w:hAnsi="宋体" w:eastAsia="宋体" w:cs="宋体"/>
                <w:color w:val="000000"/>
                <w:kern w:val="0"/>
                <w:sz w:val="24"/>
                <w:lang w:bidi="ar"/>
              </w:rPr>
              <w:t>380V</w:t>
            </w:r>
            <w:r>
              <w:rPr>
                <w:rStyle w:val="27"/>
                <w:rFonts w:hint="eastAsia" w:ascii="宋体" w:hAnsi="宋体" w:eastAsia="宋体" w:cs="宋体"/>
                <w:sz w:val="24"/>
                <w:szCs w:val="24"/>
                <w:lang w:bidi="ar"/>
              </w:rPr>
              <w:t>，三相五线。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w:t>
            </w:r>
            <w:r>
              <w:rPr>
                <w:rStyle w:val="27"/>
                <w:rFonts w:hint="eastAsia" w:ascii="宋体" w:hAnsi="宋体" w:eastAsia="宋体" w:cs="宋体"/>
                <w:sz w:val="24"/>
                <w:szCs w:val="24"/>
                <w:lang w:bidi="ar"/>
              </w:rPr>
              <w:t>输出电压：</w:t>
            </w:r>
            <w:r>
              <w:rPr>
                <w:rFonts w:hint="eastAsia" w:ascii="宋体" w:hAnsi="宋体" w:eastAsia="宋体" w:cs="宋体"/>
                <w:color w:val="000000"/>
                <w:kern w:val="0"/>
                <w:sz w:val="24"/>
                <w:lang w:bidi="ar"/>
              </w:rPr>
              <w:t>220V</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w:t>
            </w:r>
            <w:r>
              <w:rPr>
                <w:rStyle w:val="27"/>
                <w:rFonts w:hint="eastAsia" w:ascii="宋体" w:hAnsi="宋体" w:eastAsia="宋体" w:cs="宋体"/>
                <w:sz w:val="24"/>
                <w:szCs w:val="24"/>
                <w:lang w:bidi="ar"/>
              </w:rPr>
              <w:t>输出回路：</w:t>
            </w:r>
            <w:r>
              <w:rPr>
                <w:rFonts w:hint="eastAsia" w:ascii="宋体" w:hAnsi="宋体" w:eastAsia="宋体" w:cs="宋体"/>
                <w:color w:val="000000"/>
                <w:kern w:val="0"/>
                <w:sz w:val="24"/>
                <w:lang w:bidi="ar"/>
              </w:rPr>
              <w:t>6</w:t>
            </w:r>
            <w:r>
              <w:rPr>
                <w:rStyle w:val="27"/>
                <w:rFonts w:hint="eastAsia" w:ascii="宋体" w:hAnsi="宋体" w:eastAsia="宋体" w:cs="宋体"/>
                <w:sz w:val="24"/>
                <w:szCs w:val="24"/>
                <w:lang w:bidi="ar"/>
              </w:rPr>
              <w:t>个单相回路。</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8678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8146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4CC3B">
            <w:pPr>
              <w:widowControl/>
              <w:rPr>
                <w:rFonts w:hint="eastAsia" w:ascii="宋体" w:hAnsi="宋体" w:eastAsia="宋体" w:cs="宋体"/>
                <w:color w:val="000000"/>
                <w:sz w:val="24"/>
              </w:rPr>
            </w:pPr>
          </w:p>
        </w:tc>
      </w:tr>
      <w:tr w14:paraId="5EBD896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083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1.5</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23D11">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文印区</w:t>
            </w:r>
          </w:p>
        </w:tc>
      </w:tr>
      <w:tr w14:paraId="47077B8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C7D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AC53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台式电脑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608CA778">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1944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2B1B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F40D">
            <w:pPr>
              <w:widowControl/>
              <w:rPr>
                <w:rFonts w:hint="eastAsia" w:ascii="宋体" w:hAnsi="宋体" w:eastAsia="宋体" w:cs="宋体"/>
                <w:color w:val="000000"/>
                <w:sz w:val="24"/>
              </w:rPr>
            </w:pPr>
          </w:p>
        </w:tc>
      </w:tr>
      <w:tr w14:paraId="0E7FE1E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9C31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EA1F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黑白激光多功能一体机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8AC0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国产化打印机，单页打印速度：≥35/分钟；首页打印时间：≤4s；自动双面打印，双面打印速度：≥20/分钟。</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BF82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B12B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A7CBC">
            <w:pPr>
              <w:widowControl/>
              <w:rPr>
                <w:rFonts w:hint="eastAsia" w:ascii="宋体" w:hAnsi="宋体" w:eastAsia="宋体" w:cs="宋体"/>
                <w:color w:val="000000"/>
                <w:sz w:val="24"/>
              </w:rPr>
            </w:pPr>
          </w:p>
        </w:tc>
      </w:tr>
      <w:tr w14:paraId="77B82BB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96DAC">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1.6</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3FC5">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线材及辅材</w:t>
            </w:r>
          </w:p>
        </w:tc>
      </w:tr>
      <w:tr w14:paraId="5F5176B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168A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823B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电缆线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FBA2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4平方线缆。</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4BEA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2389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22710">
            <w:pPr>
              <w:widowControl/>
              <w:rPr>
                <w:rFonts w:hint="eastAsia" w:ascii="宋体" w:hAnsi="宋体" w:eastAsia="宋体" w:cs="宋体"/>
                <w:color w:val="000000"/>
                <w:sz w:val="24"/>
              </w:rPr>
            </w:pPr>
          </w:p>
        </w:tc>
      </w:tr>
      <w:tr w14:paraId="162F86E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258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02D6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六类双绞线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A398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六类网线、非屏蔽纯铜线千兆网线箱线灰色305米。</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D048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3496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4654F">
            <w:pPr>
              <w:widowControl/>
              <w:rPr>
                <w:rFonts w:hint="eastAsia" w:ascii="宋体" w:hAnsi="宋体" w:eastAsia="宋体" w:cs="宋体"/>
                <w:color w:val="000000"/>
                <w:sz w:val="24"/>
              </w:rPr>
            </w:pPr>
          </w:p>
        </w:tc>
      </w:tr>
      <w:tr w14:paraId="6FA454A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81C6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72B6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音响线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91C4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1.5平方专业音响线。</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E3E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CB2D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4C19B">
            <w:pPr>
              <w:widowControl/>
              <w:rPr>
                <w:rFonts w:hint="eastAsia" w:ascii="宋体" w:hAnsi="宋体" w:eastAsia="宋体" w:cs="宋体"/>
                <w:color w:val="000000"/>
                <w:sz w:val="24"/>
              </w:rPr>
            </w:pPr>
          </w:p>
        </w:tc>
      </w:tr>
      <w:tr w14:paraId="1514203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0D34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521D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FAB3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RVV电线电缆 国标纯铜环保 RVV3*2.5。</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837B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E666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9871">
            <w:pPr>
              <w:widowControl/>
              <w:rPr>
                <w:rFonts w:hint="eastAsia" w:ascii="宋体" w:hAnsi="宋体" w:eastAsia="宋体" w:cs="宋体"/>
                <w:color w:val="000000"/>
                <w:sz w:val="24"/>
              </w:rPr>
            </w:pPr>
          </w:p>
        </w:tc>
      </w:tr>
      <w:tr w14:paraId="4187B61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4868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95A0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线缆辅材</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0BEB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光纤跳线、网络跳线等。</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0BD4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A4E5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C61FB">
            <w:pPr>
              <w:widowControl/>
              <w:rPr>
                <w:rFonts w:hint="eastAsia" w:ascii="宋体" w:hAnsi="宋体" w:eastAsia="宋体" w:cs="宋体"/>
                <w:color w:val="000000"/>
                <w:sz w:val="24"/>
              </w:rPr>
            </w:pPr>
          </w:p>
        </w:tc>
      </w:tr>
      <w:tr w14:paraId="27C3356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2983C">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（二）</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6E885">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执行大厅</w:t>
            </w:r>
          </w:p>
        </w:tc>
      </w:tr>
      <w:tr w14:paraId="19BB812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43FE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57F0">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执行窗口服务区</w:t>
            </w:r>
          </w:p>
        </w:tc>
      </w:tr>
      <w:tr w14:paraId="197F6F7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6B5D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A0E6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P3全彩LED条屏</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792C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像素间距3.0mm，像素密度111111点/㎡，模组分辨率64*64，模组尺寸192mm（W）×192mm（H），水平视角160°，垂直视角140°，显示屏亮度≥500，对比度3000:1，换帧频率60HZ，刷新率≥1920HZ，峰值功耗408W/m2，平均功耗204W/m2。</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7DFA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CA67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5.23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B3365">
            <w:pPr>
              <w:widowControl/>
              <w:rPr>
                <w:rFonts w:hint="eastAsia" w:ascii="宋体" w:hAnsi="宋体" w:eastAsia="宋体" w:cs="宋体"/>
                <w:color w:val="000000"/>
                <w:sz w:val="24"/>
              </w:rPr>
            </w:pPr>
          </w:p>
        </w:tc>
      </w:tr>
      <w:tr w14:paraId="4293E82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36CB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F5FF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操作电脑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49A116EA">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8F1D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28EF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3722">
            <w:pPr>
              <w:widowControl/>
              <w:rPr>
                <w:rFonts w:hint="eastAsia" w:ascii="宋体" w:hAnsi="宋体" w:eastAsia="宋体" w:cs="宋体"/>
                <w:color w:val="000000"/>
                <w:sz w:val="24"/>
              </w:rPr>
            </w:pPr>
          </w:p>
        </w:tc>
      </w:tr>
      <w:tr w14:paraId="42AA7F9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EAB2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83EA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黑白激光多功能一体机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927F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国产化打印机，单页打印速度：≥35/分钟；首页打印时间：≤4s；自动双面打印，双面打印速度：≥20/分钟。</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F4CF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904A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B7AE">
            <w:pPr>
              <w:widowControl/>
              <w:rPr>
                <w:rFonts w:hint="eastAsia" w:ascii="宋体" w:hAnsi="宋体" w:eastAsia="宋体" w:cs="宋体"/>
                <w:color w:val="000000"/>
                <w:sz w:val="24"/>
              </w:rPr>
            </w:pPr>
          </w:p>
        </w:tc>
      </w:tr>
      <w:tr w14:paraId="1D63356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D23DD">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5999F">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法警值班室及监控室</w:t>
            </w:r>
          </w:p>
        </w:tc>
      </w:tr>
      <w:tr w14:paraId="355F75D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F662">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CBD09">
            <w:pPr>
              <w:widowControl/>
              <w:jc w:val="left"/>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操作电脑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4D9CB4EC">
            <w:pPr>
              <w:widowControl/>
              <w:jc w:val="left"/>
              <w:textAlignment w:val="top"/>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5AA7D">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A2E57">
            <w:pPr>
              <w:widowControl/>
              <w:jc w:val="center"/>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08A89">
            <w:pPr>
              <w:widowControl/>
              <w:rPr>
                <w:rFonts w:hint="eastAsia" w:ascii="宋体" w:hAnsi="宋体" w:eastAsia="宋体" w:cs="宋体"/>
                <w:color w:val="000000" w:themeColor="text1"/>
                <w:sz w:val="24"/>
                <w14:textFill>
                  <w14:solidFill>
                    <w14:schemeClr w14:val="tx1"/>
                  </w14:solidFill>
                </w14:textFill>
              </w:rPr>
            </w:pPr>
          </w:p>
        </w:tc>
      </w:tr>
      <w:tr w14:paraId="6A97085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7E124">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F27A">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便民服务区</w:t>
            </w:r>
          </w:p>
        </w:tc>
      </w:tr>
      <w:tr w14:paraId="69C1B0E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B92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745A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操作电脑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36378610">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ED36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1DE9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5AA44">
            <w:pPr>
              <w:widowControl/>
              <w:rPr>
                <w:rFonts w:hint="eastAsia" w:ascii="宋体" w:hAnsi="宋体" w:eastAsia="宋体" w:cs="宋体"/>
                <w:color w:val="000000"/>
                <w:sz w:val="24"/>
              </w:rPr>
            </w:pPr>
          </w:p>
        </w:tc>
      </w:tr>
      <w:tr w14:paraId="2BDC992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C11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7235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黑白激光多功能一体机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4377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国产化打印机，单页打印速度：≥35/分钟；首页打印时间：≤4s；自动双面打印，双面打印速度：≥20/分钟。</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1CA0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FF53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EF8D4">
            <w:pPr>
              <w:widowControl/>
              <w:rPr>
                <w:rFonts w:hint="eastAsia" w:ascii="宋体" w:hAnsi="宋体" w:eastAsia="宋体" w:cs="宋体"/>
                <w:color w:val="000000"/>
                <w:sz w:val="24"/>
              </w:rPr>
            </w:pPr>
          </w:p>
        </w:tc>
      </w:tr>
      <w:tr w14:paraId="00CCD59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D747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1.4</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9011F">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室外信息发布系统</w:t>
            </w:r>
          </w:p>
        </w:tc>
      </w:tr>
      <w:tr w14:paraId="541594D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A8E5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492C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室外P3全彩</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0A1E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像素间距3.076mm，像素密度105625点/㎡，模组分辨率104*52，模组尺寸320mm（W）×160mm（H），水平视角140°，垂直视角120°，显示屏亮度≥4500，换帧频率60HZ，刷新率≥1920HZ，峰值功耗800W/m2，平均功耗300W/m2，防护等级：正面IP65。</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1112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D1D3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11.52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1C4D">
            <w:pPr>
              <w:widowControl/>
              <w:rPr>
                <w:rFonts w:hint="eastAsia" w:ascii="宋体" w:hAnsi="宋体" w:eastAsia="宋体" w:cs="宋体"/>
                <w:color w:val="000000"/>
                <w:sz w:val="24"/>
              </w:rPr>
            </w:pPr>
          </w:p>
        </w:tc>
      </w:tr>
      <w:tr w14:paraId="35C3256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B879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CBDD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C883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输出电压：5V，输出电流：，40A，额定功率：200W，输入电压：200～240VAC，交流电流：2.5A（230VAC），浪涌电流：60A/230VAC，工作温度：-25℃～+60℃ （AC 230V）（参考负载温度降额曲线），工作湿度：20～95%RH不凝固，可靠性高，负载能力强，符合3C要求</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3C55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53B3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A7AC">
            <w:pPr>
              <w:widowControl/>
              <w:rPr>
                <w:rFonts w:hint="eastAsia" w:ascii="宋体" w:hAnsi="宋体" w:eastAsia="宋体" w:cs="宋体"/>
                <w:color w:val="000000"/>
                <w:sz w:val="24"/>
              </w:rPr>
            </w:pPr>
          </w:p>
        </w:tc>
      </w:tr>
      <w:tr w14:paraId="715A696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F024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6C25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视频拼控</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B7DE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A7E2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7947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64B7B">
            <w:pPr>
              <w:widowControl/>
              <w:rPr>
                <w:rFonts w:hint="eastAsia" w:ascii="宋体" w:hAnsi="宋体" w:eastAsia="宋体" w:cs="宋体"/>
                <w:color w:val="000000"/>
                <w:sz w:val="24"/>
              </w:rPr>
            </w:pPr>
          </w:p>
        </w:tc>
      </w:tr>
      <w:tr w14:paraId="70921A4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A655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E9B0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接收卡</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E9FB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集成12个标准HUB75接口，免接HUB板。采用千兆网口，可以连接PC端。支持逐点亮色度校正。支持接收卡预存画面设置。支持温度、电压、网线通讯和视频源信号状态检测。支持5Pin液晶模块。</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1AAC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张</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0C3A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F663E">
            <w:pPr>
              <w:widowControl/>
              <w:rPr>
                <w:rFonts w:hint="eastAsia" w:ascii="宋体" w:hAnsi="宋体" w:eastAsia="宋体" w:cs="宋体"/>
                <w:color w:val="000000"/>
                <w:sz w:val="24"/>
              </w:rPr>
            </w:pPr>
          </w:p>
        </w:tc>
      </w:tr>
      <w:tr w14:paraId="5EFDDA8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834F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4FA1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边框</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A2E3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7.962*1.434 铝材边框。</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B341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94C6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11.52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548FC">
            <w:pPr>
              <w:widowControl/>
              <w:rPr>
                <w:rFonts w:hint="eastAsia" w:ascii="宋体" w:hAnsi="宋体" w:eastAsia="宋体" w:cs="宋体"/>
                <w:color w:val="000000"/>
                <w:sz w:val="24"/>
              </w:rPr>
            </w:pPr>
          </w:p>
        </w:tc>
      </w:tr>
      <w:tr w14:paraId="2ED0783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4D43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F23A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控制电脑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5847319A">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6D7D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3D08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31744">
            <w:pPr>
              <w:widowControl/>
              <w:rPr>
                <w:rFonts w:hint="eastAsia" w:ascii="宋体" w:hAnsi="宋体" w:eastAsia="宋体" w:cs="宋体"/>
                <w:color w:val="000000"/>
                <w:sz w:val="24"/>
              </w:rPr>
            </w:pPr>
          </w:p>
        </w:tc>
      </w:tr>
      <w:tr w14:paraId="0B1D98D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016F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DE4C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配电箱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ED1C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1.类型：15KW配电柜。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2.控制：PLC控制器，网络远程控制。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3.元器件：断路器，接触器。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4.输入电压：380V，三相五线。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5.输出电压：220V。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6.输出回路：6个单相回路。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39D0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D1E6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3C947">
            <w:pPr>
              <w:widowControl/>
              <w:rPr>
                <w:rFonts w:hint="eastAsia" w:ascii="宋体" w:hAnsi="宋体" w:eastAsia="宋体" w:cs="宋体"/>
                <w:color w:val="000000"/>
                <w:sz w:val="24"/>
              </w:rPr>
            </w:pPr>
          </w:p>
        </w:tc>
      </w:tr>
      <w:tr w14:paraId="2F9214C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C2C3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1.5</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27B4">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线材及辅材</w:t>
            </w:r>
          </w:p>
        </w:tc>
      </w:tr>
      <w:tr w14:paraId="270E377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4282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6394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六类双绞线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097C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六类网线、非屏蔽纯铜线千兆网线箱线灰色305米。</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BD40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1305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83B78">
            <w:pPr>
              <w:widowControl/>
              <w:rPr>
                <w:rFonts w:hint="eastAsia" w:ascii="宋体" w:hAnsi="宋体" w:eastAsia="宋体" w:cs="宋体"/>
                <w:color w:val="000000"/>
                <w:sz w:val="24"/>
              </w:rPr>
            </w:pPr>
          </w:p>
        </w:tc>
      </w:tr>
      <w:tr w14:paraId="3A250FB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2DE5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9ABF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616B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RVV电线电缆 国标纯铜环保 RVV3*2.5。</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4B7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99CF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70C70">
            <w:pPr>
              <w:widowControl/>
              <w:rPr>
                <w:rFonts w:hint="eastAsia" w:ascii="宋体" w:hAnsi="宋体" w:eastAsia="宋体" w:cs="宋体"/>
                <w:color w:val="000000"/>
                <w:sz w:val="24"/>
              </w:rPr>
            </w:pPr>
          </w:p>
        </w:tc>
      </w:tr>
      <w:tr w14:paraId="029D20F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795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FC8D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线缆辅材</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86AA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HDMI线、网络跳线等。</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1137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5758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9C090">
            <w:pPr>
              <w:widowControl/>
              <w:rPr>
                <w:rFonts w:hint="eastAsia" w:ascii="宋体" w:hAnsi="宋体" w:eastAsia="宋体" w:cs="宋体"/>
                <w:color w:val="000000"/>
                <w:sz w:val="24"/>
              </w:rPr>
            </w:pPr>
          </w:p>
        </w:tc>
      </w:tr>
      <w:tr w14:paraId="48FB8DA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67699">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（三）</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0C7BD">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执行指挥中心</w:t>
            </w:r>
          </w:p>
        </w:tc>
      </w:tr>
      <w:tr w14:paraId="072F4D3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714E3">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95002">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大屏显示系统</w:t>
            </w:r>
          </w:p>
        </w:tc>
      </w:tr>
      <w:tr w14:paraId="7D4BDF5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1435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23C9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P1.2全彩LED屏</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A9B8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1.小间距LED全彩显示屏：显示尺寸为6.08*2.08m。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2.像素间距：1.25mm。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3.箱体比例：16：9，全封闭压铸铝材质。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4.像素结构：LED表贴三合一。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5.箱体分辨率：256*128。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6.像素密度：640000点/㎡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7.光学参数：显示屏亮度≥600cd/㎡，水平、垂直视角160°，亮度均匀性≥97%，最大对比度≥3000：1；刷新率：3840Hz。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8.电气参数：峰值功耗850W/㎡，平均功耗＜280W/㎡，供电要求110~220VAC±15%。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9.工作温度范围0—40℃，存储温度范围-10—50℃，工作湿度范围（RH）无结露10-60%，存储湿度范围（RH）无结露10-70%。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10.功能特性：支持任意方向、任意尺寸、任意造型拼接，画面均匀一致，无黑线，实现真正无缝拼接。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11.维护方式：支持前维护或后维护。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12.符合GB 4588.3-2002环氧玻璃布层压板，机械性能、电性能、耐高湿性能以及耐焊接性能。</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E93C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89A4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12.65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467B9">
            <w:pPr>
              <w:widowControl/>
              <w:rPr>
                <w:rFonts w:hint="eastAsia" w:ascii="宋体" w:hAnsi="宋体" w:eastAsia="宋体" w:cs="宋体"/>
                <w:color w:val="000000"/>
                <w:sz w:val="24"/>
              </w:rPr>
            </w:pPr>
          </w:p>
        </w:tc>
      </w:tr>
      <w:tr w14:paraId="560F666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3590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C491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发送卡</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52CE1EB3">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支持1路DVI视频源输入，支持1路HDMI视频源输入，1路AUDIO音频输入，4路网口输出，单台设备最大输入分辨率为1920×1200@60Hz。通过方口USB接口与PC端进行通信，通过UART串口进行设备级联，最大支持级联20台设备。支持一路光探头接口，1路方口USB控制接口，2路UART控制接口；逐点亮色度校正。</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C9D5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D8E3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5ABDE">
            <w:pPr>
              <w:widowControl/>
              <w:rPr>
                <w:rFonts w:hint="eastAsia" w:ascii="宋体" w:hAnsi="宋体" w:eastAsia="宋体" w:cs="宋体"/>
                <w:color w:val="0000FF"/>
                <w:sz w:val="24"/>
                <w:u w:val="single"/>
              </w:rPr>
            </w:pPr>
          </w:p>
        </w:tc>
      </w:tr>
      <w:tr w14:paraId="4FBA2F9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82F8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4D53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接收卡</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38FA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集成 8 个标准 HUB320 接口，免接 HUB 板。采用千兆网口，可以连接 PC 端。支持逐点亮色度校正。支持接收卡预存画面设置。支持温度、电压、网线通讯和视频源信号状态检测。支持 5Pin 液晶模块。</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A746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张</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1382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4706F">
            <w:pPr>
              <w:widowControl/>
              <w:rPr>
                <w:rFonts w:hint="eastAsia" w:ascii="宋体" w:hAnsi="宋体" w:eastAsia="宋体" w:cs="宋体"/>
                <w:color w:val="000000"/>
                <w:sz w:val="24"/>
              </w:rPr>
            </w:pPr>
          </w:p>
        </w:tc>
      </w:tr>
      <w:tr w14:paraId="2A4075B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152F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942D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开关电源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551B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输出电压：4.5V，输出电流：50A，额定功率：250W，输入电压：200～240VAC，交流电流：2.5A（230VAC），浪涌电流：60A/230VAC，工作温度：-20℃～+50℃ （AC 230V）（参考负载温度降额曲线），工作湿度：20～90%RH不凝固，可靠性高，负载能力强，符合3C要求。</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DF61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7755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CD33C">
            <w:pPr>
              <w:widowControl/>
              <w:rPr>
                <w:rFonts w:hint="eastAsia" w:ascii="宋体" w:hAnsi="宋体" w:eastAsia="宋体" w:cs="宋体"/>
                <w:color w:val="000000"/>
                <w:sz w:val="24"/>
              </w:rPr>
            </w:pPr>
          </w:p>
        </w:tc>
      </w:tr>
      <w:tr w14:paraId="40885BC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0F44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818D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显示屏结构支架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EC4A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6.08*2.08m   厚度10-20CM，前维护，不锈钢包边。</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B29D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1CC0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12.65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83DC">
            <w:pPr>
              <w:widowControl/>
              <w:rPr>
                <w:rFonts w:hint="eastAsia" w:ascii="宋体" w:hAnsi="宋体" w:eastAsia="宋体" w:cs="宋体"/>
                <w:color w:val="000000"/>
                <w:sz w:val="24"/>
              </w:rPr>
            </w:pPr>
          </w:p>
        </w:tc>
      </w:tr>
      <w:tr w14:paraId="7CECCA5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688E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E35E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视频综合平台</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6CD66C54">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1.机箱高度：11U。</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2.业务板槽位数：7个输入输出槽位。</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3.业务板卡混插：支持。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4.整机编码能力：112路1080P@30hz。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5.整机拼接能力：56。</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6.热插拔：支持。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7.机箱屏幕：支持。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8.电视墙数量：≤16个。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9.电视墙规模：≤56。</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10.虚拟分屏：支持。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11.开窗数量：16。</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12.单口画面分割数：1/4/6/8/9/16。</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13.支持超高分辨率输入能力须满足或超过以下分辨率：支持接入4096x4320、8192x2160、15360x6480、15360x8460、16384x6480等分辨率图像信号。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14.音频编码功能：支持G.722、G.711u、G.711A、PCM格式编码选项。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15.支持手动视频切换、异步切换，画面切换时不出现黑屏。</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6C00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2EED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29862">
            <w:pPr>
              <w:widowControl/>
              <w:rPr>
                <w:rFonts w:hint="eastAsia" w:ascii="宋体" w:hAnsi="宋体" w:eastAsia="宋体" w:cs="宋体"/>
                <w:color w:val="0000FF"/>
                <w:sz w:val="24"/>
                <w:u w:val="single"/>
              </w:rPr>
            </w:pPr>
          </w:p>
        </w:tc>
      </w:tr>
      <w:tr w14:paraId="057C590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BEE7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8D46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输入板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9469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1.视频输入口：8路视频输入，HDMI口（HDMI音频内嵌，实现HDMI视音频信号通过HDMI线接入）。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2.输入分辨率：1024×768@60Hz、1280×1024@60Hz、1280×800@60Hz、1366×768@60Hz、1440×900@60Hz、1680×1050@60Hz、1280×960@60Hz、1600×1200@60Hz、1280×720P@50Hz、1280×720P@60Hz、1920×1080I@50Hz、1920×1080I@60Hz、1920×1080P@50Hz、1920×1080P@60Hz。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3.编码标准：标准H.264。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4.编码能力：8路，支持的编码分辨率为：1080P/720P/4CIF/CIF/QCIF。</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5DA2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F2AE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D380F">
            <w:pPr>
              <w:widowControl/>
              <w:rPr>
                <w:rFonts w:hint="eastAsia" w:ascii="宋体" w:hAnsi="宋体" w:eastAsia="宋体" w:cs="宋体"/>
                <w:color w:val="0000FF"/>
                <w:sz w:val="24"/>
                <w:u w:val="single"/>
              </w:rPr>
            </w:pPr>
          </w:p>
        </w:tc>
      </w:tr>
      <w:tr w14:paraId="3344737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F9F7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51D6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输入板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5C05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1.视频输入口：8路视频输入，4个VGA和4个DVI；</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2.输入分辨率：1024×768@60Hz、1280×1024@60Hz、1280×800@60Hz、1366×768@60Hz、1440×900@60Hz、1680×1050@60Hz、1280×960@60Hz、1600×1200@60Hz、1280×720P@50Hz、1280×720P@60Hz、1920×1080I@50Hz、1920×1080I@60Hz、1920×1080P@50Hz、1920×1080P@60Hz。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3.音频输入口：8路音频输入，1个DB15转BNC接口。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4.编码标准：标准H.264。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5.编码能力：8路，支持的编码分辨率为：1080P/720P/4CIF/CIF/QCIF。</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0FE9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280D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5066D">
            <w:pPr>
              <w:widowControl/>
              <w:rPr>
                <w:rFonts w:hint="eastAsia" w:ascii="宋体" w:hAnsi="宋体" w:eastAsia="宋体" w:cs="宋体"/>
                <w:color w:val="0000FF"/>
                <w:sz w:val="24"/>
                <w:u w:val="single"/>
              </w:rPr>
            </w:pPr>
          </w:p>
        </w:tc>
      </w:tr>
      <w:tr w14:paraId="0361FEF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E7D5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B35A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输出板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6AA6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1.视频输出接口类型：HDMI 1.4。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2.视频输出接口数：8。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3.视频输出分辨率：3840x2160@30Hz（仅奇数口）、1600*1200@60Hz（仅奇数口）、1920×1080@60Hz、1920×1080@50Hz、1680×1050@60Hz、1280×720@60Hz、1280×720@50Hz、1280×1024@60Hz、1024×768@60Hz。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4.音频输出接口类型：1个DB15接口，转8路BNC（线性电平，阻抗：600Ω）。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5.音频输出接口数：8。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6.音频解码通道数：128。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7.音频解码格式：G711A、G711U、G722、AAC、G726、MPEG。</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3FD9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58C3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FD598">
            <w:pPr>
              <w:widowControl/>
              <w:rPr>
                <w:rFonts w:hint="eastAsia" w:ascii="宋体" w:hAnsi="宋体" w:eastAsia="宋体" w:cs="宋体"/>
                <w:color w:val="0000FF"/>
                <w:sz w:val="24"/>
                <w:u w:val="single"/>
              </w:rPr>
            </w:pPr>
          </w:p>
        </w:tc>
      </w:tr>
      <w:tr w14:paraId="489D27A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FF06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7482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大屏控制软件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7259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大屏显控软件，支持8Gwindows系统部署，包含大屏显控、平板操控、内容切换、中控管理的功能。</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987D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C29B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9A573">
            <w:pPr>
              <w:widowControl/>
              <w:rPr>
                <w:rFonts w:hint="eastAsia" w:ascii="宋体" w:hAnsi="宋体" w:eastAsia="宋体" w:cs="宋体"/>
                <w:color w:val="0000FF"/>
                <w:sz w:val="24"/>
                <w:u w:val="single"/>
              </w:rPr>
            </w:pPr>
          </w:p>
        </w:tc>
      </w:tr>
      <w:tr w14:paraId="2EE03D5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7540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FCEB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配电箱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9F61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配备逐级上电单元模块，控制强电的开关，安全方便，提供380V/220V电压；功率15KW，分布逐级级上电配备，箱体尺寸：300*400*135MM，显示屏输出路数：3路。</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496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45F0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E11DE">
            <w:pPr>
              <w:widowControl/>
              <w:rPr>
                <w:rFonts w:hint="eastAsia" w:ascii="宋体" w:hAnsi="宋体" w:eastAsia="宋体" w:cs="宋体"/>
                <w:color w:val="000000"/>
                <w:sz w:val="24"/>
              </w:rPr>
            </w:pPr>
          </w:p>
        </w:tc>
      </w:tr>
      <w:tr w14:paraId="203826B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D8486">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1EDB0">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拾音器</w:t>
            </w:r>
          </w:p>
        </w:tc>
      </w:tr>
      <w:tr w14:paraId="28DF9BD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23A0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83E6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拾音器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F1A4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结构：针孔式；监听面积：35平方米；灵敏度：-47dB；指向特性：全指向性；信噪比：50dB；颜色：白色、黑色。配专用适配器调节器。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F473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B0E5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152BA">
            <w:pPr>
              <w:widowControl/>
              <w:rPr>
                <w:rFonts w:hint="eastAsia" w:ascii="宋体" w:hAnsi="宋体" w:eastAsia="宋体" w:cs="宋体"/>
                <w:color w:val="000000"/>
                <w:sz w:val="24"/>
              </w:rPr>
            </w:pPr>
          </w:p>
        </w:tc>
      </w:tr>
      <w:tr w14:paraId="47AAA14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A3AB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BF78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智能网络球机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460A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1.支持声光警戒功能，≥400万7寸24倍全景镜头4mm全彩双眸球机。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2.传感器类型： 广角：1/1.8＂progressive scan CMOS； 变焦：1/2.8＂progressive scan CMOS。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3.焦距： 广角：4 mm； 变焦：4.5~108 mm，24倍光学变倍。</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4.视场角： 水平视场角：90°~3.3°（广角~望远）； 其中广角：90°；变焦：56.9°~3.3°。</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5.主码流帧率分辨率： 50 Hz：25 fps（2560 × 1440）；60Hz：20 fps（2560 × 1440）。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6.视频压缩标准： H.265，H.264，MJPEG。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7.网络接口： RJ45网口，自适应10M/100M网络数据。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8.报警输入： ≥2路报警输入；报警输出： ≥1路报警输出；音频输入： ≥1路音频输入；音频输出：≥1路音频输出。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白光照射距离： 30 m；红外照射距离： 200 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9.在单路和双路模式下，设备水平视场角均应≥90°。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10.支持双镜头从最小倍率至最大倍率或最大倍率至最小倍率的变倍过程中视频图像不间断。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11.除雾： 加热玻璃除雾。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12.防护： IP66。</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C68F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4A3F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28CA7">
            <w:pPr>
              <w:widowControl/>
              <w:rPr>
                <w:rFonts w:hint="eastAsia" w:ascii="宋体" w:hAnsi="宋体" w:eastAsia="宋体" w:cs="宋体"/>
                <w:color w:val="000000"/>
                <w:sz w:val="24"/>
              </w:rPr>
            </w:pPr>
          </w:p>
        </w:tc>
      </w:tr>
      <w:tr w14:paraId="1F774DB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B27D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462A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8C0A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球机专用支架。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4DFB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6C5F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5A351">
            <w:pPr>
              <w:widowControl/>
              <w:rPr>
                <w:rFonts w:hint="eastAsia" w:ascii="宋体" w:hAnsi="宋体" w:eastAsia="宋体" w:cs="宋体"/>
                <w:color w:val="000000"/>
                <w:sz w:val="24"/>
              </w:rPr>
            </w:pPr>
          </w:p>
        </w:tc>
      </w:tr>
      <w:tr w14:paraId="6EAA1CE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E3A6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36D1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智能半球摄像机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39BCE5DF">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1.≥400万 1/3" CMOS 智能半球型网络摄像机。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2.采用深度学习硬件及算法，支持越界侦测，区域入侵侦测，进入区域侦测和离开区域侦测，支持联动声音报警。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3.最低照度： 彩色：0.005 Lux @（F1.2，AGC ON），0 Lux with IR。</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4.补光距离： 最远可达30 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5.视频压缩标准： 主码流：H.265/H.264。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6.网络： 1个RJ45 10 M/100 M自适应以太网口。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7.音频： 1路输入（Line in）；1路输出（Line out）；1个内置麦克风，1个内置扬声器。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8.报警： 1路输入，1路输出（输出最大支持AC24/DC24 V，1 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9.防护： IP66，IK10。</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B5FA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2242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9766">
            <w:pPr>
              <w:widowControl/>
              <w:rPr>
                <w:rFonts w:hint="eastAsia" w:ascii="宋体" w:hAnsi="宋体" w:eastAsia="宋体" w:cs="宋体"/>
                <w:color w:val="000000"/>
                <w:sz w:val="24"/>
              </w:rPr>
            </w:pPr>
          </w:p>
        </w:tc>
      </w:tr>
      <w:tr w14:paraId="2302CD0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41653">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93568">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数字会议控制系统</w:t>
            </w:r>
          </w:p>
        </w:tc>
      </w:tr>
      <w:tr w14:paraId="6DD48DD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0049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C210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全数字会议系统主机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B775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1.设备具有音频时钟同步传输技术，音频延时小于5ms。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2.内置高性能DSP处理器，具有音频矩阵、啸叫抑制、EQ、音量、延时器等调节功能。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音频输入接口包括有≥1路RCA、≥1路卡侬头、≥2路凤凰端子。音频输出接口包括有≥1路RCA、≥1路卡侬头、≥16路凤凰端子。支持≥16通道音频输出功能，可灵活配置为角色分离输出模式、同传输出模式、相控输出模式。每个输出通道都可以调节EQ、音量、延时器等参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4.支持≥16通道角色分离输出模式，可使有线或无线单元根据ID号独立输出，最大支持128路有线单元或无线单元独立音频输出，并支持通过录音软件实现每个单元独立录音、或语音转写设备对接实现角色分离。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5.支持≥16通道同传输出模式，可使同传音频根据通道号独立输出，可供录音或监听设备使用。且输出通道数量，可通过外部设备扩展。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6.支持≥16通道相控输出模式，基于独创的会议矩阵技术，内置≥nx16音频矩阵处理器，实现≥16通道分组输出功能。可使任意输入源（包括所有输入源和在线话筒），按任意音量比例，输出到任意通道。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7.会议主机采用TCP/IP网络协议，且同时支持C/S、B/S架构，可供PC软件或浏览器控制。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8.通过WEB控制音频矩阵参数（包括EQ、音量、延时器、话筒灵敏度等）、输出模式切换、开关话筒同步、中英俄法四种语言切换、控制角色分离主机。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9.超大系统容量，系统最大支持≥4096台有线会议单元和≥300台无线会议单元。系统最大发言数量为≥16个有线话筒和≥8个无线话筒。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10.支持环形手拉手功能，确保在其中的一条网线断开或者单元出问题时，会议能继续正常进行。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11.具有支持中、英、俄、法文多种语言任意切换显示。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12.PC软件可查看在线无线单元的电池电量、WiFi信号等信息状态；支持一键关闭所有无线单元、单独关闭某个无线单元。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13.支持同声传译功能，系统最大可同时传输63+1的有线同声传译。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14.具有消防报警连动触发接口，提供火灾报警信息，第一时间提醒会场人员紧急撤离，确保与会人员安全。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15.支持PELCO-D、VISCA摄像机控制协议，可配合高清摄像跟踪主机，实现自动摄像跟踪。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16.≥四种话筒管理模式:FIFO（先进先出）、NORMAL（普通模式）、VOICE（声控模式）、APPLY（申请模式）。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17.系统具有发起会议签到、表决、选举、评级、满意度、自定义等功能。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18.具有≥4.3英寸全彩触摸屏，可实现对参数设置或查看，进行任意触摸操作。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19.强大的编ID功能，可对有线单元、无线单元、译员机、角色分离主机进行编ID。</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20.具备USB录音功能，可录制和播放会议记录。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21.支持≥10段 EQ调节功能，≥16路多功能输出通道与≥2路LINEOUT输出通道都具有≥10段 EQ调节功能。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22.支持AP信道扫描，监测现场的无线信道使用情况，支持信道自动或手动配置最佳信道，支持AP名称在线显示列表。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23.支持触摸屏幕输入注册码进行主机注册。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24.支持对接语音转写服务器，实现语音转写功能。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25.会议主机具备设置主机或从机功能，当主机出现故障时，可自动切换至从机运行，实现双备份功能。</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DF2D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9D85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DE203">
            <w:pPr>
              <w:widowControl/>
              <w:rPr>
                <w:rFonts w:hint="eastAsia" w:ascii="宋体" w:hAnsi="宋体" w:eastAsia="宋体" w:cs="宋体"/>
                <w:color w:val="0000FF"/>
                <w:sz w:val="24"/>
                <w:u w:val="single"/>
              </w:rPr>
            </w:pPr>
          </w:p>
        </w:tc>
      </w:tr>
      <w:tr w14:paraId="56BDD12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1672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F80C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音频传输内嵌软件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D7B2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1.软件内嵌于会议系统主机设备，应用于对传音会议系统音频传输软件的管理或控制。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2.支持同声传译功能。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3.内置DSP音频处理技术，支持EQ均衡调节音频处理能力。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4.支持话筒管理能力，通过不同的模式限制话筒发言数量，保障会场发言秩序。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5.软件支持根据话筒ID提供不同的代码编号给中控系统，与中控系统对接后，可实现摄像自动跟踪功能。</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C3C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9AAC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42B4">
            <w:pPr>
              <w:widowControl/>
              <w:rPr>
                <w:rFonts w:hint="eastAsia" w:ascii="宋体" w:hAnsi="宋体" w:eastAsia="宋体" w:cs="宋体"/>
                <w:color w:val="000000"/>
                <w:sz w:val="24"/>
              </w:rPr>
            </w:pPr>
          </w:p>
        </w:tc>
      </w:tr>
      <w:tr w14:paraId="598C17F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C9B6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1C18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会议延长线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9A04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20米延长线（一公一母）。</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7580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9DFC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A0B2F">
            <w:pPr>
              <w:widowControl/>
              <w:rPr>
                <w:rFonts w:hint="eastAsia" w:ascii="宋体" w:hAnsi="宋体" w:eastAsia="宋体" w:cs="宋体"/>
                <w:color w:val="000000"/>
                <w:sz w:val="24"/>
              </w:rPr>
            </w:pPr>
          </w:p>
        </w:tc>
      </w:tr>
      <w:tr w14:paraId="1B2B3281">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1FF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37B5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会议系统连接盒</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0100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1.一进三出连接单元。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 ≥100M/10M 自适应网络传输，可以实现手拉手级联。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3.每个六芯航空接口支持IEEE802.3、IEEE802.3u、 IEEE802.3x规范，具有较强的抗干扰能力。</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985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7F32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752AB">
            <w:pPr>
              <w:widowControl/>
              <w:rPr>
                <w:rFonts w:hint="eastAsia" w:ascii="宋体" w:hAnsi="宋体" w:eastAsia="宋体" w:cs="宋体"/>
                <w:color w:val="000000"/>
                <w:sz w:val="24"/>
              </w:rPr>
            </w:pPr>
          </w:p>
        </w:tc>
      </w:tr>
      <w:tr w14:paraId="366AC02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D442C">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1.4</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D2680">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扩音系统</w:t>
            </w:r>
          </w:p>
        </w:tc>
      </w:tr>
      <w:tr w14:paraId="193E6A0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ABF8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3A28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专业音箱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FA74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1.阻抗：8Ω。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2.频响：60Hz~20KHz。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3.额定功率≥200W。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4.灵敏度≥96dB/W/M。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5.水平覆盖角≥80°，垂直覆盖角≥60°。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6.高音：1.4"压缩高音单元×1。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7.低音：8"低音×1。</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1478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0EB3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792D">
            <w:pPr>
              <w:widowControl/>
              <w:rPr>
                <w:rFonts w:hint="eastAsia" w:ascii="宋体" w:hAnsi="宋体" w:eastAsia="宋体" w:cs="宋体"/>
                <w:color w:val="000000"/>
                <w:sz w:val="24"/>
              </w:rPr>
            </w:pPr>
          </w:p>
        </w:tc>
      </w:tr>
      <w:tr w14:paraId="7DEBD0E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718C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DD8D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功放</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48E7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1.固定面板固定孔尺寸（长*宽）：34mm*34mm。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2.箱体固定面板固定孔尺寸：110mm。</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52D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B575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1C97F">
            <w:pPr>
              <w:widowControl/>
              <w:rPr>
                <w:rFonts w:hint="eastAsia" w:ascii="宋体" w:hAnsi="宋体" w:eastAsia="宋体" w:cs="宋体"/>
                <w:color w:val="000000"/>
                <w:sz w:val="24"/>
              </w:rPr>
            </w:pPr>
          </w:p>
        </w:tc>
      </w:tr>
      <w:tr w14:paraId="0C3BF98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A4C9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8A86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调音台</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13AB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1.1U机箱设计，采用D类数字功放。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2.标准XLR输入接口，和LINK输出口，简洁的接口更加方便不同用户需求。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3.电源采用开关电源技术，效率高，有效的抑制电源谐波。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4.内置智能削峰限幅器，支持开机软启动，防止开机时向电网吸收大电流，干扰其它用电设备。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5.具有：过压保护，欠压保护，过流保护，直流保护，输出短路保护，温控风扇等功能。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6.输出功率：立体声@8Ω：≥350W×2；立体声@4Ω：≥600W×2。</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5E99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E929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B14DB">
            <w:pPr>
              <w:widowControl/>
              <w:rPr>
                <w:rFonts w:hint="eastAsia" w:ascii="宋体" w:hAnsi="宋体" w:eastAsia="宋体" w:cs="宋体"/>
                <w:color w:val="000000"/>
                <w:sz w:val="24"/>
              </w:rPr>
            </w:pPr>
          </w:p>
        </w:tc>
      </w:tr>
      <w:tr w14:paraId="7B4BCBA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FFC4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DA93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数字音频处理器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0E3F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1.支持≥8路麦克风输入兼容6路线路输入接口，支持≥2路立体声输入接口，≥4路RCA输入，话筒接口幻象电源：+48V。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2.具有≥2组立体主输出、≥4路编组输出、≥4路辅助输出、≥1组立体声监听输出、≥1个耳机监听输出、≥2个效果输出、≥1组主混音断点插入、≥6个断点插入。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3.内置≥24位DSP效果器，提供≥100种预设效果。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4.具备≥13个60mm行程的高精密碳膜推子。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5.内置USB声卡模块，支持连接电脑进行音乐播放和声音录音；内置MP3播放器，支持≥1个USB接口接U盘播放音乐。</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65DD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BA6A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607F4">
            <w:pPr>
              <w:widowControl/>
              <w:rPr>
                <w:rFonts w:hint="eastAsia" w:ascii="宋体" w:hAnsi="宋体" w:eastAsia="宋体" w:cs="宋体"/>
                <w:color w:val="000000"/>
                <w:sz w:val="24"/>
              </w:rPr>
            </w:pPr>
          </w:p>
        </w:tc>
      </w:tr>
      <w:tr w14:paraId="2A87C44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1498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E4A7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无线麦克风</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B4DD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1.数字音频处理器支持≥4路平衡式话筒/线路输入通道，采用裸线接口端子，平衡接法；支持≥4路平衡式线路输出，采用裸线接口端子，平衡接法。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2.输入通道支持前级放大、信号发生器、扩展器、压缩器、≥5段参量均衡、AM自动混音功能、AFC自适应反馈消除、AEC回声消除、ANC噪声消除。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3.输出通道支持≥31段图示均衡器、延时器、分频器、高低通滤波器、限幅器。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4.支持≥24bit/48kHz的声音，支持输入通道48V幻象供电。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5.具有≥2.19英寸液晶显示屏，支持显示设备网络信息、实时电平、通道静音状态、矩阵混音状态。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6.支持通过ipad或iPhone或安卓手机APP软件进行操作控制，面板具备USB接口，支持多媒体存储，可进行播放或存储录播。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7.配置双向RS-232接口，可用于控制外部设备；配置RS-485接口，可实现自动摄像跟踪功能。配置≥8通道可编程GPIO控制接口（可自定义输入输出）。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8.支持断电自动保护记忆功能。支持通道拷贝、粘贴、联控功能。支持通过浏览器访问设备，下载自带管理控制软件；可工作在XP/Windows7、8、10等系统环境下。</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6C53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8B62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0FAF1">
            <w:pPr>
              <w:widowControl/>
              <w:rPr>
                <w:rFonts w:hint="eastAsia" w:ascii="宋体" w:hAnsi="宋体" w:eastAsia="宋体" w:cs="宋体"/>
                <w:color w:val="000000"/>
                <w:sz w:val="24"/>
              </w:rPr>
            </w:pPr>
          </w:p>
        </w:tc>
      </w:tr>
      <w:tr w14:paraId="04155FA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25BC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85FD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天线分配器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0FCC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1.频率指标：优于530-580MHz，640-690MHz，调制方式：宽带FM，频道数目：≥200个频道。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2.配套有≥1台接收主机和≥2个无线手持话筒。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3.采用UHF超高频段双真分集接收，并采用PLL锁相环多信道频率合成技术。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4.接收机指标：采用自动选讯接收方式，灵敏度:≥12dB μV（80dBS/N），频率响应:优于50Hz-16.5kHz。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5.发射机指标：音头采用动圈式麦克风；手持麦克风内置螺旋天线。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6.输出功率:≥30mW。</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DC03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510F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7E8A8">
            <w:pPr>
              <w:widowControl/>
              <w:rPr>
                <w:rFonts w:hint="eastAsia" w:ascii="宋体" w:hAnsi="宋体" w:eastAsia="宋体" w:cs="宋体"/>
                <w:color w:val="000000"/>
                <w:sz w:val="24"/>
              </w:rPr>
            </w:pPr>
          </w:p>
        </w:tc>
      </w:tr>
      <w:tr w14:paraId="173DC57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75B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7C47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话筒天线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92B6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1.射频频率范围：优于450-950MHz。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2.驻波比：≤2.0。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3.输入阻抗：50Ω。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4.放大器底噪：＜3.6dB。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5.增益：18db（典型）。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6.极化方式：垂直。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7.前后比：≥25dB。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8.指向性：≥180度指向。</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1DE6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E487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00E9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配套包含</w:t>
            </w:r>
          </w:p>
        </w:tc>
      </w:tr>
      <w:tr w14:paraId="1CE5A21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D996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22A0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会议话筒处理器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432A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1.具有自动混音功能，包括增益共享型自动混音以及门限型自动混音。具有自动增益功能，能够有效将话筒音量保持在一定动态范围。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2.具有AFC反馈抑制功能，采用陷波+移频双方式，能够自动抓取啸叫点并设置陷波器陷波，陷波器支持≥12个固定点+≥12个动态点，可有效消除啸叫功能。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3.具有话筒语音激励功能，可设置跟踪阈值，当话筒发言达阈值时可实现联动摄像跟踪功能。具有EQ调节功能，输出具有≥31段图示均衡器调节。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3.具有≥2路网口，用于连接无线AP和与会议主机通信；通过网络协议对接数字会议主机，实现音频数据传输。具有≥1路EXTENSION接口，用于连接会议主机扩展口。具有≥1路卡侬平衡输出，≥1路莲花非平衡输出。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5.支持话筒同时开麦数量≥16个有线单元+≥8个无线单元。</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FDA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7AB3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10625">
            <w:pPr>
              <w:widowControl/>
              <w:rPr>
                <w:rFonts w:hint="eastAsia" w:ascii="宋体" w:hAnsi="宋体" w:eastAsia="宋体" w:cs="宋体"/>
                <w:color w:val="000000"/>
                <w:sz w:val="24"/>
              </w:rPr>
            </w:pPr>
          </w:p>
        </w:tc>
      </w:tr>
      <w:tr w14:paraId="4826356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9294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21EA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电源管理器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DCE0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1.支持不小于≥8通道电源时序打开/关闭，每路动作延时时间：1秒，支持远程控制（上电+24V直流信号）8通道电源时序打开/关闭—当电源开关处于off位置时有效。支持配置CH1和CH2通道为受控或不受控状态。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2.当远程控制有效时同时控制后板ALARM（报警）端口导通以起到级联控制ALARM（报警）功能。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3.单个通道最大负载功率≥2200W，所有通道负载总功率不小于6000W。输出连接器：多用途电源插座。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4.具有≥一路及以上USB输出接口。</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667B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6C58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3D744">
            <w:pPr>
              <w:widowControl/>
              <w:rPr>
                <w:rFonts w:hint="eastAsia" w:ascii="宋体" w:hAnsi="宋体" w:eastAsia="宋体" w:cs="宋体"/>
                <w:color w:val="000000"/>
                <w:sz w:val="24"/>
              </w:rPr>
            </w:pPr>
          </w:p>
        </w:tc>
      </w:tr>
      <w:tr w14:paraId="1E120BB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B0BD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291D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线缆及辅材</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073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视频线、音频线、电源线及安装附件等。</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ED8C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EC6D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F3F09">
            <w:pPr>
              <w:widowControl/>
              <w:rPr>
                <w:rFonts w:hint="eastAsia" w:ascii="宋体" w:hAnsi="宋体" w:eastAsia="宋体" w:cs="宋体"/>
                <w:color w:val="000000"/>
                <w:sz w:val="24"/>
              </w:rPr>
            </w:pPr>
          </w:p>
        </w:tc>
      </w:tr>
      <w:tr w14:paraId="32080D9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773D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3160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音频连接线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1FDF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1.8米音频连接线：卡侬头（母）-卡侬头（公）。</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8AF5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B88C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C0567">
            <w:pPr>
              <w:widowControl/>
              <w:rPr>
                <w:rFonts w:hint="eastAsia" w:ascii="宋体" w:hAnsi="宋体" w:eastAsia="宋体" w:cs="宋体"/>
                <w:color w:val="000000"/>
                <w:sz w:val="24"/>
              </w:rPr>
            </w:pPr>
          </w:p>
        </w:tc>
      </w:tr>
      <w:tr w14:paraId="1A5E6AC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5D8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5FD2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音频连接线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E5C9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1.8米音频连接线：6.35话筒插头-卡侬头（公）。</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1F3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E90E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A5EAA">
            <w:pPr>
              <w:widowControl/>
              <w:rPr>
                <w:rFonts w:hint="eastAsia" w:ascii="宋体" w:hAnsi="宋体" w:eastAsia="宋体" w:cs="宋体"/>
                <w:color w:val="000000"/>
                <w:sz w:val="24"/>
              </w:rPr>
            </w:pPr>
          </w:p>
        </w:tc>
      </w:tr>
      <w:tr w14:paraId="011A1B7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28DDD">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1.5</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914A7">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中央控制系统</w:t>
            </w:r>
          </w:p>
        </w:tc>
      </w:tr>
      <w:tr w14:paraId="1117059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B908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5242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中央控制系统主机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9A51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1.采用SMT全贴片式生产工艺，高度集成处理芯片，系统运行稳定、流畅。内置32位Cortex-A8 ARM架构内嵌式处理器，处理速度高达720MHz。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2.支持红外控制、RS-232、RS-422、RS-485、UDP、TCP、telnet、http、MQTT以及SNMP等多种协议，兼容性强，可对接第三方设备。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3.主机具备不少于4.3英寸触摸彩屏、≥8路独立可编程串口、≥8路独立可编程IR红外发射口、≥8路数字I/0控制口、≥8路弱电继电器控制接口、≥1个NET网络控制接口、≥1路TF卡接口。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4.支持状态反馈。操作人员可在控制端查看所有设备开关状态，设备受控情况一目了然，大大减轻操作人员工作强度，使用更加人性化。</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5.支持信号预览。用户可通过控制端查看会议摄像机画面并根据会议画面对设备进行调整，同时可查看多路画面。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6.支持双机热备份。当中控主机出现故障时，备用中控主机自动承担服务，切换时间小于1.2s，从而保证系统在不需要人工干预的情况下能正常运行。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7.支持触发联动。中控主机可根据传感器采集数据和预设数据进行比对，从而自动控制空调或加湿器等设备，使环境维持在舒适的温湿度范围内。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8.支持互联网控制。中控主机在连接互联网的情况下，用户可操作手机或平板等移动端通过互联网实现对中控主机远程控制。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9.支持语音控制。中控主机可搭配语音控制软件或支持对接主机的第三方语音音箱，通过将语音转换成中控指令，实现对周边设备控制或场景调用。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10.支持扫二维码控制。中控主机在连接互联网的情况下会在云平台自动生成二维码，通过微信或者浏览器扫一扫二维码，即可进入控制界面，实现对中控主机控制。支持密码权限设置。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11.支持定时控制。用户可预先设置定时控制任务，到达指定时间后，中控主机自动执行控制任务。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12.支持视频矩阵可视化控制。用户可通过控制端实时预览、拖动并切换矩阵视频信号，支持设置触碰和投放触发切换方式。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13.支持拼接矩阵可视化控制。用户可通过控制端实时预览、放大、缩小、拖动并切换拼接矩阵视频信号，可对输入信号源进行置底、置顶以及一键清屏等操作，支持设置触碰和投放触发切换方式。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14.支持电脑远程控制。当中控主机和电脑在同一局域网情况下，用户可通过控制端APP实时对电脑远程桌面控制并查看电脑工作状态。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15.对接云会务系统。用户通过手机APP或WEB端预约会议室时，可设置情景类型以及开始/结束时间。会议开始前，系统会自动调用场景，场景内所有设备联动启动或切换；会议结束后设备自动关闭。</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E6B6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AE2F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1556C">
            <w:pPr>
              <w:widowControl/>
              <w:rPr>
                <w:rFonts w:hint="eastAsia" w:ascii="宋体" w:hAnsi="宋体" w:eastAsia="宋体" w:cs="宋体"/>
                <w:color w:val="000000"/>
                <w:sz w:val="24"/>
              </w:rPr>
            </w:pPr>
          </w:p>
        </w:tc>
      </w:tr>
      <w:tr w14:paraId="030624B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D9D1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12AA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逻辑处理内嵌软件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EA06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1.软件内嵌于中央控制系统主机设备，实现系统控制逻辑、处理等功能。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2.主要包括硬件逻辑模块、软件逻辑模块、红外代码管理、编译、下载、监视等。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3.编程软件支持添加与实际工程对应硬件的逻辑模块。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4.实现串口代码数据、IR红外数据、继电器、I/O数据等的代码转发、逻辑算法处理等编程功能。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5.支持界面设计软件实现中控控制界面的制作及编辑，支持互锁模式，支持3D按键等灵活的按键设计模块。</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BCDA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C874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DCCCA">
            <w:pPr>
              <w:widowControl/>
              <w:rPr>
                <w:rFonts w:hint="eastAsia" w:ascii="宋体" w:hAnsi="宋体" w:eastAsia="宋体" w:cs="宋体"/>
                <w:color w:val="000000"/>
                <w:sz w:val="24"/>
              </w:rPr>
            </w:pPr>
          </w:p>
        </w:tc>
      </w:tr>
      <w:tr w14:paraId="3FBD416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C722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50A6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无线路由器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E05E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增强版双千兆路由器 1200M高速双频wifi 无线穿墙 路由 5G双频智能无线路由。</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4ACD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7394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D20B9">
            <w:pPr>
              <w:widowControl/>
              <w:rPr>
                <w:rFonts w:hint="eastAsia" w:ascii="宋体" w:hAnsi="宋体" w:eastAsia="宋体" w:cs="宋体"/>
                <w:color w:val="000000"/>
                <w:sz w:val="24"/>
              </w:rPr>
            </w:pPr>
          </w:p>
        </w:tc>
      </w:tr>
      <w:tr w14:paraId="300C82C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40C4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7C82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8路电源控制器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72BA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1.具有≥8路自动、手动电源控制器，内置8个20A继电器，最大负载能力4400W/单路；配合中控主机使用，用于控制灯光、电动投影幕、电动窗帘等会议室周边设备。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2.每路继电器都有三连接点的接线柱，具有常开与常闭的功能。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3.具有复位按键，支持恢复到出厂的默认设置。具有1路网络接口，支持通过网络实现远程控制。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4.具有设备运行状态指示灯及8个继电器的开关状态指示灯。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5.具有键盘锁（LOCK）功能。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6.具备ID识别，通过中控主机网络控制多台时，可通过ID识别。</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2A68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C0C8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924FB">
            <w:pPr>
              <w:widowControl/>
              <w:rPr>
                <w:rFonts w:hint="eastAsia" w:ascii="宋体" w:hAnsi="宋体" w:eastAsia="宋体" w:cs="宋体"/>
                <w:color w:val="000000"/>
                <w:sz w:val="24"/>
              </w:rPr>
            </w:pPr>
          </w:p>
        </w:tc>
      </w:tr>
      <w:tr w14:paraId="68C3043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2051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9A29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平板电脑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02C7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6+128GB WIFI版 钛空银 2.5K 120Hz护眼全面屏 多屏协同 悬浮键盘 商务办公平板电脑。</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78DE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ABBB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13B0C">
            <w:pPr>
              <w:widowControl/>
              <w:rPr>
                <w:rFonts w:hint="eastAsia" w:ascii="宋体" w:hAnsi="宋体" w:eastAsia="宋体" w:cs="宋体"/>
                <w:color w:val="000000"/>
                <w:sz w:val="24"/>
              </w:rPr>
            </w:pPr>
          </w:p>
        </w:tc>
      </w:tr>
      <w:tr w14:paraId="3AEA5F9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4948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1.6</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43F3BD">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配电及线材</w:t>
            </w:r>
          </w:p>
        </w:tc>
      </w:tr>
      <w:tr w14:paraId="38CCE34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1299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4B57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电缆</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2272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5芯10平国标阻燃C级，户外电缆硬线。</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5520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95D7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8689">
            <w:pPr>
              <w:widowControl/>
              <w:rPr>
                <w:rFonts w:hint="eastAsia" w:ascii="宋体" w:hAnsi="宋体" w:eastAsia="宋体" w:cs="宋体"/>
                <w:color w:val="000000"/>
                <w:sz w:val="24"/>
              </w:rPr>
            </w:pPr>
          </w:p>
        </w:tc>
      </w:tr>
      <w:tr w14:paraId="3EC4B32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6F1E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B1B1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电源线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AF19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RVV电线电缆，国标纯铜环保，RVV3*2.5 。</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3C69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756D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A6B57">
            <w:pPr>
              <w:widowControl/>
              <w:rPr>
                <w:rFonts w:hint="eastAsia" w:ascii="宋体" w:hAnsi="宋体" w:eastAsia="宋体" w:cs="宋体"/>
                <w:color w:val="000000"/>
                <w:sz w:val="24"/>
              </w:rPr>
            </w:pPr>
          </w:p>
        </w:tc>
      </w:tr>
      <w:tr w14:paraId="629D422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9FB7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100B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超六类双绞线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42E7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六类网线、非屏蔽纯铜线千兆网线箱线灰色305米。</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74C7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E5FA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78604">
            <w:pPr>
              <w:widowControl/>
              <w:rPr>
                <w:rFonts w:hint="eastAsia" w:ascii="宋体" w:hAnsi="宋体" w:eastAsia="宋体" w:cs="宋体"/>
                <w:color w:val="000000"/>
                <w:sz w:val="24"/>
              </w:rPr>
            </w:pPr>
          </w:p>
        </w:tc>
      </w:tr>
      <w:tr w14:paraId="44A5174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0F34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2658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网络机柜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CD6D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 xml:space="preserve">42U，600*800*2000标准网络机柜；含2个托盘，2个PDU；含机柜底座支架。按需配置。                                  </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9D5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F46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14231">
            <w:pPr>
              <w:widowControl/>
              <w:rPr>
                <w:rFonts w:hint="eastAsia" w:ascii="宋体" w:hAnsi="宋体" w:eastAsia="宋体" w:cs="宋体"/>
                <w:color w:val="000000"/>
                <w:sz w:val="24"/>
              </w:rPr>
            </w:pPr>
          </w:p>
        </w:tc>
      </w:tr>
      <w:tr w14:paraId="494CA2C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A276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7626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线缆辅材</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5FEA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光纤跳线、网络跳线、PVC管等。</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7173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2B54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16140">
            <w:pPr>
              <w:widowControl/>
              <w:rPr>
                <w:rFonts w:hint="eastAsia" w:ascii="宋体" w:hAnsi="宋体" w:eastAsia="宋体" w:cs="宋体"/>
                <w:color w:val="000000"/>
                <w:sz w:val="24"/>
              </w:rPr>
            </w:pPr>
          </w:p>
        </w:tc>
      </w:tr>
      <w:tr w14:paraId="4BA04B6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D6D8F">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1.7</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0C271">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执法前端设备</w:t>
            </w:r>
          </w:p>
        </w:tc>
      </w:tr>
      <w:tr w14:paraId="6C53677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A7C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28D6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执法记录仪</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8612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1.显示屏：2.4英寸TFT LCD，240*320，电容触摸屏。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2.CPU：8核64位处理器。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3.操作系统：Android 9.0。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4.内存：2GB。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5.视频输入：主机内置摄像机录像分辨率1920*1080。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6.视频录像：视频分辨率最高为1080P/30帧，1280×720、720x576可选。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7.双码流：录像1080P30，同时网传1080P30。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8.视频编码格式：H.264/H265。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9.拍照：主相机支持3000万像素。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10.快门：电子快门。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11.红外夜视：自动红外夜视灯开/关，滤光片自动切换。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12.白平衡：自动。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13.闪光灯：支持。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14.存储容量：内置存储，不可拆卸，存储芯片容量32GB。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15.卫星定位：内置GPS和北斗二代组合定位功能。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16.网络传输：支持4G全网通。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17.WIFI：支持WIFI功能，802.11b/g/n。</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18.传感器：加速度。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19.电池：可拆卸，3300mAh ，录像时长9h+。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20.按键：侧边实体键：开关机、拍照、录像、录音、SOS、PTT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21.充电方式：Mini USB接口；触点式USB接口。</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48F0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0DD2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1360C">
            <w:pPr>
              <w:widowControl/>
              <w:rPr>
                <w:rFonts w:hint="eastAsia" w:ascii="宋体" w:hAnsi="宋体" w:eastAsia="宋体" w:cs="宋体"/>
                <w:color w:val="000000"/>
                <w:sz w:val="24"/>
              </w:rPr>
            </w:pPr>
          </w:p>
        </w:tc>
      </w:tr>
      <w:tr w14:paraId="158DEC4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60D4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8927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记录仪底座</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8D7F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1.可支持整机设备充电和数据传输。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2.可支持一块锂电池充电。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3.外观精致，可配合采集站使用。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4.充电时间：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主机（关机）充电时间：约5.5小时（连桌面采集站）、约3.5小时（连适配器）。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主机（关机）+电池充电时间：约8小时。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电池单独充电时间：约8小时（连接桌面采集站）、约3小时（连适配器）。</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22A0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2F55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815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配套包含</w:t>
            </w:r>
          </w:p>
        </w:tc>
      </w:tr>
      <w:tr w14:paraId="45A8A5B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3B6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ACA6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记录仪电池</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4547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可充电锂电池；3.8V/3300mAh/12.54Wh。</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87C1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D87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4B6E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配套包含</w:t>
            </w:r>
          </w:p>
        </w:tc>
      </w:tr>
      <w:tr w14:paraId="7136859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9239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6F26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记录仪背夹</w:t>
            </w:r>
          </w:p>
        </w:tc>
        <w:tc>
          <w:tcPr>
            <w:tcW w:w="1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D58C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N1B磁吸式背夹。</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335C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25C8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3CA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配套包含</w:t>
            </w:r>
          </w:p>
        </w:tc>
      </w:tr>
      <w:tr w14:paraId="6487468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C5E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8E77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外置摄像头</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3CBC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1.支持720P高清摄像。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2.携带隐蔽。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3.支持音频输入。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4.广角镜头，视角大。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5.图像传感器：彩色 CMOS 1/3" 100万像素。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6.分辨率：1280*720。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7.帧率：25。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8.最低照度：0.5LUX at F1.2。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9.视场角：120°。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10.动态范围：≥69.5dB。</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DFA3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6120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CFB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配套包含</w:t>
            </w:r>
          </w:p>
        </w:tc>
      </w:tr>
      <w:tr w14:paraId="58AC674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4E3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84AC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双系统智能采集站</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9C59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1.支持16台执法终端同时接入。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2.13.3寸液晶显示屏，分辨率1920*1080。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3.内存：2G内存。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4.系统：嵌入式、安卓双系统设计。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5.存储硬盘：自带 2T 硬盘，可扩展至 6 块硬盘，单盘最大支持 8T，支持 RAID 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6.USB接口：1个USB 3.0 ，1个USB2.0。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7.网络线：RJ45后置，千兆用于本地网络通讯和调试。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8.电源线：1.8M 标准电源线。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9.喇叭：1个。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10.按键：电源键。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11.指示灯：每个仓位正面有条形3色指示灯，红、绿、蓝。</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DA05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C56D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B280D">
            <w:pPr>
              <w:widowControl/>
              <w:rPr>
                <w:rFonts w:hint="eastAsia" w:ascii="宋体" w:hAnsi="宋体" w:eastAsia="宋体" w:cs="宋体"/>
                <w:color w:val="000000"/>
                <w:sz w:val="24"/>
              </w:rPr>
            </w:pPr>
          </w:p>
        </w:tc>
      </w:tr>
      <w:tr w14:paraId="4D181EF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389BA">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（四）</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78A79">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智慧法庭</w:t>
            </w:r>
          </w:p>
        </w:tc>
      </w:tr>
      <w:tr w14:paraId="02D633D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EAB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1.1</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5E2C4C">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智慧法庭（4间）</w:t>
            </w:r>
          </w:p>
        </w:tc>
      </w:tr>
      <w:tr w14:paraId="51A8D54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F2C2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D896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高清庭审主机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BCAB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1.采用嵌入式操作系统、嵌入式架构，支持双码流输出。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2.支持6路SDI/HDMI/DVI视频输入接口。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3.支持4路DVI/VGA视频输出接口。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4.提供11路音频输入接口，应内置混音处理模块、支持法庭话筒、证据展示设备的所有音频信号混音处理功能。（每路输入具有平衡/非平衡处理、+48V幻象电源供电开关、支持激励灵敏度调节、音量调节）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5.内置多端口数字音频处理器，具有自适应声反馈消除，避免回授啸叫现象，支持回声消除、自动降噪、保持足够音量和良好音质；具有音量可视化界面控制。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6.语音激励功能；可设置响应灵敏度、话筒优先级，可设置开启或关闭语音激励。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7.支持4路1080P格式同时编码输出，可支持各摄像机或证据或合成画面的独立编码，码流速率可设；合成画面支持双码流输出。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8.支持1路远程1080P格式解码能力，可用于远程提讯、远程三方庭审。远程视频信号能够与本地视频信号一起进行画面拼接显示与编码输出。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9.具备全双工可编程RS-232端口和RS-485端口；能满足与举证设备、摄像机、显示器、灯光、音响等设备的控制连接需要。可通过相关设备或软件对法庭设备进行控制（包括：信号切换、录像控制等）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10.内置2TB硬盘，可提供主机庭审数据备份功能。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11.可通过网络采用浏览器以WEB页面方式对主机进行远程控制、管理、系统升级。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12.具备硬件高清图像合成器，可提供2/4/6/8等多种合成画面格式，合成画面分辨率不低于1080P。</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13.录制帧率：PAL-25帧/秒、NTSC-30帧/秒。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14.输出格式：符合最高院要求的H.264编码，符合最高院要求的MPEG4文件存放格式。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15.为高集成专门为法庭庭审应用而设计的专业设备。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16.主机采用19"标准机箱，设备高度2U。</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17.全数字化核心，采用模块化接口结构、每个接口模块采用板卡式设计可自由配置，支持带电插拔升级维护。</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CBA1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B64D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74757">
            <w:pPr>
              <w:widowControl/>
              <w:rPr>
                <w:rFonts w:hint="eastAsia" w:ascii="宋体" w:hAnsi="宋体" w:eastAsia="宋体" w:cs="宋体"/>
                <w:color w:val="000000"/>
                <w:sz w:val="24"/>
              </w:rPr>
            </w:pPr>
          </w:p>
        </w:tc>
      </w:tr>
      <w:tr w14:paraId="015EA9A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A1A1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7F1B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庭审公告主机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1FCD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32寸公告显示机，安卓系统，用于安装庭审公告系统，含安装支架。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E610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E4DD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C6C2D">
            <w:pPr>
              <w:widowControl/>
              <w:rPr>
                <w:rFonts w:hint="eastAsia" w:ascii="宋体" w:hAnsi="宋体" w:eastAsia="宋体" w:cs="宋体"/>
                <w:color w:val="000000"/>
                <w:sz w:val="24"/>
              </w:rPr>
            </w:pPr>
          </w:p>
        </w:tc>
      </w:tr>
      <w:tr w14:paraId="3282044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E509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5A4A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签名+捺印（手持终端）</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AF8D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采用TFT_LED显示技术，8H钢化有机玻璃全面保护。屏幕显示率至少满足1280×800，面板LED寿命不低于30000小时，采用电磁共振工艺，输入端口和接口支持USB2.0；采用电容式传感器式指纹识别技术，具有活体指纹探测功能，指纹录入时间应&lt;1s。</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A3C7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F20B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7B546">
            <w:pPr>
              <w:widowControl/>
              <w:rPr>
                <w:rFonts w:hint="eastAsia" w:ascii="宋体" w:hAnsi="宋体" w:eastAsia="宋体" w:cs="宋体"/>
                <w:color w:val="000000"/>
                <w:sz w:val="24"/>
              </w:rPr>
            </w:pPr>
          </w:p>
        </w:tc>
      </w:tr>
      <w:tr w14:paraId="0D8C6BC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A634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F1B3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安卓盒子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4F6C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安卓4.4操作系统，2G内存，用于安装旁听辅助模块。</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D429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030B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A77A2">
            <w:pPr>
              <w:widowControl/>
              <w:rPr>
                <w:rFonts w:hint="eastAsia" w:ascii="宋体" w:hAnsi="宋体" w:eastAsia="宋体" w:cs="宋体"/>
                <w:color w:val="000000"/>
                <w:sz w:val="24"/>
              </w:rPr>
            </w:pPr>
          </w:p>
        </w:tc>
      </w:tr>
      <w:tr w14:paraId="78930CB3">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6B5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1E61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高清视频矩阵</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47D6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输入接口：HDMI*8；输出接口：HDMI*8；分辨率：4K*2K60Hz。</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CE1F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4B37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6B38E">
            <w:pPr>
              <w:widowControl/>
              <w:rPr>
                <w:rFonts w:hint="eastAsia" w:ascii="宋体" w:hAnsi="宋体" w:eastAsia="宋体" w:cs="宋体"/>
                <w:color w:val="000000"/>
                <w:sz w:val="24"/>
              </w:rPr>
            </w:pPr>
          </w:p>
        </w:tc>
      </w:tr>
      <w:tr w14:paraId="565433C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B1F1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5B7E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画面切换面板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D42B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8键可编程输入控制面板，产品每个按键功能可自定义，与MCP或中控主机配合使用。含面板底座</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4E42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1BA8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DD1BD">
            <w:pPr>
              <w:widowControl/>
              <w:rPr>
                <w:rFonts w:hint="eastAsia" w:ascii="宋体" w:hAnsi="宋体" w:eastAsia="宋体" w:cs="宋体"/>
                <w:color w:val="000000"/>
                <w:sz w:val="24"/>
              </w:rPr>
            </w:pPr>
          </w:p>
        </w:tc>
      </w:tr>
      <w:tr w14:paraId="13F01BE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407E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101B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强电控制器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C863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1.8路电源开关控制器，用于控制外设供电电源。与配合可编程媒体控制系统或由第三方控制单独使用。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2.支持单独时序控制，单路容量达AC/~250V/20A；内置光电隔离模块，可保障负载和主机安全。</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54AE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8AF0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08C37">
            <w:pPr>
              <w:widowControl/>
              <w:rPr>
                <w:rFonts w:hint="eastAsia" w:ascii="宋体" w:hAnsi="宋体" w:eastAsia="宋体" w:cs="宋体"/>
                <w:color w:val="000000"/>
                <w:sz w:val="24"/>
              </w:rPr>
            </w:pPr>
          </w:p>
        </w:tc>
      </w:tr>
      <w:tr w14:paraId="750A8C8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B6BE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8120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庭审专用终端</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3F777F1D">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451B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F3BE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9309B">
            <w:pPr>
              <w:widowControl/>
              <w:rPr>
                <w:rFonts w:hint="eastAsia" w:ascii="宋体" w:hAnsi="宋体" w:eastAsia="宋体" w:cs="宋体"/>
                <w:color w:val="000000"/>
                <w:sz w:val="24"/>
              </w:rPr>
            </w:pPr>
          </w:p>
        </w:tc>
      </w:tr>
      <w:tr w14:paraId="3183559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E68F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EB09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庭审专用书记员应用终端</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7B5A56CA">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088D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E1A3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F6FDC">
            <w:pPr>
              <w:widowControl/>
              <w:rPr>
                <w:rFonts w:hint="eastAsia" w:ascii="宋体" w:hAnsi="宋体" w:eastAsia="宋体" w:cs="宋体"/>
                <w:color w:val="000000"/>
                <w:sz w:val="24"/>
              </w:rPr>
            </w:pPr>
          </w:p>
        </w:tc>
      </w:tr>
      <w:tr w14:paraId="258E685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84A4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5F19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庭审发言话筒</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0F98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1.指向性：心形指向性。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2.信噪比：≥65dB SPL 1KHz at 1Pa。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3.频率响应：不低于20-18KHz。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4.输出阻抗：≥75Ω。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5.灵敏度：不低于-40dB±2dB。</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09BA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16FE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B6FA">
            <w:pPr>
              <w:widowControl/>
              <w:rPr>
                <w:rFonts w:hint="eastAsia" w:ascii="宋体" w:hAnsi="宋体" w:eastAsia="宋体" w:cs="宋体"/>
                <w:color w:val="000000"/>
                <w:sz w:val="24"/>
              </w:rPr>
            </w:pPr>
          </w:p>
        </w:tc>
      </w:tr>
      <w:tr w14:paraId="27266A7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6A5E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875C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法庭音频功放</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A1BD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1.1U机箱设计，采用最新D类数字功放设计方案。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2.标准XLR输入接口，和LINK输出口，简洁的接口更加方便不同用户需求。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3.电源采用开关电源技术，效率高，有效的抑制电源谐波。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4.内置智能削峰限幅器，支持开机软启动，防止开机时向电网吸收大电流，干扰其它用电设备。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5.具有：过压保护，欠压保护，过流保护，直流保护，输出短路保护，温控风扇等功能。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6.输出功率：立体声@8Ω：≥200W×2；立体声@4Ω：≥400W×2。</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BFAA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C8F5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319EC">
            <w:pPr>
              <w:widowControl/>
              <w:rPr>
                <w:rFonts w:hint="eastAsia" w:ascii="宋体" w:hAnsi="宋体" w:eastAsia="宋体" w:cs="宋体"/>
                <w:color w:val="000000"/>
                <w:sz w:val="24"/>
              </w:rPr>
            </w:pPr>
          </w:p>
        </w:tc>
      </w:tr>
      <w:tr w14:paraId="33A736B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F617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B3DA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法庭音箱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9936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1.阻抗：8Ω。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2.频响：65Hz~20KHz。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3.额定功率≥150W。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4.灵敏度≥95dB/W/M。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5.水平覆盖角≥80°，垂直覆盖角≥60°。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6.高音：3"锥形高音单元×2。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7.低音：8"低音×1。</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7A3F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914C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E704E">
            <w:pPr>
              <w:widowControl/>
              <w:rPr>
                <w:rFonts w:hint="eastAsia" w:ascii="宋体" w:hAnsi="宋体" w:eastAsia="宋体" w:cs="宋体"/>
                <w:color w:val="000000"/>
                <w:sz w:val="24"/>
              </w:rPr>
            </w:pPr>
          </w:p>
        </w:tc>
      </w:tr>
      <w:tr w14:paraId="6E940D7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67F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06C3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法庭音箱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51D2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1.阻抗：8Ω。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2.频响：70Hz~20KHz。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3.额定功率≥120W。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4.灵敏度≥95dB/W/M。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5.水平覆盖角≥120°，垂直覆盖角≥60°。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6.高音：3"锥形高音单元×2。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7.低音：6.5"低音×1。</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C357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BD70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59F7C">
            <w:pPr>
              <w:widowControl/>
              <w:rPr>
                <w:rFonts w:hint="eastAsia" w:ascii="宋体" w:hAnsi="宋体" w:eastAsia="宋体" w:cs="宋体"/>
                <w:color w:val="000000"/>
                <w:sz w:val="24"/>
              </w:rPr>
            </w:pPr>
          </w:p>
        </w:tc>
      </w:tr>
      <w:tr w14:paraId="743B096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5A1F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4483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笔录打印机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45444A7D">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适配国产操作系统和国际通用操作系统，高速打印≥30页每分钟，首页打印≤3.1秒，支持黑红双色公文自动双面打印，黑彩同速输出。</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A80B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7D3A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8C5A">
            <w:pPr>
              <w:widowControl/>
              <w:rPr>
                <w:rFonts w:hint="eastAsia" w:ascii="宋体" w:hAnsi="宋体" w:eastAsia="宋体" w:cs="宋体"/>
                <w:color w:val="000000"/>
                <w:sz w:val="24"/>
              </w:rPr>
            </w:pPr>
          </w:p>
        </w:tc>
      </w:tr>
      <w:tr w14:paraId="2CB1C58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6A7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4498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实物展台</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620D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像素≥800万；补光灯：有；变焦：10倍光学变焦，10倍电子变焦；分辨率：1440*900、1280×720（720P），1920×1080 （1080P）；拍摄区域：A4；清晰度：900TV线；对焦：自动；输出接口：HDMI*1。</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63BD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32E6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0A59">
            <w:pPr>
              <w:widowControl/>
              <w:rPr>
                <w:rFonts w:hint="eastAsia" w:ascii="宋体" w:hAnsi="宋体" w:eastAsia="宋体" w:cs="宋体"/>
                <w:color w:val="000000"/>
                <w:sz w:val="24"/>
              </w:rPr>
            </w:pPr>
          </w:p>
        </w:tc>
      </w:tr>
      <w:tr w14:paraId="7908D702">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2E98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525E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高清液晶电视机（含支架）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BC43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55英寸，16：9，1080P，1920*1080，USB2.0接口数：2个；HDMI2.0接口数：2个；亮度：200尼特以下；屏幕比例：16：9；色域值：96.65%；对比度：1200；屏幕分辨率：超高清4K。</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26B4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9AC8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7471">
            <w:pPr>
              <w:widowControl/>
              <w:rPr>
                <w:rFonts w:hint="eastAsia" w:ascii="宋体" w:hAnsi="宋体" w:eastAsia="宋体" w:cs="宋体"/>
                <w:color w:val="000000"/>
                <w:sz w:val="24"/>
              </w:rPr>
            </w:pPr>
          </w:p>
        </w:tc>
      </w:tr>
      <w:tr w14:paraId="71B1405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D5E4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617F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接入交换机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2409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1.交换容量≥336G、包转发率≥51Mpps。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2.固化10/100/1000M以太网端口≥24个，固化1G SFP光接口≥4个。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3.为保证设备在受到外界机械碰撞时能够正常运行，要求所投交换机IK防护测试级别至少达到IK05。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4.要求所投设备MAC地址≥16K。</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6.支持IPV4/IPV6静态路由，RIP、RIPng。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8.设备自带云管理功能，即插即用，可随时查看网络健康度，告警及时推送，有日记事件供回溯。</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49CE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303C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5EC26">
            <w:pPr>
              <w:widowControl/>
              <w:rPr>
                <w:rFonts w:hint="eastAsia" w:ascii="宋体" w:hAnsi="宋体" w:eastAsia="宋体" w:cs="宋体"/>
                <w:color w:val="000000"/>
                <w:sz w:val="24"/>
              </w:rPr>
            </w:pPr>
          </w:p>
        </w:tc>
      </w:tr>
      <w:tr w14:paraId="7992761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832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77F1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高清一体化摄像机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4060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最高分辨率1920*1080/50帧、HD-SDI、HDMI、DVI接口输出；镜头像素200万以上；20倍光学变焦，含电源；1/3"ProgressiveScanCMOS图像传感器。断电状态记忆功能，防雷、防浪涌、防突波，超低照度0.05Lux/F1.6（彩色），0.005Lux/F1.6（黑白）。</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7FE8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B6B0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61FE5">
            <w:pPr>
              <w:widowControl/>
              <w:rPr>
                <w:rFonts w:hint="eastAsia" w:ascii="宋体" w:hAnsi="宋体" w:eastAsia="宋体" w:cs="宋体"/>
                <w:color w:val="000000"/>
                <w:sz w:val="24"/>
              </w:rPr>
            </w:pPr>
          </w:p>
        </w:tc>
      </w:tr>
      <w:tr w14:paraId="7ED833B0">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6C9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5858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高清云台摄像机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F376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最高分辨率1920*1080/50帧、HD-SDI、HDMI、DVI接口输出；镜头像素200万以上；正反自适应安装、20倍光学变焦、水平360度旋转、垂直-30至90度旋转。</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设置10个以上预置位；支持RS485或RS232控制；含电源1/3"ProgressiveScanCMOS图像传感器。断电状态记忆功能，防雷、防浪涌、防突波，超低照度0.05Lux/F1.6（彩色），0.005Lux/F1.6（黑白），水平预置点速度270°/s，垂直预置点速度最高可达200°/s。</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D21DD">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9050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202F4">
            <w:pPr>
              <w:widowControl/>
              <w:rPr>
                <w:rFonts w:hint="eastAsia" w:ascii="宋体" w:hAnsi="宋体" w:eastAsia="宋体" w:cs="宋体"/>
                <w:color w:val="000000"/>
                <w:sz w:val="24"/>
              </w:rPr>
            </w:pPr>
          </w:p>
        </w:tc>
      </w:tr>
      <w:tr w14:paraId="334182D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3DA1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2F85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高清固定一体化变焦摄像机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D830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400</w:t>
            </w:r>
            <w:r>
              <w:rPr>
                <w:rStyle w:val="27"/>
                <w:rFonts w:hint="eastAsia" w:ascii="宋体" w:hAnsi="宋体" w:eastAsia="宋体" w:cs="宋体"/>
                <w:sz w:val="24"/>
                <w:szCs w:val="24"/>
                <w:lang w:bidi="ar"/>
              </w:rPr>
              <w:t>万</w:t>
            </w:r>
            <w:r>
              <w:rPr>
                <w:rFonts w:hint="eastAsia" w:ascii="宋体" w:hAnsi="宋体" w:eastAsia="宋体" w:cs="宋体"/>
                <w:color w:val="000000"/>
                <w:kern w:val="0"/>
                <w:sz w:val="24"/>
                <w:lang w:bidi="ar"/>
              </w:rPr>
              <w:t xml:space="preserve"> 1/3" CMOS </w:t>
            </w:r>
            <w:r>
              <w:rPr>
                <w:rStyle w:val="27"/>
                <w:rFonts w:hint="eastAsia" w:ascii="宋体" w:hAnsi="宋体" w:eastAsia="宋体" w:cs="宋体"/>
                <w:sz w:val="24"/>
                <w:szCs w:val="24"/>
                <w:lang w:bidi="ar"/>
              </w:rPr>
              <w:t>智能半球型网络摄像机。</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采用深度学习硬件及算法，支持越界侦测，区域入侵侦测，进入区域侦测和离开区域侦测，支持联动声音报警。</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最低照度：</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彩色：</w:t>
            </w:r>
            <w:r>
              <w:rPr>
                <w:rFonts w:hint="eastAsia" w:ascii="宋体" w:hAnsi="宋体" w:eastAsia="宋体" w:cs="宋体"/>
                <w:color w:val="000000"/>
                <w:kern w:val="0"/>
                <w:sz w:val="24"/>
                <w:lang w:bidi="ar"/>
              </w:rPr>
              <w:t>0.005 Lux @</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F1.2</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AGC ON</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0 Lux with IR</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宽动态：</w:t>
            </w:r>
            <w:r>
              <w:rPr>
                <w:rFonts w:hint="eastAsia" w:ascii="宋体" w:hAnsi="宋体" w:eastAsia="宋体" w:cs="宋体"/>
                <w:color w:val="000000"/>
                <w:kern w:val="0"/>
                <w:sz w:val="24"/>
                <w:lang w:bidi="ar"/>
              </w:rPr>
              <w:t xml:space="preserve"> 120 dB</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调节角度：</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水平：</w:t>
            </w:r>
            <w:r>
              <w:rPr>
                <w:rFonts w:hint="eastAsia" w:ascii="宋体" w:hAnsi="宋体" w:eastAsia="宋体" w:cs="宋体"/>
                <w:color w:val="000000"/>
                <w:kern w:val="0"/>
                <w:sz w:val="24"/>
                <w:lang w:bidi="ar"/>
              </w:rPr>
              <w:t>0°~355°</w:t>
            </w:r>
            <w:r>
              <w:rPr>
                <w:rStyle w:val="27"/>
                <w:rFonts w:hint="eastAsia" w:ascii="宋体" w:hAnsi="宋体" w:eastAsia="宋体" w:cs="宋体"/>
                <w:sz w:val="24"/>
                <w:szCs w:val="24"/>
                <w:lang w:bidi="ar"/>
              </w:rPr>
              <w:t>，垂直：</w:t>
            </w:r>
            <w:r>
              <w:rPr>
                <w:rFonts w:hint="eastAsia" w:ascii="宋体" w:hAnsi="宋体" w:eastAsia="宋体" w:cs="宋体"/>
                <w:color w:val="000000"/>
                <w:kern w:val="0"/>
                <w:sz w:val="24"/>
                <w:lang w:bidi="ar"/>
              </w:rPr>
              <w:t>0°~75°</w:t>
            </w:r>
            <w:r>
              <w:rPr>
                <w:rStyle w:val="27"/>
                <w:rFonts w:hint="eastAsia" w:ascii="宋体" w:hAnsi="宋体" w:eastAsia="宋体" w:cs="宋体"/>
                <w:sz w:val="24"/>
                <w:szCs w:val="24"/>
                <w:lang w:bidi="ar"/>
              </w:rPr>
              <w:t>，旋转：</w:t>
            </w:r>
            <w:r>
              <w:rPr>
                <w:rFonts w:hint="eastAsia" w:ascii="宋体" w:hAnsi="宋体" w:eastAsia="宋体" w:cs="宋体"/>
                <w:color w:val="000000"/>
                <w:kern w:val="0"/>
                <w:sz w:val="24"/>
                <w:lang w:bidi="ar"/>
              </w:rPr>
              <w:t>0°~355°</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焦距＆视场角：</w:t>
            </w: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2.8 mm</w:t>
            </w:r>
            <w:r>
              <w:rPr>
                <w:rStyle w:val="27"/>
                <w:rFonts w:hint="eastAsia" w:ascii="宋体" w:hAnsi="宋体" w:eastAsia="宋体" w:cs="宋体"/>
                <w:sz w:val="24"/>
                <w:szCs w:val="24"/>
                <w:lang w:bidi="ar"/>
              </w:rPr>
              <w:t>，水平视场角：</w:t>
            </w:r>
            <w:r>
              <w:rPr>
                <w:rFonts w:hint="eastAsia" w:ascii="宋体" w:hAnsi="宋体" w:eastAsia="宋体" w:cs="宋体"/>
                <w:color w:val="000000"/>
                <w:kern w:val="0"/>
                <w:sz w:val="24"/>
                <w:lang w:bidi="ar"/>
              </w:rPr>
              <w:t>98.2°</w:t>
            </w:r>
            <w:r>
              <w:rPr>
                <w:rStyle w:val="27"/>
                <w:rFonts w:hint="eastAsia" w:ascii="宋体" w:hAnsi="宋体" w:eastAsia="宋体" w:cs="宋体"/>
                <w:sz w:val="24"/>
                <w:szCs w:val="24"/>
                <w:lang w:bidi="ar"/>
              </w:rPr>
              <w:t>，垂直视场角：</w:t>
            </w:r>
            <w:r>
              <w:rPr>
                <w:rFonts w:hint="eastAsia" w:ascii="宋体" w:hAnsi="宋体" w:eastAsia="宋体" w:cs="宋体"/>
                <w:color w:val="000000"/>
                <w:kern w:val="0"/>
                <w:sz w:val="24"/>
                <w:lang w:bidi="ar"/>
              </w:rPr>
              <w:t>54.2°</w:t>
            </w:r>
            <w:r>
              <w:rPr>
                <w:rStyle w:val="27"/>
                <w:rFonts w:hint="eastAsia" w:ascii="宋体" w:hAnsi="宋体" w:eastAsia="宋体" w:cs="宋体"/>
                <w:sz w:val="24"/>
                <w:szCs w:val="24"/>
                <w:lang w:bidi="ar"/>
              </w:rPr>
              <w:t>，对角视场角：</w:t>
            </w:r>
            <w:r>
              <w:rPr>
                <w:rFonts w:hint="eastAsia" w:ascii="宋体" w:hAnsi="宋体" w:eastAsia="宋体" w:cs="宋体"/>
                <w:color w:val="000000"/>
                <w:kern w:val="0"/>
                <w:sz w:val="24"/>
                <w:lang w:bidi="ar"/>
              </w:rPr>
              <w:t>114.6°</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 mm</w:t>
            </w:r>
            <w:r>
              <w:rPr>
                <w:rStyle w:val="27"/>
                <w:rFonts w:hint="eastAsia" w:ascii="宋体" w:hAnsi="宋体" w:eastAsia="宋体" w:cs="宋体"/>
                <w:sz w:val="24"/>
                <w:szCs w:val="24"/>
                <w:lang w:bidi="ar"/>
              </w:rPr>
              <w:t>，水平视场角：</w:t>
            </w:r>
            <w:r>
              <w:rPr>
                <w:rFonts w:hint="eastAsia" w:ascii="宋体" w:hAnsi="宋体" w:eastAsia="宋体" w:cs="宋体"/>
                <w:color w:val="000000"/>
                <w:kern w:val="0"/>
                <w:sz w:val="24"/>
                <w:lang w:bidi="ar"/>
              </w:rPr>
              <w:t>78.8°</w:t>
            </w:r>
            <w:r>
              <w:rPr>
                <w:rStyle w:val="27"/>
                <w:rFonts w:hint="eastAsia" w:ascii="宋体" w:hAnsi="宋体" w:eastAsia="宋体" w:cs="宋体"/>
                <w:sz w:val="24"/>
                <w:szCs w:val="24"/>
                <w:lang w:bidi="ar"/>
              </w:rPr>
              <w:t>，垂直视场角：</w:t>
            </w:r>
            <w:r>
              <w:rPr>
                <w:rFonts w:hint="eastAsia" w:ascii="宋体" w:hAnsi="宋体" w:eastAsia="宋体" w:cs="宋体"/>
                <w:color w:val="000000"/>
                <w:kern w:val="0"/>
                <w:sz w:val="24"/>
                <w:lang w:bidi="ar"/>
              </w:rPr>
              <w:t>42.3°</w:t>
            </w:r>
            <w:r>
              <w:rPr>
                <w:rStyle w:val="27"/>
                <w:rFonts w:hint="eastAsia" w:ascii="宋体" w:hAnsi="宋体" w:eastAsia="宋体" w:cs="宋体"/>
                <w:sz w:val="24"/>
                <w:szCs w:val="24"/>
                <w:lang w:bidi="ar"/>
              </w:rPr>
              <w:t>，对角视场角：</w:t>
            </w:r>
            <w:r>
              <w:rPr>
                <w:rFonts w:hint="eastAsia" w:ascii="宋体" w:hAnsi="宋体" w:eastAsia="宋体" w:cs="宋体"/>
                <w:color w:val="000000"/>
                <w:kern w:val="0"/>
                <w:sz w:val="24"/>
                <w:lang w:bidi="ar"/>
              </w:rPr>
              <w:t>93.4°</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 mm</w:t>
            </w:r>
            <w:r>
              <w:rPr>
                <w:rStyle w:val="27"/>
                <w:rFonts w:hint="eastAsia" w:ascii="宋体" w:hAnsi="宋体" w:eastAsia="宋体" w:cs="宋体"/>
                <w:sz w:val="24"/>
                <w:szCs w:val="24"/>
                <w:lang w:bidi="ar"/>
              </w:rPr>
              <w:t>，水平视场角：</w:t>
            </w:r>
            <w:r>
              <w:rPr>
                <w:rFonts w:hint="eastAsia" w:ascii="宋体" w:hAnsi="宋体" w:eastAsia="宋体" w:cs="宋体"/>
                <w:color w:val="000000"/>
                <w:kern w:val="0"/>
                <w:sz w:val="24"/>
                <w:lang w:bidi="ar"/>
              </w:rPr>
              <w:t>49.1°</w:t>
            </w:r>
            <w:r>
              <w:rPr>
                <w:rStyle w:val="27"/>
                <w:rFonts w:hint="eastAsia" w:ascii="宋体" w:hAnsi="宋体" w:eastAsia="宋体" w:cs="宋体"/>
                <w:sz w:val="24"/>
                <w:szCs w:val="24"/>
                <w:lang w:bidi="ar"/>
              </w:rPr>
              <w:t>，垂直视场角：</w:t>
            </w:r>
            <w:r>
              <w:rPr>
                <w:rFonts w:hint="eastAsia" w:ascii="宋体" w:hAnsi="宋体" w:eastAsia="宋体" w:cs="宋体"/>
                <w:color w:val="000000"/>
                <w:kern w:val="0"/>
                <w:sz w:val="24"/>
                <w:lang w:bidi="ar"/>
              </w:rPr>
              <w:t>26.3°</w:t>
            </w:r>
            <w:r>
              <w:rPr>
                <w:rStyle w:val="27"/>
                <w:rFonts w:hint="eastAsia" w:ascii="宋体" w:hAnsi="宋体" w:eastAsia="宋体" w:cs="宋体"/>
                <w:sz w:val="24"/>
                <w:szCs w:val="24"/>
                <w:lang w:bidi="ar"/>
              </w:rPr>
              <w:t>，对角视场角：</w:t>
            </w:r>
            <w:r>
              <w:rPr>
                <w:rFonts w:hint="eastAsia" w:ascii="宋体" w:hAnsi="宋体" w:eastAsia="宋体" w:cs="宋体"/>
                <w:color w:val="000000"/>
                <w:kern w:val="0"/>
                <w:sz w:val="24"/>
                <w:lang w:bidi="ar"/>
              </w:rPr>
              <w:t>57.2°</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 mm</w:t>
            </w:r>
            <w:r>
              <w:rPr>
                <w:rStyle w:val="27"/>
                <w:rFonts w:hint="eastAsia" w:ascii="宋体" w:hAnsi="宋体" w:eastAsia="宋体" w:cs="宋体"/>
                <w:sz w:val="24"/>
                <w:szCs w:val="24"/>
                <w:lang w:bidi="ar"/>
              </w:rPr>
              <w:t>，水平视场角：</w:t>
            </w:r>
            <w:r>
              <w:rPr>
                <w:rFonts w:hint="eastAsia" w:ascii="宋体" w:hAnsi="宋体" w:eastAsia="宋体" w:cs="宋体"/>
                <w:color w:val="000000"/>
                <w:kern w:val="0"/>
                <w:sz w:val="24"/>
                <w:lang w:bidi="ar"/>
              </w:rPr>
              <w:t>37.5°</w:t>
            </w:r>
            <w:r>
              <w:rPr>
                <w:rStyle w:val="27"/>
                <w:rFonts w:hint="eastAsia" w:ascii="宋体" w:hAnsi="宋体" w:eastAsia="宋体" w:cs="宋体"/>
                <w:sz w:val="24"/>
                <w:szCs w:val="24"/>
                <w:lang w:bidi="ar"/>
              </w:rPr>
              <w:t>，垂直视场角：</w:t>
            </w:r>
            <w:r>
              <w:rPr>
                <w:rFonts w:hint="eastAsia" w:ascii="宋体" w:hAnsi="宋体" w:eastAsia="宋体" w:cs="宋体"/>
                <w:color w:val="000000"/>
                <w:kern w:val="0"/>
                <w:sz w:val="24"/>
                <w:lang w:bidi="ar"/>
              </w:rPr>
              <w:t>20.7°</w:t>
            </w:r>
            <w:r>
              <w:rPr>
                <w:rStyle w:val="27"/>
                <w:rFonts w:hint="eastAsia" w:ascii="宋体" w:hAnsi="宋体" w:eastAsia="宋体" w:cs="宋体"/>
                <w:sz w:val="24"/>
                <w:szCs w:val="24"/>
                <w:lang w:bidi="ar"/>
              </w:rPr>
              <w:t>，对角视场角：</w:t>
            </w:r>
            <w:r>
              <w:rPr>
                <w:rFonts w:hint="eastAsia" w:ascii="宋体" w:hAnsi="宋体" w:eastAsia="宋体" w:cs="宋体"/>
                <w:color w:val="000000"/>
                <w:kern w:val="0"/>
                <w:sz w:val="24"/>
                <w:lang w:bidi="ar"/>
              </w:rPr>
              <w:t>43.3°</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补光灯类型：</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红外灯。</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补光距离：</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最远可达</w:t>
            </w:r>
            <w:r>
              <w:rPr>
                <w:rFonts w:hint="eastAsia" w:ascii="宋体" w:hAnsi="宋体" w:eastAsia="宋体" w:cs="宋体"/>
                <w:color w:val="000000"/>
                <w:kern w:val="0"/>
                <w:sz w:val="24"/>
                <w:lang w:bidi="ar"/>
              </w:rPr>
              <w:t>30 m</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防补光过曝：</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支持。</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红外波长范围：</w:t>
            </w:r>
            <w:r>
              <w:rPr>
                <w:rFonts w:hint="eastAsia" w:ascii="宋体" w:hAnsi="宋体" w:eastAsia="宋体" w:cs="宋体"/>
                <w:color w:val="000000"/>
                <w:kern w:val="0"/>
                <w:sz w:val="24"/>
                <w:lang w:bidi="ar"/>
              </w:rPr>
              <w:t xml:space="preserve"> 850 nm</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最大图像尺寸：</w:t>
            </w:r>
            <w:r>
              <w:rPr>
                <w:rFonts w:hint="eastAsia" w:ascii="宋体" w:hAnsi="宋体" w:eastAsia="宋体" w:cs="宋体"/>
                <w:color w:val="000000"/>
                <w:kern w:val="0"/>
                <w:sz w:val="24"/>
                <w:lang w:bidi="ar"/>
              </w:rPr>
              <w:t xml:space="preserve"> 2560 × 1440</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视频压缩标准：</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主码流：</w:t>
            </w:r>
            <w:r>
              <w:rPr>
                <w:rFonts w:hint="eastAsia" w:ascii="宋体" w:hAnsi="宋体" w:eastAsia="宋体" w:cs="宋体"/>
                <w:color w:val="000000"/>
                <w:kern w:val="0"/>
                <w:sz w:val="24"/>
                <w:lang w:bidi="ar"/>
              </w:rPr>
              <w:t>H.265/H.264</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网络存储：</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支持</w:t>
            </w:r>
            <w:r>
              <w:rPr>
                <w:rFonts w:hint="eastAsia" w:ascii="宋体" w:hAnsi="宋体" w:eastAsia="宋体" w:cs="宋体"/>
                <w:color w:val="000000"/>
                <w:kern w:val="0"/>
                <w:sz w:val="24"/>
                <w:lang w:bidi="ar"/>
              </w:rPr>
              <w:t>NAS</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NFS</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SMB/CIFS</w:t>
            </w:r>
            <w:r>
              <w:rPr>
                <w:rStyle w:val="27"/>
                <w:rFonts w:hint="eastAsia" w:ascii="宋体" w:hAnsi="宋体" w:eastAsia="宋体" w:cs="宋体"/>
                <w:sz w:val="24"/>
                <w:szCs w:val="24"/>
                <w:lang w:bidi="ar"/>
              </w:rPr>
              <w:t>均支持），支持</w:t>
            </w:r>
            <w:r>
              <w:rPr>
                <w:rFonts w:hint="eastAsia" w:ascii="宋体" w:hAnsi="宋体" w:eastAsia="宋体" w:cs="宋体"/>
                <w:color w:val="000000"/>
                <w:kern w:val="0"/>
                <w:sz w:val="24"/>
                <w:lang w:bidi="ar"/>
              </w:rPr>
              <w:t>MicroSD</w:t>
            </w:r>
            <w:r>
              <w:rPr>
                <w:rStyle w:val="27"/>
                <w:rFonts w:hint="eastAsia" w:ascii="宋体" w:hAnsi="宋体" w:eastAsia="宋体" w:cs="宋体"/>
                <w:sz w:val="24"/>
                <w:szCs w:val="24"/>
                <w:lang w:bidi="ar"/>
              </w:rPr>
              <w:t>（即</w:t>
            </w:r>
            <w:r>
              <w:rPr>
                <w:rFonts w:hint="eastAsia" w:ascii="宋体" w:hAnsi="宋体" w:eastAsia="宋体" w:cs="宋体"/>
                <w:color w:val="000000"/>
                <w:kern w:val="0"/>
                <w:sz w:val="24"/>
                <w:lang w:bidi="ar"/>
              </w:rPr>
              <w:t>TF</w:t>
            </w:r>
            <w:r>
              <w:rPr>
                <w:rStyle w:val="27"/>
                <w:rFonts w:hint="eastAsia" w:ascii="宋体" w:hAnsi="宋体" w:eastAsia="宋体" w:cs="宋体"/>
                <w:sz w:val="24"/>
                <w:szCs w:val="24"/>
                <w:lang w:bidi="ar"/>
              </w:rPr>
              <w:t>卡）</w:t>
            </w:r>
            <w:r>
              <w:rPr>
                <w:rFonts w:hint="eastAsia" w:ascii="宋体" w:hAnsi="宋体" w:eastAsia="宋体" w:cs="宋体"/>
                <w:color w:val="000000"/>
                <w:kern w:val="0"/>
                <w:sz w:val="24"/>
                <w:lang w:bidi="ar"/>
              </w:rPr>
              <w:t>/MicroSDHC/MicroSDXC</w:t>
            </w:r>
            <w:r>
              <w:rPr>
                <w:rStyle w:val="27"/>
                <w:rFonts w:hint="eastAsia" w:ascii="宋体" w:hAnsi="宋体" w:eastAsia="宋体" w:cs="宋体"/>
                <w:sz w:val="24"/>
                <w:szCs w:val="24"/>
                <w:lang w:bidi="ar"/>
              </w:rPr>
              <w:t>卡（最大</w:t>
            </w:r>
            <w:r>
              <w:rPr>
                <w:rFonts w:hint="eastAsia" w:ascii="宋体" w:hAnsi="宋体" w:eastAsia="宋体" w:cs="宋体"/>
                <w:color w:val="000000"/>
                <w:kern w:val="0"/>
                <w:sz w:val="24"/>
                <w:lang w:bidi="ar"/>
              </w:rPr>
              <w:t>256 GB</w:t>
            </w:r>
            <w:r>
              <w:rPr>
                <w:rStyle w:val="27"/>
                <w:rFonts w:hint="eastAsia" w:ascii="宋体" w:hAnsi="宋体" w:eastAsia="宋体" w:cs="宋体"/>
                <w:sz w:val="24"/>
                <w:szCs w:val="24"/>
                <w:lang w:bidi="ar"/>
              </w:rPr>
              <w:t>），断网本地录像存储及断网续传。</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网络：</w:t>
            </w:r>
            <w:r>
              <w:rPr>
                <w:rFonts w:hint="eastAsia" w:ascii="宋体" w:hAnsi="宋体" w:eastAsia="宋体" w:cs="宋体"/>
                <w:color w:val="000000"/>
                <w:kern w:val="0"/>
                <w:sz w:val="24"/>
                <w:lang w:bidi="ar"/>
              </w:rPr>
              <w:t xml:space="preserve"> 1</w:t>
            </w:r>
            <w:r>
              <w:rPr>
                <w:rStyle w:val="27"/>
                <w:rFonts w:hint="eastAsia" w:ascii="宋体" w:hAnsi="宋体" w:eastAsia="宋体" w:cs="宋体"/>
                <w:sz w:val="24"/>
                <w:szCs w:val="24"/>
                <w:lang w:bidi="ar"/>
              </w:rPr>
              <w:t>个</w:t>
            </w:r>
            <w:r>
              <w:rPr>
                <w:rFonts w:hint="eastAsia" w:ascii="宋体" w:hAnsi="宋体" w:eastAsia="宋体" w:cs="宋体"/>
                <w:color w:val="000000"/>
                <w:kern w:val="0"/>
                <w:sz w:val="24"/>
                <w:lang w:bidi="ar"/>
              </w:rPr>
              <w:t>RJ45 10 M/100 M</w:t>
            </w:r>
            <w:r>
              <w:rPr>
                <w:rStyle w:val="27"/>
                <w:rFonts w:hint="eastAsia" w:ascii="宋体" w:hAnsi="宋体" w:eastAsia="宋体" w:cs="宋体"/>
                <w:sz w:val="24"/>
                <w:szCs w:val="24"/>
                <w:lang w:bidi="ar"/>
              </w:rPr>
              <w:t>自适应以太网口。</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音频：</w:t>
            </w:r>
            <w:r>
              <w:rPr>
                <w:rFonts w:hint="eastAsia" w:ascii="宋体" w:hAnsi="宋体" w:eastAsia="宋体" w:cs="宋体"/>
                <w:color w:val="000000"/>
                <w:kern w:val="0"/>
                <w:sz w:val="24"/>
                <w:lang w:bidi="ar"/>
              </w:rPr>
              <w:t xml:space="preserve"> 1</w:t>
            </w:r>
            <w:r>
              <w:rPr>
                <w:rStyle w:val="27"/>
                <w:rFonts w:hint="eastAsia" w:ascii="宋体" w:hAnsi="宋体" w:eastAsia="宋体" w:cs="宋体"/>
                <w:sz w:val="24"/>
                <w:szCs w:val="24"/>
                <w:lang w:bidi="ar"/>
              </w:rPr>
              <w:t>路输入（</w:t>
            </w:r>
            <w:r>
              <w:rPr>
                <w:rFonts w:hint="eastAsia" w:ascii="宋体" w:hAnsi="宋体" w:eastAsia="宋体" w:cs="宋体"/>
                <w:color w:val="000000"/>
                <w:kern w:val="0"/>
                <w:sz w:val="24"/>
                <w:lang w:bidi="ar"/>
              </w:rPr>
              <w:t>Line in</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路输出（</w:t>
            </w:r>
            <w:r>
              <w:rPr>
                <w:rFonts w:hint="eastAsia" w:ascii="宋体" w:hAnsi="宋体" w:eastAsia="宋体" w:cs="宋体"/>
                <w:color w:val="000000"/>
                <w:kern w:val="0"/>
                <w:sz w:val="24"/>
                <w:lang w:bidi="ar"/>
              </w:rPr>
              <w:t>Line out</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个内置麦克风，</w:t>
            </w: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个内置扬声器。</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报警：</w:t>
            </w:r>
            <w:r>
              <w:rPr>
                <w:rFonts w:hint="eastAsia" w:ascii="宋体" w:hAnsi="宋体" w:eastAsia="宋体" w:cs="宋体"/>
                <w:color w:val="000000"/>
                <w:kern w:val="0"/>
                <w:sz w:val="24"/>
                <w:lang w:bidi="ar"/>
              </w:rPr>
              <w:t xml:space="preserve"> 1</w:t>
            </w:r>
            <w:r>
              <w:rPr>
                <w:rStyle w:val="27"/>
                <w:rFonts w:hint="eastAsia" w:ascii="宋体" w:hAnsi="宋体" w:eastAsia="宋体" w:cs="宋体"/>
                <w:sz w:val="24"/>
                <w:szCs w:val="24"/>
                <w:lang w:bidi="ar"/>
              </w:rPr>
              <w:t>路输入，</w:t>
            </w:r>
            <w:r>
              <w:rPr>
                <w:rFonts w:hint="eastAsia" w:ascii="宋体" w:hAnsi="宋体" w:eastAsia="宋体" w:cs="宋体"/>
                <w:color w:val="000000"/>
                <w:kern w:val="0"/>
                <w:sz w:val="24"/>
                <w:lang w:bidi="ar"/>
              </w:rPr>
              <w:t>1</w:t>
            </w:r>
            <w:r>
              <w:rPr>
                <w:rStyle w:val="27"/>
                <w:rFonts w:hint="eastAsia" w:ascii="宋体" w:hAnsi="宋体" w:eastAsia="宋体" w:cs="宋体"/>
                <w:sz w:val="24"/>
                <w:szCs w:val="24"/>
                <w:lang w:bidi="ar"/>
              </w:rPr>
              <w:t>路输出（输出最大支持</w:t>
            </w:r>
            <w:r>
              <w:rPr>
                <w:rFonts w:hint="eastAsia" w:ascii="宋体" w:hAnsi="宋体" w:eastAsia="宋体" w:cs="宋体"/>
                <w:color w:val="000000"/>
                <w:kern w:val="0"/>
                <w:sz w:val="24"/>
                <w:lang w:bidi="ar"/>
              </w:rPr>
              <w:t>AC24/DC24 V</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1 A</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复位：</w:t>
            </w:r>
            <w:r>
              <w:rPr>
                <w:rFonts w:hint="eastAsia" w:ascii="宋体" w:hAnsi="宋体" w:eastAsia="宋体" w:cs="宋体"/>
                <w:color w:val="000000"/>
                <w:kern w:val="0"/>
                <w:sz w:val="24"/>
                <w:lang w:bidi="ar"/>
              </w:rPr>
              <w:t xml:space="preserve"> </w:t>
            </w:r>
            <w:r>
              <w:rPr>
                <w:rStyle w:val="27"/>
                <w:rFonts w:hint="eastAsia" w:ascii="宋体" w:hAnsi="宋体" w:eastAsia="宋体" w:cs="宋体"/>
                <w:sz w:val="24"/>
                <w:szCs w:val="24"/>
                <w:lang w:bidi="ar"/>
              </w:rPr>
              <w:t>支持。</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电源输出：</w:t>
            </w:r>
            <w:r>
              <w:rPr>
                <w:rFonts w:hint="eastAsia" w:ascii="宋体" w:hAnsi="宋体" w:eastAsia="宋体" w:cs="宋体"/>
                <w:color w:val="000000"/>
                <w:kern w:val="0"/>
                <w:sz w:val="24"/>
                <w:lang w:bidi="ar"/>
              </w:rPr>
              <w:t xml:space="preserve"> DC12 V</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100 mA</w:t>
            </w:r>
            <w:r>
              <w:rPr>
                <w:rStyle w:val="27"/>
                <w:rFonts w:hint="eastAsia" w:ascii="宋体" w:hAnsi="宋体" w:eastAsia="宋体" w:cs="宋体"/>
                <w:sz w:val="24"/>
                <w:szCs w:val="24"/>
                <w:lang w:bidi="ar"/>
              </w:rPr>
              <w:t>电源输出，可用于拾音器供电。</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启动和工作温湿度：</w:t>
            </w:r>
            <w:r>
              <w:rPr>
                <w:rFonts w:hint="eastAsia" w:ascii="宋体" w:hAnsi="宋体" w:eastAsia="宋体" w:cs="宋体"/>
                <w:color w:val="000000"/>
                <w:kern w:val="0"/>
                <w:sz w:val="24"/>
                <w:lang w:bidi="ar"/>
              </w:rPr>
              <w:t xml:space="preserve"> -30 °C~60 °C</w:t>
            </w:r>
            <w:r>
              <w:rPr>
                <w:rStyle w:val="27"/>
                <w:rFonts w:hint="eastAsia" w:ascii="宋体" w:hAnsi="宋体" w:eastAsia="宋体" w:cs="宋体"/>
                <w:sz w:val="24"/>
                <w:szCs w:val="24"/>
                <w:lang w:bidi="ar"/>
              </w:rPr>
              <w:t>，湿度小于</w:t>
            </w:r>
            <w:r>
              <w:rPr>
                <w:rFonts w:hint="eastAsia" w:ascii="宋体" w:hAnsi="宋体" w:eastAsia="宋体" w:cs="宋体"/>
                <w:color w:val="000000"/>
                <w:kern w:val="0"/>
                <w:sz w:val="24"/>
                <w:lang w:bidi="ar"/>
              </w:rPr>
              <w:t>95%</w:t>
            </w:r>
            <w:r>
              <w:rPr>
                <w:rStyle w:val="27"/>
                <w:rFonts w:hint="eastAsia" w:ascii="宋体" w:hAnsi="宋体" w:eastAsia="宋体" w:cs="宋体"/>
                <w:sz w:val="24"/>
                <w:szCs w:val="24"/>
                <w:lang w:bidi="ar"/>
              </w:rPr>
              <w:t>（无凝结）。</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电流及功耗：</w:t>
            </w:r>
            <w:r>
              <w:rPr>
                <w:rFonts w:hint="eastAsia" w:ascii="宋体" w:hAnsi="宋体" w:eastAsia="宋体" w:cs="宋体"/>
                <w:color w:val="000000"/>
                <w:kern w:val="0"/>
                <w:sz w:val="24"/>
                <w:lang w:bidi="ar"/>
              </w:rPr>
              <w:t xml:space="preserve"> DC</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12 V</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0.65 A</w:t>
            </w:r>
            <w:r>
              <w:rPr>
                <w:rStyle w:val="27"/>
                <w:rFonts w:hint="eastAsia" w:ascii="宋体" w:hAnsi="宋体" w:eastAsia="宋体" w:cs="宋体"/>
                <w:sz w:val="24"/>
                <w:szCs w:val="24"/>
                <w:lang w:bidi="ar"/>
              </w:rPr>
              <w:t>，最大功耗：</w:t>
            </w:r>
            <w:r>
              <w:rPr>
                <w:rFonts w:hint="eastAsia" w:ascii="宋体" w:hAnsi="宋体" w:eastAsia="宋体" w:cs="宋体"/>
                <w:color w:val="000000"/>
                <w:kern w:val="0"/>
                <w:sz w:val="24"/>
                <w:lang w:bidi="ar"/>
              </w:rPr>
              <w:t>8 W</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PoE</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802.3af</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36 V~57 V</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0.30 A~0.20 A</w:t>
            </w:r>
            <w:r>
              <w:rPr>
                <w:rStyle w:val="27"/>
                <w:rFonts w:hint="eastAsia" w:ascii="宋体" w:hAnsi="宋体" w:eastAsia="宋体" w:cs="宋体"/>
                <w:sz w:val="24"/>
                <w:szCs w:val="24"/>
                <w:lang w:bidi="ar"/>
              </w:rPr>
              <w:t>，最大功耗：</w:t>
            </w:r>
            <w:r>
              <w:rPr>
                <w:rFonts w:hint="eastAsia" w:ascii="宋体" w:hAnsi="宋体" w:eastAsia="宋体" w:cs="宋体"/>
                <w:color w:val="000000"/>
                <w:kern w:val="0"/>
                <w:sz w:val="24"/>
                <w:lang w:bidi="ar"/>
              </w:rPr>
              <w:t>9.5 W</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供电方式：</w:t>
            </w:r>
            <w:r>
              <w:rPr>
                <w:rFonts w:hint="eastAsia" w:ascii="宋体" w:hAnsi="宋体" w:eastAsia="宋体" w:cs="宋体"/>
                <w:color w:val="000000"/>
                <w:kern w:val="0"/>
                <w:sz w:val="24"/>
                <w:lang w:bidi="ar"/>
              </w:rPr>
              <w:t xml:space="preserve"> DC</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12 V ± 25%</w:t>
            </w:r>
            <w:r>
              <w:rPr>
                <w:rStyle w:val="27"/>
                <w:rFonts w:hint="eastAsia" w:ascii="宋体" w:hAnsi="宋体" w:eastAsia="宋体" w:cs="宋体"/>
                <w:sz w:val="24"/>
                <w:szCs w:val="24"/>
                <w:lang w:bidi="ar"/>
              </w:rPr>
              <w:t>，支持防反接保护；</w:t>
            </w:r>
            <w:r>
              <w:rPr>
                <w:rFonts w:hint="eastAsia" w:ascii="宋体" w:hAnsi="宋体" w:eastAsia="宋体" w:cs="宋体"/>
                <w:color w:val="000000"/>
                <w:kern w:val="0"/>
                <w:sz w:val="24"/>
                <w:lang w:bidi="ar"/>
              </w:rPr>
              <w:t>PoE</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802.3af</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Class 3</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电源接口类型：</w:t>
            </w:r>
            <w:r>
              <w:rPr>
                <w:rFonts w:hint="eastAsia" w:ascii="宋体" w:hAnsi="宋体" w:eastAsia="宋体" w:cs="宋体"/>
                <w:color w:val="000000"/>
                <w:kern w:val="0"/>
                <w:sz w:val="24"/>
                <w:lang w:bidi="ar"/>
              </w:rPr>
              <w:t xml:space="preserve"> Ø5.5 mm</w:t>
            </w:r>
            <w:r>
              <w:rPr>
                <w:rStyle w:val="27"/>
                <w:rFonts w:hint="eastAsia" w:ascii="宋体" w:hAnsi="宋体" w:eastAsia="宋体" w:cs="宋体"/>
                <w:sz w:val="24"/>
                <w:szCs w:val="24"/>
                <w:lang w:bidi="ar"/>
              </w:rPr>
              <w:t>圆口。</w:t>
            </w:r>
            <w:r>
              <w:rPr>
                <w:rFonts w:hint="eastAsia" w:ascii="宋体" w:hAnsi="宋体" w:eastAsia="宋体" w:cs="宋体"/>
                <w:color w:val="000000"/>
                <w:kern w:val="0"/>
                <w:sz w:val="24"/>
                <w:lang w:bidi="ar"/>
              </w:rPr>
              <w:br w:type="textWrapping"/>
            </w:r>
            <w:r>
              <w:rPr>
                <w:rStyle w:val="27"/>
                <w:rFonts w:hint="eastAsia" w:ascii="宋体" w:hAnsi="宋体" w:eastAsia="宋体" w:cs="宋体"/>
                <w:sz w:val="24"/>
                <w:szCs w:val="24"/>
                <w:lang w:bidi="ar"/>
              </w:rPr>
              <w:t>防护：</w:t>
            </w:r>
            <w:r>
              <w:rPr>
                <w:rFonts w:hint="eastAsia" w:ascii="宋体" w:hAnsi="宋体" w:eastAsia="宋体" w:cs="宋体"/>
                <w:color w:val="000000"/>
                <w:kern w:val="0"/>
                <w:sz w:val="24"/>
                <w:lang w:bidi="ar"/>
              </w:rPr>
              <w:t xml:space="preserve"> IP66</w:t>
            </w:r>
            <w:r>
              <w:rPr>
                <w:rStyle w:val="27"/>
                <w:rFonts w:hint="eastAsia" w:ascii="宋体" w:hAnsi="宋体" w:eastAsia="宋体" w:cs="宋体"/>
                <w:sz w:val="24"/>
                <w:szCs w:val="24"/>
                <w:lang w:bidi="ar"/>
              </w:rPr>
              <w:t>，</w:t>
            </w:r>
            <w:r>
              <w:rPr>
                <w:rFonts w:hint="eastAsia" w:ascii="宋体" w:hAnsi="宋体" w:eastAsia="宋体" w:cs="宋体"/>
                <w:color w:val="000000"/>
                <w:kern w:val="0"/>
                <w:sz w:val="24"/>
                <w:lang w:bidi="ar"/>
              </w:rPr>
              <w:t>IK10</w:t>
            </w:r>
            <w:r>
              <w:rPr>
                <w:rStyle w:val="27"/>
                <w:rFonts w:hint="eastAsia" w:ascii="宋体" w:hAnsi="宋体" w:eastAsia="宋体" w:cs="宋体"/>
                <w:sz w:val="24"/>
                <w:szCs w:val="24"/>
                <w:lang w:bidi="ar"/>
              </w:rPr>
              <w:t>。</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8C5E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D6D1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EBEFB">
            <w:pPr>
              <w:widowControl/>
              <w:rPr>
                <w:rFonts w:hint="eastAsia" w:ascii="宋体" w:hAnsi="宋体" w:eastAsia="宋体" w:cs="宋体"/>
                <w:color w:val="000000"/>
                <w:sz w:val="24"/>
              </w:rPr>
            </w:pPr>
          </w:p>
        </w:tc>
      </w:tr>
      <w:tr w14:paraId="2598207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656C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21</w:t>
            </w:r>
          </w:p>
        </w:tc>
        <w:tc>
          <w:tcPr>
            <w:tcW w:w="928" w:type="pct"/>
            <w:tcBorders>
              <w:top w:val="single" w:color="000000" w:sz="4" w:space="0"/>
              <w:left w:val="single" w:color="000000" w:sz="4" w:space="0"/>
              <w:bottom w:val="single" w:color="000000" w:sz="4" w:space="0"/>
              <w:right w:val="single" w:color="000000" w:sz="4" w:space="0"/>
            </w:tcBorders>
            <w:shd w:val="clear" w:color="auto" w:fill="auto"/>
          </w:tcPr>
          <w:p w14:paraId="6C7B680E">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智慧法庭后端应用服务器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3CC9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1、产品规格：标准2U机架式服务器，国产品牌，非OEM。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2、实际配置：配置2颗Intel Xeon 4314(16C，135W，2.4GHz) 处理器，8根16G DDR4内存，2*4T SATA硬盘，1张阵列卡，（支持RAID0/1/5），2个千兆网口，2个550W电源。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3、内存扩展：整机最大可支持≥32根内存插槽扩展，内存保护支持ECC、内存镜像等。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4、硬盘扩展：前置需支持扩展≥12块3.5寸/2.5寸大盘，后置可选扩展≥2个SATA M.2或≥2个短RSSD存储模块。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5、I/O接口：整机提供≥3个USB3.0接口，提供≥2个VGA接口。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6、PCIE扩展：整机提供≥11个PCIE插槽，可支持≥4块双宽GPU卡扩展。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7、网卡扩展：支持可选的OCP3.0模块，支持10G、25G、40G、100G等多种网络接口。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8、系统管理：板载BMC远程管理模块，集成1个独立的1000Mbps 网络接口用于IPMI远程管理。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9、电源模块：配置2块冗余电源模块，支持1+1冗余。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10、服务：上架安装服务（含上架导轨），3年标准维保服务，3年硬盘介质保留服务。</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D495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2C80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063FA">
            <w:pPr>
              <w:widowControl/>
              <w:rPr>
                <w:rFonts w:hint="eastAsia" w:ascii="宋体" w:hAnsi="宋体" w:eastAsia="宋体" w:cs="宋体"/>
                <w:color w:val="000000"/>
                <w:sz w:val="24"/>
              </w:rPr>
            </w:pPr>
          </w:p>
        </w:tc>
      </w:tr>
      <w:tr w14:paraId="7A04EE7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293B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940C0">
            <w:pPr>
              <w:widowControl/>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智慧法庭智慧分析应用服务器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5CFD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1、产品规格：标准2U机架式服务器，国产品牌，非OEM。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2、实际配置：配置2颗Intel Xeon 4314(16C，135W，2.4GHz) 处理器，8根16G DDR4内存，2*4T SATA硬盘，1张阵列卡，（支持RAID0/1/5），2个千兆网口，2个550W电源。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3、内存扩展：整机最大可支持≥32根内存插槽扩展，内存保护支持ECC、内存镜像等。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4、硬盘扩展：前置需支持扩展≥12块3.5寸/2.5寸大盘，后置可选扩展≥2个SATA M.2或≥2个短RSSD存储模块。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5、I/O接口：整机提供≥3个USB3.0接口，提供≥2个VGA接口。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6、PCIE扩展：整机提供≥11个PCIE插槽，可支持≥4块双宽GPU卡扩展。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7、网卡扩展：支持可选的OCP3.0模块，支持10G、25G、40G、100G等多种网络接口。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8、系统管理：板载BMC远程管理模块，集成1个独立的1000Mbps 网络接口用于IPMI远程管理。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9、电源模块：配置2块冗余电源模块，支持1+1冗余。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10、服务：上架安装服务（含上架导轨），3年标准维保服务，3年硬盘介质保留服务。</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3D0B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9B86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3C6F9">
            <w:pPr>
              <w:widowControl/>
              <w:rPr>
                <w:rFonts w:hint="eastAsia" w:ascii="宋体" w:hAnsi="宋体" w:eastAsia="宋体" w:cs="宋体"/>
                <w:color w:val="000000"/>
                <w:sz w:val="24"/>
              </w:rPr>
            </w:pPr>
          </w:p>
        </w:tc>
      </w:tr>
      <w:tr w14:paraId="24AFB48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F57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DED8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综合标准机柜</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F43F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600*800*1200标准机柜。前后挡门都为网格门，含PDU电源1个。</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E48D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D6D9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1517C">
            <w:pPr>
              <w:widowControl/>
              <w:rPr>
                <w:rFonts w:hint="eastAsia" w:ascii="宋体" w:hAnsi="宋体" w:eastAsia="宋体" w:cs="宋体"/>
                <w:color w:val="000000"/>
                <w:sz w:val="24"/>
              </w:rPr>
            </w:pPr>
          </w:p>
        </w:tc>
      </w:tr>
      <w:tr w14:paraId="7E95834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E490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4A081">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ups</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E649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UPS一体机，3kVA ，满载后备时间不低于15分钟。</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57B4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8044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8E066">
            <w:pPr>
              <w:widowControl/>
              <w:rPr>
                <w:rFonts w:hint="eastAsia" w:ascii="宋体" w:hAnsi="宋体" w:eastAsia="宋体" w:cs="宋体"/>
                <w:color w:val="000000"/>
                <w:sz w:val="24"/>
              </w:rPr>
            </w:pPr>
          </w:p>
        </w:tc>
      </w:tr>
      <w:tr w14:paraId="4C9B22F5">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9BC3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1.2</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7533">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互联网法庭</w:t>
            </w:r>
          </w:p>
        </w:tc>
      </w:tr>
      <w:tr w14:paraId="5717D05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8ED6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7EDB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互联网庭审音视频交互网关</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878B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1.支持≥9个互联网端庭审参与人同时参与庭审。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2.支持CIF/720P/1080P多分辨率显示，支持软编软解功能。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3.支持≥1路本地信号的编码， 分辨率不低于640x480。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4.音视频交互时，可以根据网络带宽自己调节编码参数，以达到流畅的效果。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5.支持≥4路DVI输出接口。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6.每个接口输出的画面可控制。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7.支持≥2路DVI信号采集。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8.支持≥1路音频的输入。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9.支持≥1路音频输出。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10.支持自动同步系统时间功能，支持控制系统硬件/软件重启功能。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11.支持其他厂家标准庭审主机接入功能，支持RTSP和互联网协议实时互转功能。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12.支持将解码的互联网端当事人声音的混音或独立输出。</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D38B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58BB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A18A">
            <w:pPr>
              <w:widowControl/>
              <w:rPr>
                <w:rFonts w:hint="eastAsia" w:ascii="宋体" w:hAnsi="宋体" w:eastAsia="宋体" w:cs="宋体"/>
                <w:color w:val="0000FF"/>
                <w:sz w:val="24"/>
                <w:u w:val="single"/>
              </w:rPr>
            </w:pPr>
          </w:p>
        </w:tc>
      </w:tr>
      <w:tr w14:paraId="70F53CC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B0E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CEA2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 xml:space="preserve">互联庭审云视频接入服务 </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EEE2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提供互联网庭审云视频接入服务，服务期1年。</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1F7F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1F33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BE822">
            <w:pPr>
              <w:widowControl/>
              <w:rPr>
                <w:rFonts w:hint="eastAsia" w:ascii="宋体" w:hAnsi="宋体" w:eastAsia="宋体" w:cs="宋体"/>
                <w:color w:val="0000FF"/>
                <w:sz w:val="24"/>
                <w:u w:val="single"/>
              </w:rPr>
            </w:pPr>
          </w:p>
        </w:tc>
      </w:tr>
      <w:tr w14:paraId="480DF9B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AD6F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4E49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实名认证服务包</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27D8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实名认证服务目前仅支持对拥有中华人民共和国第二代居民身份证的居民进行认证。本服务包含1万次的身份实人认证，通过实名认证服务以判断当事人与其身份证信息是否匹配。</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6638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4464B">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9A3CF">
            <w:pPr>
              <w:widowControl/>
              <w:rPr>
                <w:rFonts w:hint="eastAsia" w:ascii="宋体" w:hAnsi="宋体" w:eastAsia="宋体" w:cs="宋体"/>
                <w:color w:val="0000FF"/>
                <w:sz w:val="24"/>
                <w:u w:val="single"/>
              </w:rPr>
            </w:pPr>
          </w:p>
        </w:tc>
      </w:tr>
      <w:tr w14:paraId="6931D99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1C03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6E20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光端机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B0D2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支持HDMI/DVI信号输入/输出，支持平衡音频输入/输出。</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4516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2E9A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ABD4">
            <w:pPr>
              <w:widowControl/>
              <w:rPr>
                <w:rFonts w:hint="eastAsia" w:ascii="宋体" w:hAnsi="宋体" w:eastAsia="宋体" w:cs="宋体"/>
                <w:color w:val="0000FF"/>
                <w:sz w:val="24"/>
                <w:u w:val="single"/>
              </w:rPr>
            </w:pPr>
          </w:p>
        </w:tc>
      </w:tr>
      <w:tr w14:paraId="434B5F3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5F057">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1.3</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921C10">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线材及辅材</w:t>
            </w:r>
          </w:p>
        </w:tc>
      </w:tr>
      <w:tr w14:paraId="008D742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08CC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6B42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HDMI线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9CC3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15米HDMI高清线。</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BBBF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59FF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65592">
            <w:pPr>
              <w:widowControl/>
              <w:rPr>
                <w:rFonts w:hint="eastAsia" w:ascii="宋体" w:hAnsi="宋体" w:eastAsia="宋体" w:cs="宋体"/>
                <w:color w:val="0000FF"/>
                <w:sz w:val="24"/>
                <w:u w:val="single"/>
              </w:rPr>
            </w:pPr>
          </w:p>
        </w:tc>
      </w:tr>
      <w:tr w14:paraId="21D51C1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5CF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0D37C">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HDMI线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E0EF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20米HDMI高清线。</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2030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B452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92E61">
            <w:pPr>
              <w:widowControl/>
              <w:rPr>
                <w:rFonts w:hint="eastAsia" w:ascii="宋体" w:hAnsi="宋体" w:eastAsia="宋体" w:cs="宋体"/>
                <w:color w:val="0000FF"/>
                <w:sz w:val="24"/>
                <w:u w:val="single"/>
              </w:rPr>
            </w:pPr>
          </w:p>
        </w:tc>
      </w:tr>
      <w:tr w14:paraId="5B9B6CF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2E0C5">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58D3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麦线</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6E11B">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双芯咪线，工程音频屏蔽卡农线。</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67AC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150C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640</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4C160">
            <w:pPr>
              <w:widowControl/>
              <w:rPr>
                <w:rFonts w:hint="eastAsia" w:ascii="宋体" w:hAnsi="宋体" w:eastAsia="宋体" w:cs="宋体"/>
                <w:color w:val="000000"/>
                <w:sz w:val="24"/>
              </w:rPr>
            </w:pPr>
          </w:p>
        </w:tc>
      </w:tr>
      <w:tr w14:paraId="60DC4A6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051E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3667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线材及辅材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E786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音视频线缆、RS232线缆、电源线及PVC管材。</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F23A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86629">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40337">
            <w:pPr>
              <w:widowControl/>
              <w:rPr>
                <w:rFonts w:hint="eastAsia" w:ascii="宋体" w:hAnsi="宋体" w:eastAsia="宋体" w:cs="宋体"/>
                <w:color w:val="000000"/>
                <w:sz w:val="24"/>
              </w:rPr>
            </w:pPr>
          </w:p>
        </w:tc>
      </w:tr>
      <w:tr w14:paraId="6BD7806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ED05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（五）</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2C9184">
            <w:pPr>
              <w:widowControl/>
              <w:rPr>
                <w:rFonts w:hint="eastAsia" w:ascii="宋体" w:hAnsi="宋体" w:eastAsia="宋体" w:cs="宋体"/>
                <w:color w:val="000000"/>
                <w:sz w:val="24"/>
              </w:rPr>
            </w:pPr>
            <w:r>
              <w:rPr>
                <w:rFonts w:hint="eastAsia" w:ascii="宋体" w:hAnsi="宋体" w:eastAsia="宋体" w:cs="宋体"/>
                <w:b/>
                <w:bCs/>
                <w:color w:val="000000"/>
                <w:kern w:val="0"/>
                <w:sz w:val="24"/>
                <w:lang w:bidi="ar"/>
              </w:rPr>
              <w:t>接谈室、听证室及接访室</w:t>
            </w:r>
          </w:p>
        </w:tc>
      </w:tr>
      <w:tr w14:paraId="6A6E7736">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57DE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AFCD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操作电脑</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11E20D90">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EF7C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52693">
            <w:pPr>
              <w:widowControl/>
              <w:jc w:val="center"/>
              <w:textAlignment w:val="center"/>
              <w:rPr>
                <w:rFonts w:hint="eastAsia" w:ascii="宋体" w:hAnsi="宋体" w:eastAsia="宋体" w:cs="宋体"/>
                <w:color w:val="FF0000"/>
                <w:sz w:val="24"/>
              </w:rPr>
            </w:pPr>
            <w:r>
              <w:rPr>
                <w:rFonts w:hint="eastAsia" w:ascii="宋体" w:hAnsi="宋体" w:eastAsia="宋体" w:cs="宋体"/>
                <w:color w:val="FF0000"/>
                <w:kern w:val="0"/>
                <w:sz w:val="24"/>
                <w:lang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5AA98">
            <w:pPr>
              <w:widowControl/>
              <w:rPr>
                <w:rFonts w:hint="eastAsia" w:ascii="宋体" w:hAnsi="宋体" w:eastAsia="宋体" w:cs="宋体"/>
                <w:color w:val="000000"/>
                <w:sz w:val="24"/>
              </w:rPr>
            </w:pPr>
          </w:p>
        </w:tc>
      </w:tr>
      <w:tr w14:paraId="651B5D0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04556">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0AB3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激光打印机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7846296F">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适配国产操作系统和国际通用操作系统，高速打印≥30页每分钟，首页打印≤3.1秒，支持黑红双色公文自动双面打印，黑彩同速输出。</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0854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5DBAC">
            <w:pPr>
              <w:widowControl/>
              <w:jc w:val="center"/>
              <w:textAlignment w:val="center"/>
              <w:rPr>
                <w:rFonts w:hint="eastAsia" w:ascii="宋体" w:hAnsi="宋体" w:eastAsia="宋体" w:cs="宋体"/>
                <w:color w:val="FF0000"/>
                <w:sz w:val="24"/>
              </w:rPr>
            </w:pPr>
            <w:r>
              <w:rPr>
                <w:rFonts w:hint="eastAsia" w:ascii="宋体" w:hAnsi="宋体" w:eastAsia="宋体" w:cs="宋体"/>
                <w:color w:val="FF0000"/>
                <w:kern w:val="0"/>
                <w:sz w:val="24"/>
                <w:lang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91805">
            <w:pPr>
              <w:widowControl/>
              <w:rPr>
                <w:rFonts w:hint="eastAsia" w:ascii="宋体" w:hAnsi="宋体" w:eastAsia="宋体" w:cs="宋体"/>
                <w:color w:val="000000"/>
                <w:sz w:val="24"/>
              </w:rPr>
            </w:pPr>
          </w:p>
        </w:tc>
      </w:tr>
      <w:tr w14:paraId="5BC424A7">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D581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A7109">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发言话筒</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F1C98">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1.指向性：心形指向性。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2.信噪比：≥65dB SPL 1KHz at 1Pa。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3.频率响应：不低于20-18KHz。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4.输出阻抗：≥75Ω。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5.灵敏度：不低于-40dB±2dB。</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8C12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67EA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6DC09">
            <w:pPr>
              <w:widowControl/>
              <w:rPr>
                <w:rFonts w:hint="eastAsia" w:ascii="宋体" w:hAnsi="宋体" w:eastAsia="宋体" w:cs="宋体"/>
                <w:color w:val="000000"/>
                <w:sz w:val="24"/>
              </w:rPr>
            </w:pPr>
          </w:p>
        </w:tc>
      </w:tr>
      <w:tr w14:paraId="23285B04">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EFD4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4</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741C4">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音频功放</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2E62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1.1U机箱设计，采用最新D类数字功放设计方案。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2.标准XLR输入接口，和LINK输出口，简洁的接口更加方便不同用户需求。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3.电源采用开关电源技术，效率高，有效的抑制电源谐波。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4.内置智能削峰限幅器，支持开机软启动，防止开机时向电网吸收大电流，干扰其它用电设备。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5.具有：过压保护，欠压保护，过流保护，直流保护，输出短路保护，温控风扇等功能。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6.输出功率：立体声@8Ω：≥200W×2；立体声@4Ω：≥400W×2。</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439D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CA90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C5D6A">
            <w:pPr>
              <w:widowControl/>
              <w:rPr>
                <w:rFonts w:hint="eastAsia" w:ascii="宋体" w:hAnsi="宋体" w:eastAsia="宋体" w:cs="宋体"/>
                <w:color w:val="000000"/>
                <w:sz w:val="24"/>
              </w:rPr>
            </w:pPr>
          </w:p>
        </w:tc>
      </w:tr>
      <w:tr w14:paraId="5DDDC2EF">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8621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5</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74087">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法庭音箱</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35BC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1.阻抗：8Ω。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2.频响：70Hz~20KHz。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3.额定功率≥120W。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4.灵敏度≥95dB/W/M。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5.水平覆盖角≥120°，垂直覆盖角≥60°。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6.高音：3"锥形高音单元×2。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7.低音：6.5"低音×1。</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4A7E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91A6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7066A">
            <w:pPr>
              <w:widowControl/>
              <w:rPr>
                <w:rFonts w:hint="eastAsia" w:ascii="宋体" w:hAnsi="宋体" w:eastAsia="宋体" w:cs="宋体"/>
                <w:color w:val="000000"/>
                <w:sz w:val="24"/>
              </w:rPr>
            </w:pPr>
          </w:p>
        </w:tc>
      </w:tr>
      <w:tr w14:paraId="3BC0902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C2E08">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EAF43">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音箱挂架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68CB0">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1.固定面板固定孔尺寸（长*宽）：34mm*34mm。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2.箱体固定面板固定孔尺寸：110mm。</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FEC4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7CC9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169B1">
            <w:pPr>
              <w:widowControl/>
              <w:rPr>
                <w:rFonts w:hint="eastAsia" w:ascii="宋体" w:hAnsi="宋体" w:eastAsia="宋体" w:cs="宋体"/>
                <w:color w:val="000000"/>
                <w:sz w:val="24"/>
              </w:rPr>
            </w:pPr>
          </w:p>
        </w:tc>
      </w:tr>
      <w:tr w14:paraId="0FFB015E">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714E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7</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937CF">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智能混音器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ED6E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1.输入每通道：≥16路平衡式话筒/线路输入，采用裸线接口端子，平衡接法。支持麦克风输入和线路输入切换。每路输入带≥48V幻象电源，可通过PC软件单独配置。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2.输出每通道：≥4路平衡式线路输出，采用裸线接口端子，平衡接法。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3.具有丰富的音频处理功能：闪避器、自动增益、均衡器、分频器。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4.具有自动混音功能，包括增益共享混音以及门限自动混音。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5.输入具有≥10段图示均衡调节，输出具有≥31段图示均衡调节，参量全频段拖动可调。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6.高、低通分频器全频段可调，具有贝塞尔、林克威治-瑞利、巴特沃斯三种滤波器可供选择。</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7.具有恢复出厂设置、设备定位、断电自动保护记忆。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8.设备级联最大可扩展256个输入。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9.极低系统延时，延时小于3ms。</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6C8B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FC15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82548">
            <w:pPr>
              <w:widowControl/>
              <w:rPr>
                <w:rFonts w:hint="eastAsia" w:ascii="宋体" w:hAnsi="宋体" w:eastAsia="宋体" w:cs="宋体"/>
                <w:color w:val="000000"/>
                <w:sz w:val="24"/>
              </w:rPr>
            </w:pPr>
          </w:p>
        </w:tc>
      </w:tr>
      <w:tr w14:paraId="29789D8C">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02E32">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8</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8ECB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音频处理器</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EC77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1.数字音频处理器支持≥4路平衡式话筒/线路输入通道，采用裸线接口端子，平衡接法；支持≥4路平衡式线路输出，采用裸线接口端子，平衡接法。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2.输入通道支持前级放大、信号发生器、扩展器、压缩器、≥5段参量均衡、AM自动混音功能、AFC自适应反馈消除、AEC回声消除、ANC噪声消除。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3.输出通道支持≥31段图示均衡器、延时器、分频器、高低通滤波器、限幅器。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4.支持≥24bit/48kHz的声音，支持输入通道48V幻象供电。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5.具有≥2.19英寸液晶显示屏，支持显示设备网络信息、实时电平、通道静音状态、矩阵混音状态。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6.支持通过ipad或iPhone或安卓手机APP软件进行操作控制，面板具备USB接口，支持多媒体存储，可进行播放或存储录播。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7.配置双向RS-232接口，可用于控制外部设备；配置RS-485接口，可实现自动摄像跟踪功能。配置≥8通道可编程GPIO控制接口（可自定义输入输出）。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8.支持断电自动保护记忆功能。支持通道拷贝、粘贴、联控功能。支持通过浏览器访问设备，下载自带管理控制软件；可工作在XP/Windows7、8、10等系统环境下。</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6A13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32F9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59CAE">
            <w:pPr>
              <w:widowControl/>
              <w:rPr>
                <w:rFonts w:hint="eastAsia" w:ascii="宋体" w:hAnsi="宋体" w:eastAsia="宋体" w:cs="宋体"/>
                <w:color w:val="0000FF"/>
                <w:sz w:val="24"/>
                <w:u w:val="single"/>
              </w:rPr>
            </w:pPr>
          </w:p>
        </w:tc>
      </w:tr>
      <w:tr w14:paraId="2B42059A">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0D1A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9</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72285">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高清液晶电视机（含支架）</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64B42D05">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55英寸，16：9，1080P，1920*1080，USB2.0接口数：2个；HDMI2.0接口数：2个；亮度：200尼特以下；屏幕比例：16：9；色域值：96.65%；对比度：1200；屏幕分辨率：超高清4K。</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FF77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4E06E">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293EE">
            <w:pPr>
              <w:widowControl/>
              <w:rPr>
                <w:rFonts w:hint="eastAsia" w:ascii="宋体" w:hAnsi="宋体" w:eastAsia="宋体" w:cs="宋体"/>
                <w:color w:val="000000"/>
                <w:sz w:val="24"/>
              </w:rPr>
            </w:pPr>
          </w:p>
        </w:tc>
      </w:tr>
      <w:tr w14:paraId="1A1CD60B">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DAD6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214B2">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高清视频会议摄像机</w:t>
            </w:r>
          </w:p>
        </w:tc>
        <w:tc>
          <w:tcPr>
            <w:tcW w:w="1935" w:type="pct"/>
            <w:tcBorders>
              <w:top w:val="single" w:color="000000" w:sz="4" w:space="0"/>
              <w:left w:val="single" w:color="000000" w:sz="4" w:space="0"/>
              <w:bottom w:val="single" w:color="000000" w:sz="4" w:space="0"/>
              <w:right w:val="single" w:color="000000" w:sz="4" w:space="0"/>
            </w:tcBorders>
            <w:shd w:val="clear" w:color="auto" w:fill="auto"/>
          </w:tcPr>
          <w:p w14:paraId="1CF0C70F">
            <w:pPr>
              <w:widowControl/>
              <w:jc w:val="left"/>
              <w:textAlignment w:val="top"/>
              <w:rPr>
                <w:rFonts w:hint="eastAsia" w:ascii="宋体" w:hAnsi="宋体" w:eastAsia="宋体" w:cs="宋体"/>
                <w:color w:val="000000"/>
                <w:sz w:val="24"/>
              </w:rPr>
            </w:pPr>
            <w:r>
              <w:rPr>
                <w:rFonts w:hint="eastAsia" w:ascii="宋体" w:hAnsi="宋体" w:eastAsia="宋体" w:cs="宋体"/>
                <w:color w:val="000000"/>
                <w:kern w:val="0"/>
                <w:sz w:val="24"/>
                <w:lang w:bidi="ar"/>
              </w:rPr>
              <w:t>1.一体化高清视频会议终端采用一体化紧凑型设计，内置摄像头和麦克风，支持智能语音呼叫和Wi-Fi无线互联，可内置高清MCU，支持双路1080P高清，视像分辨率 1080p 60fps，1080p 30fps，720p 60fps，720p 30fps。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2.变焦倍数 12X。</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3.视频输入接口 1x内置摄像机（1路5X/12X智能最佳视角）、1xHDMI。</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4.视频输出接口 2xHDMI。</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5.音频输入接口 内置阵列麦克风、1×3.5mm、1xHD-AI、1xHDMI（音频）。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6.音频输出接口 1×3.5mm、2×HDMI（音频）。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7.其他特点 1xUSB 3.0 A口、1xRJ45（10/100/1000M LAN）、1xRJ45（接Touch）、1xWi-Fi（内置）。</w:t>
            </w:r>
          </w:p>
        </w:tc>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14E7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CC231">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28ECA">
            <w:pPr>
              <w:widowControl/>
              <w:rPr>
                <w:rFonts w:hint="eastAsia" w:ascii="宋体" w:hAnsi="宋体" w:eastAsia="宋体" w:cs="宋体"/>
                <w:color w:val="0000FF"/>
                <w:sz w:val="24"/>
                <w:u w:val="single"/>
              </w:rPr>
            </w:pPr>
          </w:p>
        </w:tc>
      </w:tr>
      <w:tr w14:paraId="72D2C829">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C24BC">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A17BE">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线缆辅材</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D8686">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音视频线缆、HDMI高清线、超六类网线、电源线、RS232控制线、管材、高清接头等。</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EACDA">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A0FD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FAE69">
            <w:pPr>
              <w:widowControl/>
              <w:rPr>
                <w:rFonts w:hint="eastAsia" w:ascii="宋体" w:hAnsi="宋体" w:eastAsia="宋体" w:cs="宋体"/>
                <w:color w:val="000000"/>
                <w:sz w:val="24"/>
              </w:rPr>
            </w:pPr>
          </w:p>
        </w:tc>
      </w:tr>
      <w:tr w14:paraId="1C94E2A8">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CE373">
            <w:pPr>
              <w:widowControl/>
              <w:jc w:val="center"/>
              <w:textAlignment w:val="center"/>
              <w:rPr>
                <w:rFonts w:hint="eastAsia" w:ascii="宋体" w:hAnsi="宋体" w:eastAsia="宋体" w:cs="宋体"/>
                <w:color w:val="000000"/>
                <w:kern w:val="0"/>
                <w:sz w:val="24"/>
                <w:lang w:bidi="ar"/>
              </w:rPr>
            </w:pPr>
            <w:r>
              <w:rPr>
                <w:rFonts w:hint="eastAsia" w:ascii="宋体" w:hAnsi="宋体" w:eastAsia="宋体" w:cs="宋体"/>
                <w:b/>
                <w:bCs/>
                <w:color w:val="000000"/>
                <w:kern w:val="0"/>
                <w:sz w:val="24"/>
                <w:lang w:bidi="ar"/>
              </w:rPr>
              <w:t>（六）</w:t>
            </w:r>
          </w:p>
        </w:tc>
        <w:tc>
          <w:tcPr>
            <w:tcW w:w="44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6CDE31">
            <w:pPr>
              <w:widowControl/>
              <w:rPr>
                <w:rFonts w:hint="eastAsia" w:ascii="宋体" w:hAnsi="宋体" w:eastAsia="宋体" w:cs="宋体"/>
                <w:b/>
                <w:bCs/>
                <w:color w:val="000000"/>
                <w:sz w:val="24"/>
              </w:rPr>
            </w:pPr>
            <w:r>
              <w:rPr>
                <w:rFonts w:hint="eastAsia" w:ascii="宋体" w:hAnsi="宋体" w:eastAsia="宋体" w:cs="宋体"/>
                <w:b/>
                <w:bCs/>
                <w:color w:val="000000"/>
                <w:sz w:val="24"/>
              </w:rPr>
              <w:t>系统集成实施费与其他费</w:t>
            </w:r>
          </w:p>
        </w:tc>
      </w:tr>
      <w:tr w14:paraId="7C4E66FD">
        <w:tblPrEx>
          <w:tblCellMar>
            <w:top w:w="0" w:type="dxa"/>
            <w:left w:w="108" w:type="dxa"/>
            <w:bottom w:w="0" w:type="dxa"/>
            <w:right w:w="108" w:type="dxa"/>
          </w:tblCellMar>
        </w:tblPrEx>
        <w:trPr>
          <w:trHeight w:val="454"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E9957">
            <w:pPr>
              <w:widowControl/>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D5740">
            <w:pPr>
              <w:widowControl/>
              <w:jc w:val="left"/>
              <w:textAlignment w:val="center"/>
              <w:rPr>
                <w:rFonts w:hint="eastAsia" w:ascii="宋体" w:hAnsi="宋体" w:eastAsia="宋体" w:cs="宋体"/>
                <w:color w:val="000000"/>
                <w:kern w:val="0"/>
                <w:sz w:val="24"/>
                <w:lang w:bidi="ar"/>
              </w:rPr>
            </w:pPr>
            <w:r>
              <w:rPr>
                <w:rFonts w:ascii="Times New Roman" w:hAnsi="Times New Roman"/>
                <w:color w:val="000000"/>
                <w:kern w:val="0"/>
                <w:sz w:val="24"/>
                <w:lang w:bidi="ar"/>
              </w:rPr>
              <w:t>系统集成实施费</w:t>
            </w:r>
          </w:p>
        </w:tc>
        <w:tc>
          <w:tcPr>
            <w:tcW w:w="19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91861">
            <w:pPr>
              <w:widowControl/>
              <w:jc w:val="left"/>
              <w:textAlignment w:val="center"/>
              <w:rPr>
                <w:rFonts w:hint="eastAsia" w:cs="宋体" w:asciiTheme="minorEastAsia" w:hAnsiTheme="minorEastAsia"/>
                <w:color w:val="000000"/>
                <w:kern w:val="0"/>
                <w:sz w:val="24"/>
                <w:lang w:bidi="ar"/>
              </w:rPr>
            </w:pPr>
            <w:r>
              <w:rPr>
                <w:rFonts w:asciiTheme="minorEastAsia" w:hAnsiTheme="minorEastAsia"/>
                <w:color w:val="000000"/>
                <w:kern w:val="0"/>
                <w:sz w:val="24"/>
                <w:lang w:bidi="ar"/>
              </w:rPr>
              <w:t>基础环境集成实施费按不高于3%计取；硬件集成实施费按不高于5%计取；软件集成实施费按不高于8%计取。</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90AD2">
            <w:pPr>
              <w:widowControl/>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0DC00">
            <w:pPr>
              <w:widowControl/>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D14D">
            <w:pPr>
              <w:widowControl/>
              <w:rPr>
                <w:rFonts w:hint="eastAsia" w:ascii="宋体" w:hAnsi="宋体" w:eastAsia="宋体" w:cs="宋体"/>
                <w:color w:val="000000"/>
                <w:sz w:val="24"/>
              </w:rPr>
            </w:pPr>
          </w:p>
        </w:tc>
      </w:tr>
    </w:tbl>
    <w:p w14:paraId="1B55BAD1">
      <w:pPr>
        <w:pStyle w:val="26"/>
        <w:spacing w:line="288" w:lineRule="auto"/>
        <w:outlineLvl w:val="2"/>
        <w:rPr>
          <w:rFonts w:ascii="宋体" w:hAnsi="宋体" w:eastAsia="宋体" w:cs="宋体"/>
          <w:b/>
          <w:sz w:val="24"/>
          <w:szCs w:val="24"/>
        </w:rPr>
      </w:pPr>
    </w:p>
    <w:p w14:paraId="42ECA962">
      <w:pPr>
        <w:pStyle w:val="26"/>
        <w:spacing w:line="288" w:lineRule="auto"/>
        <w:outlineLvl w:val="2"/>
        <w:rPr>
          <w:rFonts w:ascii="宋体" w:hAnsi="宋体" w:eastAsia="宋体" w:cs="宋体"/>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三、商务要求（以“★”标示的内容为不允许负偏离的实质性要求）</w:t>
      </w:r>
    </w:p>
    <w:p w14:paraId="0C2AFD0E">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付款时间、方式</w:t>
      </w:r>
      <w:r>
        <w:rPr>
          <w:rFonts w:ascii="宋体" w:hAnsi="宋体" w:eastAsia="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条件</w:t>
      </w:r>
      <w:r>
        <w:rPr>
          <w:rFonts w:ascii="宋体" w:hAnsi="宋体" w:eastAsia="宋体" w:cs="宋体"/>
          <w:color w:val="000000" w:themeColor="text1"/>
          <w:sz w:val="24"/>
          <w:szCs w:val="24"/>
          <w:lang w:eastAsia="zh-CN"/>
          <w14:textFill>
            <w14:solidFill>
              <w14:schemeClr w14:val="tx1"/>
            </w14:solidFill>
          </w14:textFill>
        </w:rPr>
        <w:t>及</w:t>
      </w:r>
      <w:r>
        <w:rPr>
          <w:rFonts w:ascii="宋体" w:hAnsi="宋体" w:eastAsia="宋体" w:cs="宋体"/>
          <w:color w:val="000000" w:themeColor="text1"/>
          <w:sz w:val="24"/>
          <w:szCs w:val="24"/>
          <w14:textFill>
            <w14:solidFill>
              <w14:schemeClr w14:val="tx1"/>
            </w14:solidFill>
          </w14:textFill>
        </w:rPr>
        <w:t>费用（以下称合同总额）由甲方分四次支付给乙方。具体支付方式和条件如下(以最终</w:t>
      </w:r>
      <w:r>
        <w:rPr>
          <w:rFonts w:ascii="宋体" w:hAnsi="宋体" w:eastAsia="宋体" w:cs="宋体"/>
          <w:color w:val="000000" w:themeColor="text1"/>
          <w:sz w:val="24"/>
          <w:szCs w:val="24"/>
          <w:lang w:eastAsia="zh-CN"/>
          <w14:textFill>
            <w14:solidFill>
              <w14:schemeClr w14:val="tx1"/>
            </w14:solidFill>
          </w14:textFill>
        </w:rPr>
        <w:t>签订的和合同为准</w:t>
      </w:r>
      <w:r>
        <w:rPr>
          <w:rFonts w:ascii="宋体" w:hAnsi="宋体" w:eastAsia="宋体" w:cs="宋体"/>
          <w:color w:val="000000" w:themeColor="text1"/>
          <w:sz w:val="24"/>
          <w:szCs w:val="24"/>
          <w14:textFill>
            <w14:solidFill>
              <w14:schemeClr w14:val="tx1"/>
            </w14:solidFill>
          </w14:textFill>
        </w:rPr>
        <w:t>)：</w:t>
      </w:r>
    </w:p>
    <w:p w14:paraId="683ABD80">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第一期：合同生效后七个工作日内，乙方提供合法有效的增值税普通发票后15个工作日内，甲方向乙方支付合同总额的20%，即：￥</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（人民币大写</w:t>
      </w:r>
      <w:r>
        <w:rPr>
          <w:rFonts w:ascii="宋体" w:hAnsi="宋体" w:eastAsia="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整）。</w:t>
      </w:r>
    </w:p>
    <w:p w14:paraId="3084D947">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第二期：在硬件设备到货后，乙方向甲方提供到货清单并经甲方代表签章确认及书面付款申请单、增值税发票，甲方在收到乙方提交的上述材料并审核无误后15个工作日内，向乙方支付合同价格10%的款项，即：￥</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（人民币大写：</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整）。</w:t>
      </w:r>
    </w:p>
    <w:p w14:paraId="73904358">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第三期:乙方完成软件设计与开发工作，具备系统试运行条件，乙方提出初验申请，甲方与监理方同意后开展项目初验，初验通过后，乙方提供合法有效的增值税普通发票后15个工作日内，甲方向乙方支付合同总额的50%，即：￥</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（人民币大写：</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整）。</w:t>
      </w:r>
    </w:p>
    <w:p w14:paraId="00747CE9">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第四期：项目通过竣工验收后15个工作日内，乙方提供合法有效的增值税普通发票，甲方向乙方支付合同总额的17%，即：￥</w:t>
      </w:r>
      <w:r>
        <w:rPr>
          <w:rFonts w:ascii="宋体" w:hAnsi="宋体" w:eastAsia="宋体" w:cs="宋体"/>
          <w:color w:val="000000" w:themeColor="text1"/>
          <w:sz w:val="24"/>
          <w:szCs w:val="24"/>
          <w:u w:val="single"/>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（人民币大写：            整）,剩余合同总金额的3%直接留作质保金，质保期满后15个工作日内，乙方提供合法有效的增值税普通发票，甲方向乙方支付剩余所有款项。上述费用包括了乙方履行本合同的全部报价，甲方除支付本合同款外，不必支付任何其它费用。若乙方涉及违约赔偿的，甲方有权在阶段进度款支付中给予相应直接扣除。</w:t>
      </w:r>
    </w:p>
    <w:p w14:paraId="0FE8A687">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.在甲方银行发生的汇款费用及其他银行费用应由甲方承担，乙方应承担在乙方银行发生的上述银行费用。</w:t>
      </w:r>
    </w:p>
    <w:p w14:paraId="6B493F24">
      <w:pPr>
        <w:pStyle w:val="26"/>
        <w:spacing w:line="360" w:lineRule="auto"/>
        <w:ind w:firstLine="42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.本项目实施过程中所产生专家评审费用、验收费、培训费用和材料打印费用由乙方支付。</w:t>
      </w:r>
    </w:p>
    <w:p w14:paraId="740832F6">
      <w:pPr>
        <w:pStyle w:val="26"/>
        <w:spacing w:line="360" w:lineRule="auto"/>
        <w:ind w:firstLine="420"/>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建设地点</w:t>
      </w:r>
      <w:r>
        <w:rPr>
          <w:rFonts w:ascii="宋体" w:hAnsi="宋体" w:eastAsia="宋体" w:cs="宋体"/>
          <w:color w:val="000000" w:themeColor="text1"/>
          <w:sz w:val="24"/>
          <w:szCs w:val="24"/>
          <w:lang w:eastAsia="zh-CN"/>
          <w14:textFill>
            <w14:solidFill>
              <w14:schemeClr w14:val="tx1"/>
            </w14:solidFill>
          </w14:textFill>
        </w:rPr>
        <w:t>：采购人指定地点。</w:t>
      </w:r>
    </w:p>
    <w:p w14:paraId="7997F8BB">
      <w:pPr>
        <w:pStyle w:val="26"/>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t>5.</w:t>
      </w:r>
      <w:r>
        <w:rPr>
          <w:rFonts w:ascii="宋体" w:hAnsi="宋体" w:eastAsia="宋体" w:cs="宋体"/>
          <w:color w:val="000000" w:themeColor="text1"/>
          <w:sz w:val="24"/>
          <w:szCs w:val="24"/>
          <w14:textFill>
            <w14:solidFill>
              <w14:schemeClr w14:val="tx1"/>
            </w14:solidFill>
          </w14:textFill>
        </w:rPr>
        <w:t>项目售后服务</w:t>
      </w:r>
    </w:p>
    <w:p w14:paraId="562E176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服务响应：质保期内必须按采购人指定的方式提供7*24全天候电话技术支持服务，包括主动监控和远程响应处理等。乙方应成立专门的售后服务小组，乙方应提供具体完善的售后服务方案，提供售后服务具体措施、应急措施等。项目实施完成后，必须由专人驻场进行一些日常维护保养工作，并直接与使用人交流设备使用相关事宜，同时，在巡检过程发现问题及时给予解决，解决后编写故障报告、巡检报告文档进行汇报并备案。在系统运行过程中，提供系统应用方面故障维修服务，确保应用系统稳定可靠地运行；所有的核心设备提供原厂7*24电话技术服务，必要时提供现场服务。且在保修期内接到软硬件设备发生故障的通报，将在30分钟内做出响应，2小时内赶到现场解决问题。</w:t>
      </w:r>
    </w:p>
    <w:p w14:paraId="4144421A">
      <w:pPr>
        <w:spacing w:line="360" w:lineRule="auto"/>
        <w:ind w:firstLine="482"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项目的硬件质保期2年，软件质保期3年，质保期内提供免费保修和运维质保服务，自项目完成竣工验收（终验）通过之日起算，本项目所采购产品的售后服务必须由原厂商提供，中标人负责协调原厂商的售后服务人员安排，必须满足服务响应时间要求，由此产生的费用采购人不再另行支付。</w:t>
      </w:r>
    </w:p>
    <w:p w14:paraId="72A8B310">
      <w:pPr>
        <w:pStyle w:val="2"/>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DA9DC"/>
    <w:multiLevelType w:val="singleLevel"/>
    <w:tmpl w:val="8BCDA9DC"/>
    <w:lvl w:ilvl="0" w:tentative="0">
      <w:start w:val="3"/>
      <w:numFmt w:val="decimal"/>
      <w:lvlText w:val="%1."/>
      <w:lvlJc w:val="left"/>
      <w:pPr>
        <w:tabs>
          <w:tab w:val="left" w:pos="312"/>
        </w:tabs>
      </w:pPr>
    </w:lvl>
  </w:abstractNum>
  <w:abstractNum w:abstractNumId="1">
    <w:nsid w:val="AF80EE31"/>
    <w:multiLevelType w:val="multilevel"/>
    <w:tmpl w:val="AF80EE31"/>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2">
    <w:nsid w:val="D8B4C3D2"/>
    <w:multiLevelType w:val="singleLevel"/>
    <w:tmpl w:val="D8B4C3D2"/>
    <w:lvl w:ilvl="0" w:tentative="0">
      <w:start w:val="1"/>
      <w:numFmt w:val="decimal"/>
      <w:suff w:val="nothing"/>
      <w:lvlText w:val="（%1）"/>
      <w:lvlJc w:val="left"/>
    </w:lvl>
  </w:abstractNum>
  <w:abstractNum w:abstractNumId="3">
    <w:nsid w:val="DC5D84AF"/>
    <w:multiLevelType w:val="singleLevel"/>
    <w:tmpl w:val="DC5D84AF"/>
    <w:lvl w:ilvl="0" w:tentative="0">
      <w:start w:val="1"/>
      <w:numFmt w:val="decimal"/>
      <w:suff w:val="nothing"/>
      <w:lvlText w:val="（%1）"/>
      <w:lvlJc w:val="left"/>
    </w:lvl>
  </w:abstractNum>
  <w:abstractNum w:abstractNumId="4">
    <w:nsid w:val="E71B87C5"/>
    <w:multiLevelType w:val="singleLevel"/>
    <w:tmpl w:val="E71B87C5"/>
    <w:lvl w:ilvl="0" w:tentative="0">
      <w:start w:val="2"/>
      <w:numFmt w:val="chineseCounting"/>
      <w:suff w:val="nothing"/>
      <w:lvlText w:val="%1、"/>
      <w:lvlJc w:val="left"/>
      <w:rPr>
        <w:rFonts w:hint="eastAsia"/>
      </w:rPr>
    </w:lvl>
  </w:abstractNum>
  <w:abstractNum w:abstractNumId="5">
    <w:nsid w:val="F68B1ABA"/>
    <w:multiLevelType w:val="multilevel"/>
    <w:tmpl w:val="F68B1ABA"/>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6">
    <w:nsid w:val="00000001"/>
    <w:multiLevelType w:val="multilevel"/>
    <w:tmpl w:val="00000001"/>
    <w:lvl w:ilvl="0" w:tentative="0">
      <w:start w:val="1"/>
      <w:numFmt w:val="decimal"/>
      <w:pStyle w:val="7"/>
      <w:lvlText w:val="第%1章"/>
      <w:lvlJc w:val="left"/>
      <w:pPr>
        <w:tabs>
          <w:tab w:val="left" w:pos="425"/>
        </w:tabs>
        <w:ind w:left="0" w:firstLine="0"/>
      </w:pPr>
      <w:rPr>
        <w:rFonts w:hint="eastAsia"/>
        <w:b w:val="0"/>
        <w:i w:val="0"/>
        <w:caps w:val="0"/>
        <w:smallCaps w:val="0"/>
        <w:strike w:val="0"/>
        <w:dstrike w:val="0"/>
        <w:vanish w:val="0"/>
        <w:spacing w:val="0"/>
        <w:position w:val="0"/>
        <w:sz w:val="44"/>
        <w:u w:val="none"/>
        <w:vertAlign w:val="baseline"/>
      </w:rPr>
    </w:lvl>
    <w:lvl w:ilvl="1" w:tentative="0">
      <w:start w:val="1"/>
      <w:numFmt w:val="decimal"/>
      <w:pStyle w:val="8"/>
      <w:isLgl/>
      <w:lvlText w:val="%1.%2"/>
      <w:lvlJc w:val="left"/>
      <w:pPr>
        <w:tabs>
          <w:tab w:val="left" w:pos="851"/>
        </w:tabs>
        <w:ind w:left="426" w:firstLine="0"/>
      </w:pPr>
      <w:rPr>
        <w:rFonts w:hint="eastAsia"/>
        <w:b w:val="0"/>
        <w:i w:val="0"/>
        <w:color w:val="000000"/>
      </w:rPr>
    </w:lvl>
    <w:lvl w:ilvl="2" w:tentative="0">
      <w:start w:val="1"/>
      <w:numFmt w:val="decimal"/>
      <w:pStyle w:val="9"/>
      <w:isLgl/>
      <w:lvlText w:val="%1.%2.%3"/>
      <w:lvlJc w:val="left"/>
      <w:pPr>
        <w:tabs>
          <w:tab w:val="left" w:pos="425"/>
        </w:tabs>
        <w:ind w:left="0" w:firstLine="0"/>
      </w:pPr>
      <w:rPr>
        <w:rFonts w:hint="eastAsia"/>
        <w:lang w:val="en-US"/>
      </w:rPr>
    </w:lvl>
    <w:lvl w:ilvl="3" w:tentative="0">
      <w:start w:val="1"/>
      <w:numFmt w:val="decimal"/>
      <w:pStyle w:val="10"/>
      <w:isLgl/>
      <w:lvlText w:val="%1.%2.%3.%4"/>
      <w:lvlJc w:val="left"/>
      <w:pPr>
        <w:tabs>
          <w:tab w:val="left" w:pos="425"/>
        </w:tabs>
        <w:ind w:left="0" w:firstLine="0"/>
      </w:pPr>
      <w:rPr>
        <w:rFonts w:hint="eastAsia"/>
        <w:lang w:val="en-US"/>
      </w:rPr>
    </w:lvl>
    <w:lvl w:ilvl="4" w:tentative="0">
      <w:start w:val="1"/>
      <w:numFmt w:val="decimal"/>
      <w:pStyle w:val="11"/>
      <w:isLgl/>
      <w:lvlText w:val="%1.%2.%3.%4.%5"/>
      <w:lvlJc w:val="left"/>
      <w:pPr>
        <w:tabs>
          <w:tab w:val="left" w:pos="425"/>
        </w:tabs>
        <w:ind w:left="0" w:firstLine="0"/>
      </w:pPr>
      <w:rPr>
        <w:rFonts w:hint="eastAsia"/>
        <w:b w:val="0"/>
      </w:rPr>
    </w:lvl>
    <w:lvl w:ilvl="5" w:tentative="0">
      <w:start w:val="1"/>
      <w:numFmt w:val="decimal"/>
      <w:pStyle w:val="12"/>
      <w:isLgl/>
      <w:lvlText w:val="%1.%2.%3.%4.%5.%6"/>
      <w:lvlJc w:val="left"/>
      <w:pPr>
        <w:tabs>
          <w:tab w:val="left" w:pos="425"/>
        </w:tabs>
        <w:ind w:left="0" w:firstLine="0"/>
      </w:pPr>
      <w:rPr>
        <w:rFonts w:hint="eastAsia"/>
      </w:rPr>
    </w:lvl>
    <w:lvl w:ilvl="6" w:tentative="0">
      <w:start w:val="1"/>
      <w:numFmt w:val="decimal"/>
      <w:isLgl/>
      <w:lvlText w:val="%1.%2.%3.%4.%5.%6.%7"/>
      <w:lvlJc w:val="left"/>
      <w:pPr>
        <w:tabs>
          <w:tab w:val="left" w:pos="425"/>
        </w:tabs>
        <w:ind w:left="0" w:firstLine="0"/>
      </w:pPr>
      <w:rPr>
        <w:rFonts w:hint="eastAsia"/>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abstractNum w:abstractNumId="7">
    <w:nsid w:val="1C5DFEB8"/>
    <w:multiLevelType w:val="multilevel"/>
    <w:tmpl w:val="1C5DFEB8"/>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8">
    <w:nsid w:val="40C6C0BE"/>
    <w:multiLevelType w:val="multilevel"/>
    <w:tmpl w:val="40C6C0BE"/>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9">
    <w:nsid w:val="5380634F"/>
    <w:multiLevelType w:val="multilevel"/>
    <w:tmpl w:val="5380634F"/>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10">
    <w:nsid w:val="5A25D20B"/>
    <w:multiLevelType w:val="singleLevel"/>
    <w:tmpl w:val="5A25D20B"/>
    <w:lvl w:ilvl="0" w:tentative="0">
      <w:start w:val="1"/>
      <w:numFmt w:val="decimal"/>
      <w:suff w:val="nothing"/>
      <w:lvlText w:val="（%1）"/>
      <w:lvlJc w:val="left"/>
    </w:lvl>
  </w:abstractNum>
  <w:num w:numId="1">
    <w:abstractNumId w:val="6"/>
  </w:num>
  <w:num w:numId="2">
    <w:abstractNumId w:val="0"/>
  </w:num>
  <w:num w:numId="3">
    <w:abstractNumId w:val="3"/>
  </w:num>
  <w:num w:numId="4">
    <w:abstractNumId w:val="10"/>
  </w:num>
  <w:num w:numId="5">
    <w:abstractNumId w:val="2"/>
  </w:num>
  <w:num w:numId="6">
    <w:abstractNumId w:val="8"/>
  </w:num>
  <w:num w:numId="7">
    <w:abstractNumId w:val="7"/>
  </w:num>
  <w:num w:numId="8">
    <w:abstractNumId w:val="5"/>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16C89"/>
    <w:rsid w:val="00184385"/>
    <w:rsid w:val="004374AE"/>
    <w:rsid w:val="00860B7E"/>
    <w:rsid w:val="00974CA8"/>
    <w:rsid w:val="0099745A"/>
    <w:rsid w:val="00A45AC5"/>
    <w:rsid w:val="00A91BAB"/>
    <w:rsid w:val="00BF5B69"/>
    <w:rsid w:val="00CC213B"/>
    <w:rsid w:val="00DD044A"/>
    <w:rsid w:val="00F54A2C"/>
    <w:rsid w:val="00F8126D"/>
    <w:rsid w:val="00FB2F49"/>
    <w:rsid w:val="043769E8"/>
    <w:rsid w:val="11281521"/>
    <w:rsid w:val="13C0492B"/>
    <w:rsid w:val="150E2D97"/>
    <w:rsid w:val="20834A92"/>
    <w:rsid w:val="20A6617E"/>
    <w:rsid w:val="23902475"/>
    <w:rsid w:val="23A2055B"/>
    <w:rsid w:val="23B017D0"/>
    <w:rsid w:val="2DB94CBF"/>
    <w:rsid w:val="32D004E7"/>
    <w:rsid w:val="33955886"/>
    <w:rsid w:val="355F7EFA"/>
    <w:rsid w:val="356A3546"/>
    <w:rsid w:val="37DF7C8D"/>
    <w:rsid w:val="3AEA295B"/>
    <w:rsid w:val="3E952BDE"/>
    <w:rsid w:val="458610A1"/>
    <w:rsid w:val="4A282B58"/>
    <w:rsid w:val="57601B83"/>
    <w:rsid w:val="5BE16C89"/>
    <w:rsid w:val="64A52025"/>
    <w:rsid w:val="74E219D2"/>
    <w:rsid w:val="767F572A"/>
    <w:rsid w:val="76EF40BB"/>
    <w:rsid w:val="78B35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7">
    <w:name w:val="heading 1"/>
    <w:basedOn w:val="1"/>
    <w:next w:val="1"/>
    <w:qFormat/>
    <w:uiPriority w:val="9"/>
    <w:pPr>
      <w:keepNext/>
      <w:keepLines/>
      <w:pageBreakBefore/>
      <w:numPr>
        <w:ilvl w:val="0"/>
        <w:numId w:val="1"/>
      </w:numPr>
      <w:tabs>
        <w:tab w:val="left" w:pos="560"/>
      </w:tabs>
      <w:spacing w:before="480" w:after="360"/>
      <w:jc w:val="center"/>
      <w:outlineLvl w:val="0"/>
    </w:pPr>
    <w:rPr>
      <w:rFonts w:eastAsia="黑体"/>
      <w:b/>
      <w:kern w:val="44"/>
      <w:sz w:val="44"/>
    </w:rPr>
  </w:style>
  <w:style w:type="paragraph" w:styleId="8">
    <w:name w:val="heading 2"/>
    <w:basedOn w:val="1"/>
    <w:next w:val="1"/>
    <w:qFormat/>
    <w:uiPriority w:val="9"/>
    <w:pPr>
      <w:keepNext/>
      <w:keepLines/>
      <w:numPr>
        <w:ilvl w:val="1"/>
        <w:numId w:val="1"/>
      </w:numPr>
      <w:tabs>
        <w:tab w:val="left" w:pos="0"/>
        <w:tab w:val="left" w:pos="560"/>
      </w:tabs>
      <w:spacing w:before="480" w:after="240"/>
      <w:ind w:left="0"/>
      <w:jc w:val="left"/>
      <w:outlineLvl w:val="1"/>
    </w:pPr>
    <w:rPr>
      <w:rFonts w:ascii="Cambria" w:hAnsi="Cambria" w:eastAsia="黑体"/>
      <w:sz w:val="36"/>
    </w:rPr>
  </w:style>
  <w:style w:type="paragraph" w:styleId="9">
    <w:name w:val="heading 3"/>
    <w:basedOn w:val="1"/>
    <w:next w:val="1"/>
    <w:qFormat/>
    <w:uiPriority w:val="9"/>
    <w:pPr>
      <w:keepNext/>
      <w:keepLines/>
      <w:numPr>
        <w:ilvl w:val="2"/>
        <w:numId w:val="1"/>
      </w:numPr>
      <w:tabs>
        <w:tab w:val="clear" w:pos="425"/>
      </w:tabs>
      <w:spacing w:before="240" w:after="120"/>
      <w:jc w:val="left"/>
      <w:outlineLvl w:val="2"/>
    </w:pPr>
    <w:rPr>
      <w:rFonts w:eastAsia="黑体"/>
      <w:sz w:val="32"/>
    </w:rPr>
  </w:style>
  <w:style w:type="paragraph" w:styleId="10">
    <w:name w:val="heading 4"/>
    <w:basedOn w:val="1"/>
    <w:next w:val="1"/>
    <w:qFormat/>
    <w:uiPriority w:val="9"/>
    <w:pPr>
      <w:keepNext/>
      <w:keepLines/>
      <w:numPr>
        <w:ilvl w:val="3"/>
        <w:numId w:val="1"/>
      </w:numPr>
      <w:tabs>
        <w:tab w:val="left" w:pos="560"/>
      </w:tabs>
      <w:spacing w:before="240" w:after="120"/>
      <w:outlineLvl w:val="3"/>
    </w:pPr>
    <w:rPr>
      <w:rFonts w:ascii="Cambria" w:hAnsi="Cambria"/>
      <w:b/>
      <w:kern w:val="0"/>
      <w:sz w:val="28"/>
    </w:rPr>
  </w:style>
  <w:style w:type="paragraph" w:styleId="11">
    <w:name w:val="heading 5"/>
    <w:basedOn w:val="1"/>
    <w:next w:val="1"/>
    <w:qFormat/>
    <w:uiPriority w:val="9"/>
    <w:pPr>
      <w:keepNext/>
      <w:keepLines/>
      <w:numPr>
        <w:ilvl w:val="4"/>
        <w:numId w:val="1"/>
      </w:numPr>
      <w:tabs>
        <w:tab w:val="left" w:pos="560"/>
        <w:tab w:val="clear" w:pos="425"/>
      </w:tabs>
      <w:spacing w:before="240" w:after="120"/>
      <w:jc w:val="left"/>
      <w:outlineLvl w:val="4"/>
    </w:pPr>
    <w:rPr>
      <w:rFonts w:ascii="Times New Roman" w:hAnsi="Times New Roman"/>
      <w:kern w:val="0"/>
    </w:rPr>
  </w:style>
  <w:style w:type="paragraph" w:styleId="12">
    <w:name w:val="heading 6"/>
    <w:basedOn w:val="1"/>
    <w:next w:val="1"/>
    <w:qFormat/>
    <w:uiPriority w:val="9"/>
    <w:pPr>
      <w:keepNext/>
      <w:keepLines/>
      <w:numPr>
        <w:ilvl w:val="5"/>
        <w:numId w:val="1"/>
      </w:numPr>
      <w:spacing w:before="240" w:after="64" w:line="317" w:lineRule="auto"/>
      <w:outlineLvl w:val="5"/>
    </w:pPr>
    <w:rPr>
      <w:rFonts w:ascii="Cambria" w:hAnsi="Cambria"/>
      <w:b/>
      <w:kern w:val="0"/>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qFormat/>
    <w:uiPriority w:val="0"/>
    <w:pPr>
      <w:spacing w:after="120"/>
    </w:pPr>
    <w:rPr>
      <w:rFonts w:ascii="Times New Roman" w:hAnsi="Times New Roman" w:eastAsia="仿宋"/>
      <w:kern w:val="0"/>
      <w:sz w:val="28"/>
    </w:rPr>
  </w:style>
  <w:style w:type="paragraph" w:styleId="4">
    <w:name w:val="Body Text 2"/>
    <w:basedOn w:val="1"/>
    <w:qFormat/>
    <w:uiPriority w:val="0"/>
    <w:pPr>
      <w:spacing w:beforeLines="50" w:after="120" w:line="480" w:lineRule="auto"/>
      <w:ind w:firstLine="520"/>
    </w:pPr>
  </w:style>
  <w:style w:type="paragraph" w:styleId="5">
    <w:name w:val="Body Text First Indent 2"/>
    <w:basedOn w:val="6"/>
    <w:next w:val="1"/>
    <w:unhideWhenUsed/>
    <w:qFormat/>
    <w:uiPriority w:val="99"/>
    <w:pPr>
      <w:spacing w:line="360" w:lineRule="auto"/>
      <w:ind w:firstLine="420" w:firstLineChars="200"/>
    </w:pPr>
    <w:rPr>
      <w:rFonts w:ascii="Calibri" w:hAnsi="Calibri"/>
      <w:kern w:val="2"/>
      <w:sz w:val="24"/>
    </w:rPr>
  </w:style>
  <w:style w:type="paragraph" w:styleId="6">
    <w:name w:val="Body Text Indent"/>
    <w:basedOn w:val="1"/>
    <w:next w:val="5"/>
    <w:qFormat/>
    <w:uiPriority w:val="0"/>
    <w:pPr>
      <w:spacing w:after="120"/>
      <w:ind w:left="420" w:leftChars="200"/>
    </w:pPr>
    <w:rPr>
      <w:rFonts w:ascii="Times New Roman" w:hAnsi="Times New Roman"/>
      <w:kern w:val="0"/>
      <w:sz w:val="20"/>
    </w:rPr>
  </w:style>
  <w:style w:type="paragraph" w:styleId="13">
    <w:name w:val="caption"/>
    <w:basedOn w:val="1"/>
    <w:next w:val="1"/>
    <w:qFormat/>
    <w:uiPriority w:val="0"/>
    <w:pPr>
      <w:jc w:val="center"/>
    </w:pPr>
    <w:rPr>
      <w:rFonts w:ascii="Cambria" w:hAnsi="Cambria" w:eastAsia="黑体"/>
      <w:kern w:val="0"/>
    </w:rPr>
  </w:style>
  <w:style w:type="paragraph" w:styleId="14">
    <w:name w:val="annotation text"/>
    <w:basedOn w:val="1"/>
    <w:qFormat/>
    <w:uiPriority w:val="0"/>
    <w:pPr>
      <w:jc w:val="left"/>
    </w:pPr>
  </w:style>
  <w:style w:type="paragraph" w:styleId="15">
    <w:name w:val="footer"/>
    <w:basedOn w:val="1"/>
    <w:qFormat/>
    <w:uiPriority w:val="99"/>
    <w:pPr>
      <w:tabs>
        <w:tab w:val="center" w:pos="4153"/>
        <w:tab w:val="right" w:pos="8306"/>
      </w:tabs>
      <w:snapToGrid w:val="0"/>
      <w:jc w:val="left"/>
    </w:pPr>
    <w:rPr>
      <w:rFonts w:ascii="Times New Roman" w:hAnsi="Times New Roman" w:eastAsia="仿宋"/>
      <w:kern w:val="0"/>
      <w:sz w:val="18"/>
    </w:rPr>
  </w:style>
  <w:style w:type="paragraph" w:styleId="16">
    <w:name w:val="header"/>
    <w:basedOn w:val="1"/>
    <w:link w:val="28"/>
    <w:qFormat/>
    <w:uiPriority w:val="0"/>
    <w:pPr>
      <w:tabs>
        <w:tab w:val="center" w:pos="4153"/>
        <w:tab w:val="right" w:pos="8306"/>
      </w:tabs>
      <w:snapToGrid w:val="0"/>
      <w:jc w:val="center"/>
    </w:pPr>
    <w:rPr>
      <w:sz w:val="18"/>
      <w:szCs w:val="18"/>
    </w:rPr>
  </w:style>
  <w:style w:type="paragraph" w:customStyle="1" w:styleId="19">
    <w:name w:val="my正文"/>
    <w:basedOn w:val="20"/>
    <w:qFormat/>
    <w:uiPriority w:val="0"/>
    <w:pPr>
      <w:ind w:firstLine="200" w:firstLineChars="200"/>
    </w:pPr>
    <w:rPr>
      <w:kern w:val="0"/>
    </w:rPr>
  </w:style>
  <w:style w:type="paragraph" w:customStyle="1" w:styleId="20">
    <w:name w:val="正文(中)"/>
    <w:basedOn w:val="1"/>
    <w:qFormat/>
    <w:uiPriority w:val="0"/>
    <w:pPr>
      <w:ind w:firstLine="480"/>
    </w:pPr>
    <w:rPr>
      <w:rFonts w:ascii="Times New Roman" w:hAnsi="Times New Roman" w:cs="宋体"/>
    </w:rPr>
  </w:style>
  <w:style w:type="paragraph" w:styleId="21">
    <w:name w:val="No Spacing"/>
    <w:qFormat/>
    <w:uiPriority w:val="1"/>
    <w:pPr>
      <w:widowControl w:val="0"/>
      <w:jc w:val="both"/>
    </w:pPr>
    <w:rPr>
      <w:rFonts w:ascii="Times New Roman" w:hAnsi="Times New Roman" w:eastAsia="宋体" w:cs="Times New Roman"/>
      <w:sz w:val="24"/>
      <w:lang w:val="en-US" w:eastAsia="zh-CN" w:bidi="ar-SA"/>
    </w:rPr>
  </w:style>
  <w:style w:type="paragraph" w:customStyle="1" w:styleId="22">
    <w:name w:val="表格内容五号"/>
    <w:basedOn w:val="1"/>
    <w:qFormat/>
    <w:uiPriority w:val="0"/>
    <w:pPr>
      <w:jc w:val="center"/>
    </w:pPr>
    <w:rPr>
      <w:rFonts w:ascii="Times New Roman" w:hAnsi="Times New Roman"/>
      <w:kern w:val="0"/>
      <w:szCs w:val="21"/>
    </w:rPr>
  </w:style>
  <w:style w:type="paragraph" w:customStyle="1" w:styleId="23">
    <w:name w:val="样式  + 首行缩进:  2 字符"/>
    <w:basedOn w:val="1"/>
    <w:next w:val="1"/>
    <w:qFormat/>
    <w:uiPriority w:val="0"/>
    <w:pPr>
      <w:adjustRightInd w:val="0"/>
      <w:ind w:firstLine="524" w:firstLineChars="200"/>
    </w:pPr>
    <w:rPr>
      <w:snapToGrid w:val="0"/>
      <w:kern w:val="0"/>
    </w:rPr>
  </w:style>
  <w:style w:type="paragraph" w:customStyle="1" w:styleId="24">
    <w:name w:val="表格内文字"/>
    <w:qFormat/>
    <w:uiPriority w:val="0"/>
    <w:pPr>
      <w:widowControl w:val="0"/>
      <w:snapToGrid w:val="0"/>
      <w:ind w:left="60" w:leftChars="25" w:right="60" w:rightChars="25"/>
      <w:jc w:val="center"/>
    </w:pPr>
    <w:rPr>
      <w:rFonts w:hint="eastAsia" w:ascii="宋体" w:hAnsi="宋体" w:eastAsia="宋体" w:cs="Times New Roman"/>
      <w:snapToGrid w:val="0"/>
      <w:sz w:val="21"/>
      <w:szCs w:val="22"/>
      <w:lang w:val="en-US" w:eastAsia="zh-CN" w:bidi="ar-SA"/>
    </w:rPr>
  </w:style>
  <w:style w:type="paragraph" w:customStyle="1" w:styleId="25">
    <w:name w:val="样式 首行缩进:  0 字符"/>
    <w:basedOn w:val="1"/>
    <w:qFormat/>
    <w:uiPriority w:val="0"/>
    <w:rPr>
      <w:rFonts w:cs="宋体"/>
    </w:rPr>
  </w:style>
  <w:style w:type="paragraph" w:customStyle="1" w:styleId="26">
    <w:name w:val="null3"/>
    <w:hidden/>
    <w:qFormat/>
    <w:uiPriority w:val="0"/>
    <w:rPr>
      <w:rFonts w:hint="eastAsia" w:asciiTheme="minorHAnsi" w:hAnsiTheme="minorHAnsi" w:eastAsiaTheme="minorEastAsia" w:cstheme="minorBidi"/>
      <w:lang w:val="en-US" w:eastAsia="zh-Hans" w:bidi="ar-SA"/>
    </w:rPr>
  </w:style>
  <w:style w:type="character" w:customStyle="1" w:styleId="27">
    <w:name w:val="font241"/>
    <w:basedOn w:val="18"/>
    <w:qFormat/>
    <w:uiPriority w:val="0"/>
    <w:rPr>
      <w:rFonts w:ascii="方正书宋_GBK" w:hAnsi="方正书宋_GBK" w:eastAsia="方正书宋_GBK" w:cs="方正书宋_GBK"/>
      <w:color w:val="000000"/>
      <w:sz w:val="20"/>
      <w:szCs w:val="20"/>
      <w:u w:val="none"/>
    </w:rPr>
  </w:style>
  <w:style w:type="character" w:customStyle="1" w:styleId="28">
    <w:name w:val="页眉 字符"/>
    <w:basedOn w:val="18"/>
    <w:link w:val="1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101</Pages>
  <Words>4625</Words>
  <Characters>4807</Characters>
  <Lines>115</Lines>
  <Paragraphs>152</Paragraphs>
  <TotalTime>174</TotalTime>
  <ScaleCrop>false</ScaleCrop>
  <LinksUpToDate>false</LinksUpToDate>
  <CharactersWithSpaces>4809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2025-05-08T08:34:00Z</dcterms:created>
  <dc:creator>简若</dc:creator>
  <cp:lastModifiedBy>简若</cp:lastModifiedBy>
  <dcterms:modified xsi:type="dcterms:W3CDTF">2025-05-14T03:24:50Z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E5E31C3E8D414CB086738F3A43EDC2EE_11</vt:lpwstr>
  </property>
  <property fmtid="{D5CDD505-2E9C-101B-9397-08002B2CF9AE}" pid="4" name="KSOTemplateDocerSaveRecord">
    <vt:lpwstr>eyJoZGlkIjoiYzlmZmU1YjU2YmJlOWYzMDBiNjYxN2RjMzI4MzQ5ZDUiLCJ1c2VySWQiOiI1MjUzNjE1MzIifQ==</vt:lpwstr>
  </property>
</Properties>
</file>