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443EA">
      <w:pPr>
        <w:rPr>
          <w:rFonts w:hint="eastAsia" w:ascii="仿宋_GB2312" w:hAnsi="仿宋_GB2312" w:eastAsia="仿宋_GB2312" w:cs="仿宋_GB2312"/>
          <w:color w:val="auto"/>
          <w:sz w:val="28"/>
          <w:highlight w:val="none"/>
          <w:lang w:eastAsia="zh-CN"/>
        </w:rPr>
      </w:pPr>
      <w:r>
        <w:rPr>
          <w:rFonts w:hint="eastAsia" w:ascii="仿宋_GB2312" w:hAnsi="仿宋_GB2312" w:eastAsia="仿宋_GB2312" w:cs="仿宋_GB2312"/>
          <w:color w:val="auto"/>
          <w:sz w:val="28"/>
          <w:highlight w:val="none"/>
        </w:rPr>
        <w:t>合同编号：</w:t>
      </w:r>
    </w:p>
    <w:p w14:paraId="761E1A60">
      <w:pPr>
        <w:jc w:val="center"/>
        <w:rPr>
          <w:rFonts w:hint="eastAsia" w:ascii="仿宋_GB2312" w:hAnsi="仿宋_GB2312" w:eastAsia="仿宋_GB2312" w:cs="仿宋_GB2312"/>
          <w:color w:val="auto"/>
          <w:sz w:val="52"/>
          <w:highlight w:val="none"/>
        </w:rPr>
      </w:pPr>
    </w:p>
    <w:p w14:paraId="402947A0">
      <w:pPr>
        <w:jc w:val="center"/>
        <w:rPr>
          <w:rFonts w:hint="eastAsia" w:ascii="仿宋_GB2312" w:hAnsi="仿宋_GB2312" w:eastAsia="仿宋_GB2312" w:cs="仿宋_GB2312"/>
          <w:color w:val="auto"/>
          <w:sz w:val="52"/>
          <w:highlight w:val="none"/>
        </w:rPr>
      </w:pPr>
    </w:p>
    <w:p w14:paraId="420C3F72">
      <w:pPr>
        <w:jc w:val="center"/>
        <w:rPr>
          <w:rFonts w:hint="eastAsia" w:ascii="仿宋_GB2312" w:hAnsi="仿宋_GB2312" w:eastAsia="仿宋_GB2312" w:cs="仿宋_GB2312"/>
          <w:b/>
          <w:bCs/>
          <w:color w:val="auto"/>
          <w:sz w:val="48"/>
          <w:highlight w:val="none"/>
        </w:rPr>
      </w:pPr>
      <w:r>
        <w:rPr>
          <w:rFonts w:hint="eastAsia" w:ascii="仿宋_GB2312" w:hAnsi="仿宋_GB2312" w:eastAsia="仿宋_GB2312" w:cs="仿宋_GB2312"/>
          <w:b/>
          <w:bCs/>
          <w:color w:val="auto"/>
          <w:sz w:val="48"/>
          <w:highlight w:val="none"/>
        </w:rPr>
        <w:t>技术咨询服务合同</w:t>
      </w:r>
    </w:p>
    <w:p w14:paraId="30DF9652">
      <w:pPr>
        <w:pStyle w:val="4"/>
        <w:ind w:left="0" w:leftChars="0" w:firstLine="0" w:firstLineChars="0"/>
        <w:jc w:val="center"/>
        <w:rPr>
          <w:rFonts w:hint="eastAsia" w:eastAsia="仿宋_GB2312"/>
          <w:color w:val="auto"/>
          <w:highlight w:val="none"/>
          <w:lang w:eastAsia="zh-CN"/>
        </w:rPr>
      </w:pPr>
      <w:r>
        <w:rPr>
          <w:rFonts w:hint="eastAsia" w:ascii="仿宋_GB2312" w:hAnsi="仿宋_GB2312" w:eastAsia="仿宋_GB2312" w:cs="仿宋_GB2312"/>
          <w:b/>
          <w:bCs/>
          <w:color w:val="auto"/>
          <w:sz w:val="48"/>
          <w:highlight w:val="none"/>
          <w:lang w:eastAsia="zh-CN"/>
        </w:rPr>
        <w:t>（</w:t>
      </w:r>
      <w:r>
        <w:rPr>
          <w:rFonts w:hint="eastAsia" w:ascii="仿宋_GB2312" w:hAnsi="仿宋_GB2312" w:eastAsia="仿宋_GB2312" w:cs="仿宋_GB2312"/>
          <w:b/>
          <w:bCs/>
          <w:color w:val="auto"/>
          <w:sz w:val="48"/>
          <w:highlight w:val="none"/>
          <w:lang w:val="en-US" w:eastAsia="zh-CN"/>
        </w:rPr>
        <w:t>社会投资产业项目谋划类</w:t>
      </w:r>
      <w:r>
        <w:rPr>
          <w:rFonts w:hint="eastAsia" w:ascii="仿宋_GB2312" w:hAnsi="仿宋_GB2312" w:eastAsia="仿宋_GB2312" w:cs="仿宋_GB2312"/>
          <w:b/>
          <w:bCs/>
          <w:color w:val="auto"/>
          <w:sz w:val="48"/>
          <w:highlight w:val="none"/>
          <w:lang w:eastAsia="zh-CN"/>
        </w:rPr>
        <w:t>）</w:t>
      </w:r>
    </w:p>
    <w:p w14:paraId="68C49CB5">
      <w:pPr>
        <w:pStyle w:val="4"/>
        <w:rPr>
          <w:rFonts w:hint="eastAsia"/>
          <w:color w:val="auto"/>
          <w:highlight w:val="none"/>
        </w:rPr>
      </w:pPr>
    </w:p>
    <w:p w14:paraId="65460C06">
      <w:pPr>
        <w:rPr>
          <w:rFonts w:hint="eastAsia" w:ascii="仿宋_GB2312" w:hAnsi="仿宋_GB2312" w:eastAsia="仿宋_GB2312" w:cs="仿宋_GB2312"/>
          <w:color w:val="auto"/>
          <w:sz w:val="36"/>
          <w:highlight w:val="none"/>
        </w:rPr>
      </w:pPr>
    </w:p>
    <w:p w14:paraId="3C187108">
      <w:pPr>
        <w:jc w:val="center"/>
        <w:rPr>
          <w:rFonts w:hint="eastAsia" w:ascii="仿宋_GB2312" w:hAnsi="仿宋_GB2312" w:eastAsia="仿宋_GB2312" w:cs="仿宋_GB2312"/>
          <w:color w:val="auto"/>
          <w:sz w:val="36"/>
          <w:highlight w:val="none"/>
          <w:lang w:eastAsia="zh-CN"/>
        </w:rPr>
      </w:pPr>
    </w:p>
    <w:p w14:paraId="4868808E">
      <w:pPr>
        <w:spacing w:line="312" w:lineRule="auto"/>
        <w:ind w:left="1606" w:hanging="1606" w:hangingChars="500"/>
        <w:rPr>
          <w:rFonts w:hint="default" w:ascii="仿宋_GB2312" w:hAnsi="仿宋_GB2312" w:eastAsia="仿宋_GB2312" w:cs="仿宋_GB2312"/>
          <w:b/>
          <w:bCs/>
          <w:color w:val="auto"/>
          <w:sz w:val="32"/>
          <w:szCs w:val="32"/>
          <w:highlight w:val="none"/>
          <w:u w:val="single"/>
          <w:lang w:val="en-US" w:eastAsia="zh-CN"/>
        </w:rPr>
      </w:pPr>
      <w:r>
        <w:rPr>
          <w:rFonts w:hint="eastAsia" w:ascii="仿宋_GB2312" w:hAnsi="仿宋_GB2312" w:eastAsia="仿宋_GB2312" w:cs="仿宋_GB2312"/>
          <w:b/>
          <w:bCs/>
          <w:color w:val="auto"/>
          <w:sz w:val="32"/>
          <w:szCs w:val="32"/>
          <w:highlight w:val="none"/>
          <w:u w:val="none"/>
          <w:lang w:val="en-US" w:eastAsia="zh-CN"/>
        </w:rPr>
        <w:t>项目名称：</w:t>
      </w:r>
      <w:r>
        <w:rPr>
          <w:rFonts w:hint="eastAsia" w:ascii="仿宋_GB2312" w:hAnsi="仿宋_GB2312" w:eastAsia="仿宋_GB2312" w:cs="仿宋_GB2312"/>
          <w:b/>
          <w:bCs/>
          <w:color w:val="auto"/>
          <w:sz w:val="32"/>
          <w:szCs w:val="32"/>
          <w:highlight w:val="none"/>
          <w:u w:val="single"/>
          <w:lang w:val="en-US" w:eastAsia="zh-CN"/>
        </w:rPr>
        <w:t xml:space="preserve">                                   </w:t>
      </w:r>
    </w:p>
    <w:p w14:paraId="69E08821">
      <w:pPr>
        <w:spacing w:line="312" w:lineRule="auto"/>
        <w:ind w:left="2560" w:hanging="2560" w:hangingChars="800"/>
        <w:rPr>
          <w:rFonts w:hint="eastAsia" w:ascii="仿宋_GB2312" w:hAnsi="仿宋_GB2312" w:eastAsia="仿宋_GB2312" w:cs="仿宋_GB2312"/>
          <w:color w:val="auto"/>
          <w:sz w:val="32"/>
          <w:szCs w:val="32"/>
          <w:highlight w:val="none"/>
          <w:u w:val="single"/>
        </w:rPr>
      </w:pPr>
    </w:p>
    <w:p w14:paraId="01E29292">
      <w:pPr>
        <w:spacing w:line="312" w:lineRule="auto"/>
        <w:rPr>
          <w:rFonts w:hint="default" w:ascii="仿宋_GB2312" w:hAnsi="仿宋_GB2312" w:eastAsia="仿宋_GB2312" w:cs="仿宋_GB2312"/>
          <w:b/>
          <w:bCs/>
          <w:color w:val="auto"/>
          <w:sz w:val="32"/>
          <w:szCs w:val="32"/>
          <w:highlight w:val="none"/>
          <w:u w:val="single"/>
          <w:lang w:val="en-US" w:eastAsia="zh-CN"/>
        </w:rPr>
      </w:pPr>
      <w:r>
        <w:rPr>
          <w:rFonts w:hint="eastAsia" w:ascii="仿宋_GB2312" w:hAnsi="仿宋_GB2312" w:eastAsia="仿宋_GB2312" w:cs="仿宋_GB2312"/>
          <w:b/>
          <w:bCs/>
          <w:color w:val="auto"/>
          <w:sz w:val="32"/>
          <w:szCs w:val="32"/>
          <w:highlight w:val="none"/>
          <w:lang w:val="en-US" w:eastAsia="zh-CN"/>
        </w:rPr>
        <w:t>采购人</w:t>
      </w:r>
      <w:r>
        <w:rPr>
          <w:rFonts w:hint="eastAsia" w:ascii="仿宋_GB2312" w:hAnsi="仿宋_GB2312" w:eastAsia="仿宋_GB2312" w:cs="仿宋_GB2312"/>
          <w:b/>
          <w:bCs/>
          <w:color w:val="auto"/>
          <w:sz w:val="32"/>
          <w:szCs w:val="32"/>
          <w:highlight w:val="none"/>
        </w:rPr>
        <w:t>（甲方）：</w:t>
      </w:r>
      <w:r>
        <w:rPr>
          <w:rFonts w:hint="eastAsia" w:ascii="仿宋_GB2312" w:hAnsi="仿宋_GB2312" w:eastAsia="仿宋_GB2312" w:cs="仿宋_GB2312"/>
          <w:b/>
          <w:bCs/>
          <w:color w:val="auto"/>
          <w:sz w:val="32"/>
          <w:szCs w:val="32"/>
          <w:highlight w:val="none"/>
          <w:u w:val="single"/>
          <w:lang w:val="en-US" w:eastAsia="zh-CN"/>
        </w:rPr>
        <w:t xml:space="preserve">海南省发展和改革委员会       </w:t>
      </w:r>
    </w:p>
    <w:p w14:paraId="0E03F6E6">
      <w:pPr>
        <w:spacing w:line="312" w:lineRule="auto"/>
        <w:rPr>
          <w:rFonts w:hint="eastAsia" w:ascii="仿宋_GB2312" w:hAnsi="仿宋_GB2312" w:eastAsia="仿宋_GB2312" w:cs="仿宋_GB2312"/>
          <w:b/>
          <w:bCs/>
          <w:color w:val="auto"/>
          <w:sz w:val="32"/>
          <w:szCs w:val="32"/>
          <w:highlight w:val="none"/>
          <w:u w:val="single"/>
        </w:rPr>
      </w:pPr>
    </w:p>
    <w:p w14:paraId="1614FFD8">
      <w:pPr>
        <w:spacing w:line="312" w:lineRule="auto"/>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中标单位</w:t>
      </w:r>
      <w:r>
        <w:rPr>
          <w:rFonts w:hint="eastAsia" w:ascii="仿宋_GB2312" w:hAnsi="仿宋_GB2312" w:eastAsia="仿宋_GB2312" w:cs="仿宋_GB2312"/>
          <w:b/>
          <w:bCs/>
          <w:color w:val="auto"/>
          <w:sz w:val="32"/>
          <w:szCs w:val="32"/>
          <w:highlight w:val="none"/>
        </w:rPr>
        <w:t>（乙方）：</w:t>
      </w:r>
      <w:r>
        <w:rPr>
          <w:rFonts w:hint="eastAsia" w:ascii="仿宋_GB2312" w:hAnsi="仿宋_GB2312" w:eastAsia="仿宋_GB2312" w:cs="仿宋_GB2312"/>
          <w:b/>
          <w:bCs/>
          <w:color w:val="auto"/>
          <w:sz w:val="32"/>
          <w:szCs w:val="32"/>
          <w:highlight w:val="none"/>
          <w:u w:val="single"/>
          <w:lang w:val="en-US" w:eastAsia="zh-CN"/>
        </w:rPr>
        <w:t xml:space="preserve">                           </w:t>
      </w:r>
    </w:p>
    <w:p w14:paraId="01E6DC0D">
      <w:pPr>
        <w:spacing w:line="312" w:lineRule="auto"/>
        <w:rPr>
          <w:rFonts w:hint="eastAsia" w:ascii="仿宋_GB2312" w:hAnsi="仿宋_GB2312" w:eastAsia="仿宋_GB2312" w:cs="仿宋_GB2312"/>
          <w:b/>
          <w:bCs/>
          <w:color w:val="auto"/>
          <w:sz w:val="32"/>
          <w:szCs w:val="32"/>
          <w:highlight w:val="none"/>
          <w:u w:val="single"/>
        </w:rPr>
      </w:pPr>
    </w:p>
    <w:p w14:paraId="45DF105A">
      <w:pPr>
        <w:spacing w:line="312" w:lineRule="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签订时间</w:t>
      </w:r>
      <w:r>
        <w:rPr>
          <w:rFonts w:hint="eastAsia"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b/>
          <w:bCs/>
          <w:color w:val="auto"/>
          <w:sz w:val="32"/>
          <w:szCs w:val="32"/>
          <w:highlight w:val="none"/>
        </w:rPr>
        <w:t>年</w:t>
      </w:r>
      <w:r>
        <w:rPr>
          <w:rFonts w:hint="eastAsia" w:ascii="仿宋_GB2312" w:hAnsi="仿宋_GB2312" w:eastAsia="仿宋_GB2312" w:cs="仿宋_GB2312"/>
          <w:b/>
          <w:bCs/>
          <w:color w:val="auto"/>
          <w:sz w:val="32"/>
          <w:szCs w:val="32"/>
          <w:highlight w:val="none"/>
          <w:u w:val="single"/>
          <w:lang w:val="en-US" w:eastAsia="zh-CN"/>
        </w:rPr>
        <w:t xml:space="preserve">   </w:t>
      </w:r>
      <w:r>
        <w:rPr>
          <w:rFonts w:hint="eastAsia" w:ascii="仿宋_GB2312" w:hAnsi="仿宋_GB2312" w:eastAsia="仿宋_GB2312" w:cs="仿宋_GB2312"/>
          <w:b/>
          <w:bCs/>
          <w:color w:val="auto"/>
          <w:sz w:val="32"/>
          <w:szCs w:val="32"/>
          <w:highlight w:val="none"/>
        </w:rPr>
        <w:t>月</w:t>
      </w:r>
      <w:r>
        <w:rPr>
          <w:rFonts w:hint="eastAsia" w:ascii="仿宋_GB2312" w:hAnsi="仿宋_GB2312" w:eastAsia="仿宋_GB2312" w:cs="仿宋_GB2312"/>
          <w:b/>
          <w:bCs/>
          <w:color w:val="auto"/>
          <w:sz w:val="32"/>
          <w:szCs w:val="32"/>
          <w:highlight w:val="none"/>
          <w:u w:val="single"/>
          <w:lang w:val="en-US" w:eastAsia="zh-CN"/>
        </w:rPr>
        <w:t xml:space="preserve">   </w:t>
      </w:r>
      <w:r>
        <w:rPr>
          <w:rFonts w:hint="eastAsia" w:ascii="仿宋_GB2312" w:hAnsi="仿宋_GB2312" w:eastAsia="仿宋_GB2312" w:cs="仿宋_GB2312"/>
          <w:b/>
          <w:bCs/>
          <w:color w:val="auto"/>
          <w:sz w:val="32"/>
          <w:szCs w:val="32"/>
          <w:highlight w:val="none"/>
        </w:rPr>
        <w:t>日</w:t>
      </w:r>
    </w:p>
    <w:p w14:paraId="33FB45F8">
      <w:pPr>
        <w:rPr>
          <w:rFonts w:hint="eastAsia" w:ascii="仿宋_GB2312" w:hAnsi="仿宋_GB2312" w:eastAsia="仿宋_GB2312" w:cs="仿宋_GB2312"/>
          <w:color w:val="auto"/>
          <w:sz w:val="36"/>
          <w:highlight w:val="none"/>
        </w:rPr>
      </w:pPr>
    </w:p>
    <w:p w14:paraId="471C3B42">
      <w:pPr>
        <w:rPr>
          <w:rFonts w:hint="default" w:ascii="Times New Roman" w:hAnsi="Times New Roman" w:eastAsia="宋体" w:cs="Times New Roman"/>
          <w:color w:val="auto"/>
          <w:sz w:val="36"/>
          <w:highlight w:val="none"/>
        </w:rPr>
      </w:pPr>
    </w:p>
    <w:p w14:paraId="72FA13EF">
      <w:pPr>
        <w:tabs>
          <w:tab w:val="left" w:pos="4980"/>
        </w:tabs>
        <w:rPr>
          <w:rFonts w:hint="default" w:ascii="Times New Roman" w:hAnsi="Times New Roman" w:eastAsia="宋体" w:cs="Times New Roman"/>
          <w:color w:val="auto"/>
          <w:sz w:val="30"/>
          <w:highlight w:val="none"/>
        </w:rPr>
      </w:pPr>
    </w:p>
    <w:p w14:paraId="1BDF31B3">
      <w:pPr>
        <w:jc w:val="center"/>
        <w:rPr>
          <w:rFonts w:hint="default" w:ascii="Times New Roman" w:hAnsi="Times New Roman" w:eastAsia="宋体" w:cs="Times New Roman"/>
          <w:color w:val="auto"/>
          <w:sz w:val="36"/>
          <w:highlight w:val="none"/>
        </w:rPr>
      </w:pPr>
    </w:p>
    <w:p w14:paraId="29EA37A6">
      <w:pPr>
        <w:jc w:val="center"/>
        <w:rPr>
          <w:rFonts w:hint="default" w:ascii="Times New Roman" w:hAnsi="Times New Roman" w:eastAsia="宋体" w:cs="Times New Roman"/>
          <w:color w:val="auto"/>
          <w:sz w:val="36"/>
          <w:highlight w:val="none"/>
        </w:rPr>
      </w:pPr>
    </w:p>
    <w:p w14:paraId="48DC04FA">
      <w:pPr>
        <w:jc w:val="center"/>
        <w:rPr>
          <w:rFonts w:hint="default" w:ascii="Times New Roman" w:hAnsi="Times New Roman" w:eastAsia="宋体" w:cs="Times New Roman"/>
          <w:color w:val="auto"/>
          <w:sz w:val="36"/>
          <w:highlight w:val="none"/>
        </w:rPr>
      </w:pPr>
    </w:p>
    <w:p w14:paraId="6D16DB67">
      <w:pPr>
        <w:widowControl/>
        <w:jc w:val="left"/>
        <w:rPr>
          <w:rFonts w:hint="default" w:ascii="Times New Roman" w:hAnsi="Times New Roman" w:eastAsia="宋体" w:cs="Times New Roman"/>
          <w:color w:val="auto"/>
          <w:sz w:val="36"/>
          <w:highlight w:val="none"/>
        </w:rPr>
      </w:pPr>
      <w:r>
        <w:rPr>
          <w:rFonts w:hint="default" w:ascii="Times New Roman" w:hAnsi="Times New Roman" w:eastAsia="宋体" w:cs="Times New Roman"/>
          <w:color w:val="auto"/>
          <w:sz w:val="36"/>
          <w:highlight w:val="none"/>
        </w:rPr>
        <w:br w:type="page"/>
      </w:r>
    </w:p>
    <w:p w14:paraId="2AD755A1">
      <w:pPr>
        <w:spacing w:line="360" w:lineRule="auto"/>
        <w:jc w:val="left"/>
        <w:rPr>
          <w:rFonts w:hint="eastAsia" w:ascii="仿宋_GB2312" w:hAnsi="仿宋_GB2312" w:eastAsia="仿宋_GB2312" w:cs="仿宋_GB2312"/>
          <w:color w:val="auto"/>
          <w:sz w:val="24"/>
          <w:highlight w:val="none"/>
          <w:u w:val="single"/>
        </w:rPr>
      </w:pPr>
      <w:r>
        <w:rPr>
          <w:rFonts w:hint="eastAsia" w:ascii="仿宋_GB2312" w:hAnsi="仿宋_GB2312" w:eastAsia="仿宋_GB2312" w:cs="仿宋_GB2312"/>
          <w:b/>
          <w:bCs/>
          <w:color w:val="auto"/>
          <w:sz w:val="24"/>
          <w:highlight w:val="none"/>
        </w:rPr>
        <w:t>甲方：</w:t>
      </w:r>
      <w:r>
        <w:rPr>
          <w:rFonts w:hint="eastAsia" w:ascii="仿宋_GB2312" w:hAnsi="仿宋_GB2312" w:eastAsia="仿宋_GB2312" w:cs="仿宋_GB2312"/>
          <w:b/>
          <w:bCs/>
          <w:color w:val="auto"/>
          <w:sz w:val="24"/>
          <w:highlight w:val="none"/>
          <w:u w:val="single"/>
        </w:rPr>
        <w:t xml:space="preserve">           </w:t>
      </w:r>
      <w:r>
        <w:rPr>
          <w:rFonts w:hint="eastAsia" w:ascii="仿宋_GB2312" w:hAnsi="仿宋_GB2312" w:eastAsia="仿宋_GB2312" w:cs="仿宋_GB2312"/>
          <w:b w:val="0"/>
          <w:bCs w:val="0"/>
          <w:color w:val="auto"/>
          <w:sz w:val="24"/>
          <w:highlight w:val="none"/>
          <w:u w:val="single"/>
          <w:lang w:val="en-US" w:eastAsia="zh-CN"/>
        </w:rPr>
        <w:t>海南省发展和改革委员会</w:t>
      </w:r>
      <w:r>
        <w:rPr>
          <w:rFonts w:hint="eastAsia" w:ascii="仿宋_GB2312" w:hAnsi="仿宋_GB2312" w:eastAsia="仿宋_GB2312" w:cs="仿宋_GB2312"/>
          <w:b/>
          <w:bCs/>
          <w:color w:val="auto"/>
          <w:sz w:val="24"/>
          <w:highlight w:val="none"/>
          <w:u w:val="single"/>
        </w:rPr>
        <w:t xml:space="preserve">                  </w:t>
      </w:r>
    </w:p>
    <w:p w14:paraId="12C67A28">
      <w:pPr>
        <w:spacing w:line="360" w:lineRule="auto"/>
        <w:jc w:val="left"/>
        <w:rPr>
          <w:rFonts w:hint="eastAsia" w:ascii="仿宋_GB2312" w:hAnsi="仿宋_GB2312" w:eastAsia="仿宋_GB2312" w:cs="仿宋_GB2312"/>
          <w:color w:val="auto"/>
          <w:sz w:val="24"/>
          <w:highlight w:val="none"/>
          <w:u w:val="single"/>
        </w:rPr>
      </w:pPr>
      <w:r>
        <w:rPr>
          <w:rFonts w:hint="eastAsia" w:ascii="仿宋_GB2312" w:hAnsi="仿宋_GB2312" w:eastAsia="仿宋_GB2312" w:cs="仿宋_GB2312"/>
          <w:color w:val="auto"/>
          <w:sz w:val="24"/>
          <w:highlight w:val="none"/>
        </w:rPr>
        <w:t>统一社会信用代码：</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rPr>
        <w:t xml:space="preserve">           </w:t>
      </w:r>
    </w:p>
    <w:p w14:paraId="473E3BB4">
      <w:pPr>
        <w:spacing w:line="360" w:lineRule="auto"/>
        <w:jc w:val="left"/>
        <w:rPr>
          <w:rFonts w:hint="default" w:ascii="仿宋_GB2312" w:hAnsi="仿宋_GB2312" w:eastAsia="仿宋_GB2312" w:cs="仿宋_GB2312"/>
          <w:color w:val="auto"/>
          <w:sz w:val="24"/>
          <w:highlight w:val="none"/>
          <w:u w:val="single"/>
          <w:lang w:val="en-US"/>
        </w:rPr>
      </w:pPr>
      <w:r>
        <w:rPr>
          <w:rFonts w:hint="eastAsia" w:ascii="仿宋_GB2312" w:hAnsi="仿宋_GB2312" w:eastAsia="仿宋_GB2312" w:cs="仿宋_GB2312"/>
          <w:color w:val="auto"/>
          <w:sz w:val="24"/>
          <w:highlight w:val="none"/>
        </w:rPr>
        <w:t>项目联系人及电话：</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p>
    <w:p w14:paraId="0A8D6C4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auto"/>
        <w:rPr>
          <w:rFonts w:hint="default"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highlight w:val="none"/>
        </w:rPr>
        <w:t>地址：</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kern w:val="2"/>
          <w:sz w:val="24"/>
          <w:szCs w:val="24"/>
          <w:highlight w:val="none"/>
          <w:u w:val="single"/>
          <w:lang w:val="en-US" w:eastAsia="zh-CN" w:bidi="ar"/>
        </w:rPr>
        <w:t xml:space="preserve">海南省海口市国兴大道9号省政府办公大楼8楼      </w:t>
      </w:r>
    </w:p>
    <w:p w14:paraId="45973160">
      <w:pPr>
        <w:spacing w:line="360" w:lineRule="auto"/>
        <w:jc w:val="left"/>
        <w:rPr>
          <w:rFonts w:hint="default" w:ascii="仿宋_GB2312" w:hAnsi="仿宋_GB2312" w:eastAsia="仿宋_GB2312" w:cs="仿宋_GB2312"/>
          <w:b/>
          <w:bCs/>
          <w:color w:val="auto"/>
          <w:sz w:val="24"/>
          <w:highlight w:val="none"/>
          <w:u w:val="single"/>
          <w:lang w:val="en-US"/>
        </w:rPr>
      </w:pPr>
      <w:r>
        <w:rPr>
          <w:rFonts w:hint="eastAsia" w:ascii="仿宋_GB2312" w:hAnsi="仿宋_GB2312" w:eastAsia="仿宋_GB2312" w:cs="仿宋_GB2312"/>
          <w:b/>
          <w:bCs/>
          <w:color w:val="auto"/>
          <w:sz w:val="24"/>
          <w:highlight w:val="none"/>
        </w:rPr>
        <w:t>乙方：</w:t>
      </w:r>
      <w:r>
        <w:rPr>
          <w:rFonts w:hint="eastAsia" w:ascii="仿宋_GB2312" w:hAnsi="仿宋_GB2312" w:eastAsia="仿宋_GB2312" w:cs="仿宋_GB2312"/>
          <w:b/>
          <w:bCs/>
          <w:color w:val="auto"/>
          <w:sz w:val="24"/>
          <w:highlight w:val="none"/>
          <w:u w:val="single"/>
        </w:rPr>
        <w:t xml:space="preserve"> </w:t>
      </w:r>
      <w:r>
        <w:rPr>
          <w:rFonts w:hint="eastAsia" w:ascii="仿宋_GB2312" w:hAnsi="仿宋_GB2312" w:eastAsia="仿宋_GB2312" w:cs="仿宋_GB2312"/>
          <w:b/>
          <w:bCs/>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lang w:val="en-US" w:eastAsia="zh-CN"/>
        </w:rPr>
        <w:t xml:space="preserve">                                      </w:t>
      </w:r>
    </w:p>
    <w:p w14:paraId="0B73D030">
      <w:pPr>
        <w:spacing w:line="360" w:lineRule="auto"/>
        <w:jc w:val="left"/>
        <w:rPr>
          <w:rFonts w:hint="default"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统一社会信用代码：</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p>
    <w:p w14:paraId="639B4A37">
      <w:pPr>
        <w:spacing w:line="360" w:lineRule="auto"/>
        <w:jc w:val="left"/>
        <w:rPr>
          <w:rFonts w:hint="default" w:ascii="仿宋_GB2312" w:hAnsi="仿宋_GB2312" w:eastAsia="仿宋_GB2312" w:cs="仿宋_GB2312"/>
          <w:color w:val="auto"/>
          <w:sz w:val="24"/>
          <w:highlight w:val="none"/>
          <w:u w:val="single"/>
          <w:lang w:val="en-US" w:eastAsia="zh-CN"/>
        </w:rPr>
      </w:pPr>
      <w:r>
        <w:rPr>
          <w:rFonts w:hint="eastAsia" w:ascii="仿宋_GB2312" w:hAnsi="仿宋_GB2312" w:eastAsia="仿宋_GB2312" w:cs="仿宋_GB2312"/>
          <w:color w:val="auto"/>
          <w:sz w:val="24"/>
          <w:highlight w:val="none"/>
        </w:rPr>
        <w:t>法定代表人或负责人：</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p>
    <w:p w14:paraId="5A91D72B">
      <w:pPr>
        <w:spacing w:line="360" w:lineRule="auto"/>
        <w:jc w:val="left"/>
        <w:rPr>
          <w:rFonts w:hint="default" w:ascii="仿宋_GB2312" w:hAnsi="仿宋_GB2312" w:eastAsia="仿宋_GB2312" w:cs="仿宋_GB2312"/>
          <w:color w:val="auto"/>
          <w:sz w:val="24"/>
          <w:highlight w:val="none"/>
          <w:u w:val="single"/>
          <w:lang w:val="en-US" w:eastAsia="zh-CN"/>
        </w:rPr>
      </w:pPr>
      <w:r>
        <w:rPr>
          <w:rFonts w:hint="eastAsia" w:ascii="仿宋_GB2312" w:hAnsi="仿宋_GB2312" w:eastAsia="仿宋_GB2312" w:cs="仿宋_GB2312"/>
          <w:color w:val="auto"/>
          <w:sz w:val="24"/>
          <w:highlight w:val="none"/>
        </w:rPr>
        <w:t>项目联系人及电话：</w:t>
      </w:r>
      <w:r>
        <w:rPr>
          <w:rFonts w:hint="eastAsia" w:ascii="仿宋_GB2312" w:hAnsi="仿宋_GB2312" w:eastAsia="仿宋_GB2312" w:cs="仿宋_GB2312"/>
          <w:color w:val="auto"/>
          <w:sz w:val="24"/>
          <w:highlight w:val="none"/>
          <w:u w:val="single"/>
          <w:lang w:val="en-US" w:eastAsia="zh-CN"/>
        </w:rPr>
        <w:t xml:space="preserve">     </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p>
    <w:p w14:paraId="44771B29">
      <w:pPr>
        <w:spacing w:line="360" w:lineRule="auto"/>
        <w:jc w:val="left"/>
        <w:rPr>
          <w:rFonts w:hint="default" w:ascii="仿宋_GB2312" w:hAnsi="仿宋_GB2312" w:eastAsia="仿宋_GB2312" w:cs="仿宋_GB2312"/>
          <w:color w:val="auto"/>
          <w:sz w:val="24"/>
          <w:highlight w:val="none"/>
          <w:u w:val="single"/>
          <w:lang w:val="en-US"/>
        </w:rPr>
      </w:pPr>
      <w:r>
        <w:rPr>
          <w:rFonts w:hint="eastAsia" w:ascii="仿宋_GB2312" w:hAnsi="仿宋_GB2312" w:eastAsia="仿宋_GB2312" w:cs="仿宋_GB2312"/>
          <w:color w:val="auto"/>
          <w:sz w:val="24"/>
          <w:highlight w:val="none"/>
        </w:rPr>
        <w:t>地址：</w:t>
      </w:r>
      <w:r>
        <w:rPr>
          <w:rFonts w:hint="eastAsia" w:ascii="仿宋_GB2312" w:hAnsi="仿宋_GB2312" w:eastAsia="仿宋_GB2312" w:cs="仿宋_GB2312"/>
          <w:color w:val="auto"/>
          <w:sz w:val="24"/>
          <w:highlight w:val="none"/>
          <w:u w:val="single"/>
        </w:rPr>
        <w:t xml:space="preserve">     </w:t>
      </w:r>
      <w:r>
        <w:rPr>
          <w:rFonts w:hint="eastAsia" w:ascii="仿宋_GB2312" w:hAnsi="仿宋_GB2312" w:eastAsia="仿宋_GB2312" w:cs="仿宋_GB2312"/>
          <w:color w:val="auto"/>
          <w:sz w:val="24"/>
          <w:highlight w:val="none"/>
          <w:u w:val="single"/>
          <w:lang w:val="en-US" w:eastAsia="zh-CN"/>
        </w:rPr>
        <w:t xml:space="preserve">                                              </w:t>
      </w:r>
    </w:p>
    <w:p w14:paraId="72320E0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参照《中华人民共和国政府采购法》及其实施条例、《中华人民共和国民法典》等规定，根据</w:t>
      </w:r>
      <w:r>
        <w:rPr>
          <w:rFonts w:hint="eastAsia" w:ascii="仿宋_GB2312" w:hAnsi="仿宋_GB2312" w:eastAsia="仿宋_GB2312" w:cs="仿宋_GB2312"/>
          <w:color w:val="auto"/>
          <w:sz w:val="28"/>
          <w:szCs w:val="28"/>
          <w:highlight w:val="none"/>
          <w:u w:val="single"/>
          <w:lang w:val="en-US" w:eastAsia="zh-CN"/>
        </w:rPr>
        <w:t xml:space="preserve">                          项目</w:t>
      </w:r>
      <w:r>
        <w:rPr>
          <w:rFonts w:hint="eastAsia" w:ascii="仿宋_GB2312" w:hAnsi="仿宋_GB2312" w:eastAsia="仿宋_GB2312" w:cs="仿宋_GB2312"/>
          <w:color w:val="auto"/>
          <w:kern w:val="0"/>
          <w:sz w:val="28"/>
          <w:szCs w:val="28"/>
          <w:highlight w:val="none"/>
          <w:lang w:val="en-US" w:eastAsia="zh-CN" w:bidi="ar"/>
        </w:rPr>
        <w:t>(项目编号：</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 xml:space="preserve">)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 </w:t>
      </w:r>
    </w:p>
    <w:p w14:paraId="6589F7F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一、合同金额 </w:t>
      </w:r>
    </w:p>
    <w:p w14:paraId="15C1B2D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合同金额为(大写)：</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元整(￥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元)人民币。</w:t>
      </w:r>
    </w:p>
    <w:p w14:paraId="4B10862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二、服务范围</w:t>
      </w:r>
    </w:p>
    <w:p w14:paraId="0B0A04E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甲方聘请乙方提供以下服务：</w:t>
      </w:r>
    </w:p>
    <w:p w14:paraId="6BA5FDA6">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1、研究内容</w:t>
      </w:r>
    </w:p>
    <w:p w14:paraId="124CEC46">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根据国家上位规划要求，从国际、国内、海南省三个层面客观分析海南</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产业发展所面临的形势和环境，重点分析产业规模、结构优化、产业链建设、创新发展、质量效益、空间布局、对外开放等面临的机遇和挑战，提出产业发展的指导思想、基本原则、主要目标，明确产业发展的空间布局，提出实施路径和重点工程部署安排</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w:t>
      </w:r>
    </w:p>
    <w:p w14:paraId="19425401">
      <w:pPr>
        <w:widowControl/>
        <w:spacing w:line="360" w:lineRule="auto"/>
        <w:ind w:firstLine="280" w:firstLineChars="100"/>
        <w:jc w:val="left"/>
        <w:rPr>
          <w:rFonts w:hint="eastAsia"/>
          <w:color w:val="auto"/>
          <w:highlight w:val="none"/>
          <w:lang w:val="en-US" w:eastAsia="zh-CN"/>
        </w:rPr>
      </w:pP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（1）</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br w:type="textWrapping"/>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 xml:space="preserve">  （2）</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br w:type="textWrapping"/>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 xml:space="preserve">  （3）</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br w:type="textWrapping"/>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 xml:space="preserve">   考虑到政策、产业和市场的动态变化，未来结合国家政策及海南省发展的实际情况，动态调整阶段性工作领域。</w:t>
      </w:r>
    </w:p>
    <w:p w14:paraId="54DCDB20">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2、工作成果</w:t>
      </w:r>
    </w:p>
    <w:p w14:paraId="653A307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（1）书面成果</w:t>
      </w:r>
    </w:p>
    <w:p w14:paraId="1C28591E">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pPr>
      <w:r>
        <w:rPr>
          <w:rFonts w:hint="eastAsia" w:ascii="仿宋_GB2312" w:hAnsi="仿宋_GB2312" w:eastAsia="仿宋_GB2312" w:cs="仿宋_GB2312"/>
          <w:color w:val="auto"/>
          <w:kern w:val="0"/>
          <w:sz w:val="28"/>
          <w:szCs w:val="28"/>
          <w:highlight w:val="none"/>
          <w:lang w:val="en-US" w:eastAsia="zh-CN" w:bidi="ar"/>
        </w:rPr>
        <w:t>1.</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编制《</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项目谋划思路报告》，报告要包括但不限于项目发展优势、实施路径、项目清单、投融资模式、要素保障措施等，项目研究内容需满足招商引资需求（项目谋划思路报告（招商计划书）深度），形成项目清单。每个项目按照项目概况、项目预期成效、项目建设方案、项目建设前置条件落实情况及需求、项目投资估算及效益分析、主要目标投资企业信息、项目招商书等形成单行材料。</w:t>
      </w:r>
    </w:p>
    <w:p w14:paraId="39C43650">
      <w:pPr>
        <w:keepNext w:val="0"/>
        <w:keepLines w:val="0"/>
        <w:widowControl/>
        <w:suppressLineNumbers w:val="0"/>
        <w:spacing w:line="240" w:lineRule="auto"/>
        <w:ind w:firstLine="560" w:firstLineChars="200"/>
        <w:jc w:val="left"/>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pP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2.结合海南</w:t>
      </w:r>
      <w:r>
        <w:rPr>
          <w:rFonts w:hint="eastAsia" w:ascii="仿宋_GB2312" w:hAnsi="仿宋_GB2312" w:eastAsia="仿宋_GB2312" w:cs="仿宋_GB2312"/>
          <w:color w:val="auto"/>
          <w:sz w:val="28"/>
          <w:szCs w:val="28"/>
          <w:highlight w:val="none"/>
          <w:u w:val="single"/>
          <w:lang w:val="en-US" w:eastAsia="zh-CN"/>
        </w:rPr>
        <w:t>“4+3+3”</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产业发展基础、产业布局，叠加海南自由贸易港政策优势谋划一批可落地、执行性强的</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产业项目</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，形成</w:t>
      </w:r>
      <w:r>
        <w:rPr>
          <w:rFonts w:hint="eastAsia" w:ascii="仿宋_GB2312" w:hAnsi="仿宋_GB2312" w:eastAsia="仿宋_GB2312" w:cs="仿宋_GB2312"/>
          <w:b/>
          <w:bCs/>
          <w:i w:val="0"/>
          <w:caps w:val="0"/>
          <w:color w:val="auto"/>
          <w:spacing w:val="0"/>
          <w:kern w:val="0"/>
          <w:sz w:val="28"/>
          <w:szCs w:val="28"/>
          <w:highlight w:val="none"/>
          <w:u w:val="single"/>
          <w:shd w:val="clear" w:color="auto" w:fill="auto"/>
          <w:lang w:val="en-US" w:eastAsia="zh-CN" w:bidi="ar"/>
        </w:rPr>
        <w:t>项目谋划清单，</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不少于</w:t>
      </w:r>
      <w:r>
        <w:rPr>
          <w:rFonts w:hint="eastAsia" w:ascii="仿宋_GB2312" w:hAnsi="仿宋_GB2312" w:eastAsia="仿宋_GB2312" w:cs="仿宋_GB2312"/>
          <w:color w:val="auto"/>
          <w:sz w:val="28"/>
          <w:szCs w:val="28"/>
          <w:highlight w:val="none"/>
          <w:u w:val="single"/>
          <w:lang w:val="en-US" w:eastAsia="zh-CN"/>
        </w:rPr>
        <w:t>10</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个重大标志性项目(单个项目投资规模不低于1亿元或具备较强产业带动性</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)，总投资额不低于</w:t>
      </w:r>
      <w:r>
        <w:rPr>
          <w:rFonts w:hint="eastAsia" w:ascii="仿宋_GB2312" w:hAnsi="仿宋_GB2312" w:eastAsia="仿宋_GB2312" w:cs="仿宋_GB2312"/>
          <w:color w:val="auto"/>
          <w:sz w:val="28"/>
          <w:szCs w:val="28"/>
          <w:highlight w:val="none"/>
          <w:u w:val="single"/>
          <w:lang w:val="en-US" w:eastAsia="zh-CN"/>
        </w:rPr>
        <w:t>50</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亿元。项目谋划清单的内容应包含项目名称、项目谋划依据、建设内容及规</w:t>
      </w:r>
      <w:r>
        <w:rPr>
          <w:rFonts w:hint="eastAsia" w:ascii="仿宋_GB2312" w:hAnsi="仿宋_GB2312" w:eastAsia="仿宋_GB2312" w:cs="仿宋_GB2312"/>
          <w:i w:val="0"/>
          <w:caps w:val="0"/>
          <w:color w:val="auto"/>
          <w:spacing w:val="0"/>
          <w:kern w:val="0"/>
          <w:sz w:val="28"/>
          <w:szCs w:val="28"/>
          <w:highlight w:val="none"/>
          <w:shd w:val="clear" w:color="auto" w:fill="auto"/>
          <w:lang w:val="en-US" w:eastAsia="zh-CN" w:bidi="ar"/>
        </w:rPr>
        <w:t>模、选址建议、匡算投资、资金来源建议、建设周期、经济效益分析、建议业主或潜在投资人、成熟度及可能性分析等基本要素，在清单中需对各要素内容进行充分明确的表述。</w:t>
      </w:r>
    </w:p>
    <w:p w14:paraId="6D7DC695">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（2）项目专项服务</w:t>
      </w:r>
    </w:p>
    <w:p w14:paraId="6653E742">
      <w:pPr>
        <w:keepNext w:val="0"/>
        <w:keepLines w:val="0"/>
        <w:widowControl/>
        <w:suppressLineNumbers w:val="0"/>
        <w:spacing w:line="360" w:lineRule="auto"/>
        <w:ind w:firstLine="560" w:firstLineChars="200"/>
        <w:jc w:val="left"/>
        <w:rPr>
          <w:rFonts w:hint="eastAsia" w:ascii="仿宋_GB2312" w:hAnsi="Calibri"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结合具体谋划情况，开展专项培训等相关服务，年度提供不少于2次专项服务。</w:t>
      </w:r>
      <w:r>
        <w:rPr>
          <w:rFonts w:hint="eastAsia" w:ascii="仿宋_GB2312" w:hAnsi="Calibri" w:eastAsia="仿宋_GB2312" w:cs="仿宋_GB2312"/>
          <w:color w:val="auto"/>
          <w:kern w:val="0"/>
          <w:sz w:val="28"/>
          <w:szCs w:val="28"/>
          <w:highlight w:val="none"/>
          <w:lang w:val="en-US" w:eastAsia="zh-CN" w:bidi="ar"/>
        </w:rPr>
        <w:t>系统介绍每个项目的谋划基础、谋划思路、商业模式、产业情况、招商痛点、海南优势、目标企业情况等。</w:t>
      </w:r>
    </w:p>
    <w:p w14:paraId="1A422911">
      <w:pPr>
        <w:pStyle w:val="4"/>
        <w:ind w:left="0" w:leftChars="0" w:firstLine="638" w:firstLineChars="228"/>
        <w:rPr>
          <w:rFonts w:hint="eastAsia" w:ascii="仿宋_GB2312" w:eastAsia="仿宋_GB2312" w:cs="仿宋_GB2312"/>
          <w:color w:val="auto"/>
          <w:kern w:val="0"/>
          <w:sz w:val="28"/>
          <w:szCs w:val="28"/>
          <w:highlight w:val="none"/>
          <w:lang w:val="en-US" w:eastAsia="zh-CN" w:bidi="ar"/>
        </w:rPr>
      </w:pPr>
      <w:r>
        <w:rPr>
          <w:rFonts w:hint="eastAsia" w:ascii="仿宋_GB2312" w:hAnsi="Calibri" w:eastAsia="仿宋_GB2312" w:cs="仿宋_GB2312"/>
          <w:color w:val="auto"/>
          <w:kern w:val="0"/>
          <w:sz w:val="28"/>
          <w:szCs w:val="28"/>
          <w:highlight w:val="none"/>
          <w:lang w:val="en-US" w:eastAsia="zh-CN" w:bidi="ar"/>
        </w:rPr>
        <w:t>乙方需委派至少1名项目谋划专员或专家在甲方所在地驻场服务，服务期从合同开始至合同结束</w:t>
      </w:r>
      <w:r>
        <w:rPr>
          <w:rFonts w:hint="eastAsia" w:ascii="仿宋_GB2312" w:eastAsia="仿宋_GB2312" w:cs="仿宋_GB2312"/>
          <w:color w:val="auto"/>
          <w:kern w:val="0"/>
          <w:sz w:val="28"/>
          <w:szCs w:val="28"/>
          <w:highlight w:val="none"/>
          <w:lang w:val="en-US" w:eastAsia="zh-CN" w:bidi="ar"/>
        </w:rPr>
        <w:t>。</w:t>
      </w:r>
    </w:p>
    <w:p w14:paraId="6CE31353">
      <w:pPr>
        <w:numPr>
          <w:ilvl w:val="0"/>
          <w:numId w:val="1"/>
        </w:numPr>
        <w:ind w:firstLine="560" w:firstLineChars="200"/>
        <w:rPr>
          <w:rFonts w:hint="eastAsia" w:ascii="仿宋_GB2312" w:eastAsia="仿宋_GB2312" w:cs="仿宋_GB2312"/>
          <w:color w:val="auto"/>
          <w:kern w:val="0"/>
          <w:sz w:val="28"/>
          <w:szCs w:val="28"/>
          <w:highlight w:val="none"/>
          <w:lang w:val="en-US" w:eastAsia="zh-CN" w:bidi="ar"/>
        </w:rPr>
      </w:pPr>
      <w:r>
        <w:rPr>
          <w:rFonts w:hint="eastAsia" w:ascii="仿宋_GB2312" w:eastAsia="仿宋_GB2312" w:cs="仿宋_GB2312"/>
          <w:color w:val="auto"/>
          <w:kern w:val="0"/>
          <w:sz w:val="28"/>
          <w:szCs w:val="28"/>
          <w:highlight w:val="none"/>
          <w:lang w:val="en-US" w:eastAsia="zh-CN" w:bidi="ar"/>
        </w:rPr>
        <w:t>项目落地服务</w:t>
      </w:r>
    </w:p>
    <w:p w14:paraId="43DF0B8A">
      <w:pPr>
        <w:keepNext w:val="0"/>
        <w:keepLines w:val="0"/>
        <w:widowControl/>
        <w:suppressLineNumbers w:val="0"/>
        <w:spacing w:line="360" w:lineRule="auto"/>
        <w:ind w:firstLine="560" w:firstLineChars="200"/>
        <w:jc w:val="left"/>
        <w:rPr>
          <w:rFonts w:hint="default" w:ascii="仿宋_GB2312" w:hAnsi="Calibri" w:eastAsia="仿宋_GB2312" w:cs="仿宋_GB2312"/>
          <w:color w:val="auto"/>
          <w:kern w:val="0"/>
          <w:sz w:val="28"/>
          <w:szCs w:val="28"/>
          <w:highlight w:val="none"/>
          <w:lang w:val="en-US" w:eastAsia="zh-CN" w:bidi="ar"/>
        </w:rPr>
      </w:pPr>
      <w:r>
        <w:rPr>
          <w:rFonts w:hint="eastAsia" w:ascii="仿宋_GB2312" w:hAnsi="Calibri" w:eastAsia="仿宋_GB2312" w:cs="仿宋_GB2312"/>
          <w:color w:val="auto"/>
          <w:kern w:val="0"/>
          <w:sz w:val="28"/>
          <w:szCs w:val="28"/>
          <w:highlight w:val="none"/>
          <w:lang w:val="en-US" w:eastAsia="zh-CN" w:bidi="ar"/>
        </w:rPr>
        <w:t>通过项目谋划、资源对接</w:t>
      </w:r>
      <w:r>
        <w:rPr>
          <w:rFonts w:hint="eastAsia" w:ascii="仿宋_GB2312" w:eastAsia="仿宋_GB2312" w:cs="仿宋_GB2312"/>
          <w:color w:val="auto"/>
          <w:kern w:val="0"/>
          <w:sz w:val="28"/>
          <w:szCs w:val="28"/>
          <w:highlight w:val="none"/>
          <w:lang w:val="en-US" w:eastAsia="zh-CN" w:bidi="ar"/>
        </w:rPr>
        <w:t>和申报指导等方式，乙方需牵头或协助甲方落地</w:t>
      </w:r>
      <w:r>
        <w:rPr>
          <w:rFonts w:hint="eastAsia" w:ascii="仿宋_GB2312" w:hAnsi="仿宋_GB2312" w:eastAsia="仿宋_GB2312" w:cs="仿宋_GB2312"/>
          <w:color w:val="auto"/>
          <w:sz w:val="28"/>
          <w:szCs w:val="28"/>
          <w:highlight w:val="none"/>
          <w:u w:val="single"/>
          <w:lang w:val="en-US" w:eastAsia="zh-CN"/>
        </w:rPr>
        <w:t>5</w:t>
      </w:r>
      <w:r>
        <w:rPr>
          <w:rFonts w:hint="eastAsia" w:ascii="仿宋_GB2312" w:hAnsi="仿宋_GB2312" w:eastAsia="仿宋_GB2312" w:cs="仿宋_GB2312"/>
          <w:color w:val="auto"/>
          <w:sz w:val="28"/>
          <w:szCs w:val="28"/>
          <w:highlight w:val="none"/>
          <w:u w:val="none"/>
          <w:lang w:val="en-US" w:eastAsia="zh-CN"/>
        </w:rPr>
        <w:t>个标志性谋划项目，总投资额不低于</w:t>
      </w:r>
      <w:r>
        <w:rPr>
          <w:rFonts w:hint="eastAsia" w:ascii="仿宋_GB2312" w:hAnsi="仿宋_GB2312" w:eastAsia="仿宋_GB2312" w:cs="仿宋_GB2312"/>
          <w:color w:val="auto"/>
          <w:sz w:val="28"/>
          <w:szCs w:val="28"/>
          <w:highlight w:val="none"/>
          <w:u w:val="single"/>
          <w:lang w:val="en-US" w:eastAsia="zh-CN"/>
        </w:rPr>
        <w:t>20</w:t>
      </w:r>
      <w:r>
        <w:rPr>
          <w:rFonts w:hint="eastAsia" w:ascii="仿宋_GB2312" w:hAnsi="仿宋_GB2312" w:eastAsia="仿宋_GB2312" w:cs="仿宋_GB2312"/>
          <w:color w:val="auto"/>
          <w:sz w:val="28"/>
          <w:szCs w:val="28"/>
          <w:highlight w:val="none"/>
          <w:u w:val="none"/>
          <w:lang w:val="en-US" w:eastAsia="zh-CN"/>
        </w:rPr>
        <w:t>亿元。项目落地以投资主体拿地、投资资金到资或得到上级资金（中央预算内投资、超长期国债、专项债等）支持为准。</w:t>
      </w:r>
    </w:p>
    <w:p w14:paraId="3A347EA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3、验收标准和方式</w:t>
      </w:r>
    </w:p>
    <w:p w14:paraId="148A983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（1）验收标准：</w:t>
      </w:r>
      <w:r>
        <w:rPr>
          <w:rFonts w:hint="eastAsia" w:ascii="仿宋_GB2312" w:hAnsi="仿宋_GB2312" w:eastAsia="仿宋_GB2312" w:cs="仿宋_GB2312"/>
          <w:color w:val="auto"/>
          <w:kern w:val="0"/>
          <w:sz w:val="28"/>
          <w:szCs w:val="28"/>
          <w:highlight w:val="none"/>
          <w:lang w:val="en-US" w:eastAsia="zh-CN" w:bidi="ar"/>
        </w:rPr>
        <w:t>按</w:t>
      </w:r>
      <w:r>
        <w:rPr>
          <w:rFonts w:hint="eastAsia" w:ascii="仿宋_GB2312" w:hAnsi="仿宋_GB2312" w:eastAsia="仿宋_GB2312" w:cs="仿宋_GB2312"/>
          <w:color w:val="auto"/>
          <w:kern w:val="0"/>
          <w:sz w:val="28"/>
          <w:szCs w:val="28"/>
          <w:highlight w:val="none"/>
          <w:lang w:val="en-US" w:eastAsia="zh-CN" w:bidi="ar"/>
        </w:rPr>
        <w:t>海南省财政厅印发《海南省政府采购履约验收管理暂行办法》（琼财采规〔2023〕16号）</w:t>
      </w:r>
      <w:r>
        <w:rPr>
          <w:rFonts w:hint="eastAsia" w:ascii="仿宋_GB2312" w:hAnsi="仿宋_GB2312" w:eastAsia="仿宋_GB2312" w:cs="仿宋_GB2312"/>
          <w:color w:val="auto"/>
          <w:kern w:val="0"/>
          <w:sz w:val="28"/>
          <w:szCs w:val="28"/>
          <w:highlight w:val="none"/>
          <w:lang w:val="en-US" w:eastAsia="zh-CN" w:bidi="ar"/>
        </w:rPr>
        <w:t>及合同</w:t>
      </w:r>
      <w:r>
        <w:rPr>
          <w:rFonts w:hint="eastAsia" w:ascii="仿宋_GB2312" w:hAnsi="仿宋_GB2312" w:eastAsia="仿宋_GB2312" w:cs="仿宋_GB2312"/>
          <w:color w:val="auto"/>
          <w:kern w:val="0"/>
          <w:sz w:val="28"/>
          <w:szCs w:val="28"/>
          <w:highlight w:val="none"/>
          <w:lang w:val="en-US" w:eastAsia="zh-CN" w:bidi="ar"/>
        </w:rPr>
        <w:t>要求执行，没有相关标准的，以专家评审通过为验收通过。</w:t>
      </w:r>
      <w:bookmarkStart w:id="0" w:name="_GoBack"/>
      <w:bookmarkEnd w:id="0"/>
    </w:p>
    <w:p w14:paraId="1D4B1DE9">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（2）验收方法：</w:t>
      </w:r>
      <w:r>
        <w:rPr>
          <w:rFonts w:hint="eastAsia" w:ascii="仿宋_GB2312" w:hAnsi="仿宋_GB2312" w:eastAsia="仿宋_GB2312" w:cs="仿宋_GB2312"/>
          <w:color w:val="auto"/>
          <w:kern w:val="0"/>
          <w:sz w:val="28"/>
          <w:szCs w:val="28"/>
          <w:highlight w:val="none"/>
          <w:lang w:val="en-US" w:eastAsia="zh-CN" w:bidi="ar"/>
        </w:rPr>
        <w:t>针对书面成果，分为中期成果验收和最终成果验收，均需通过甲方组织的专家评审进行审核验收。乙方向甲方提供书面成果文件后，甲方应当在5日内对书面成果文件进行审核验收。甲方有整改意见的，乙方须按甲方的要求进行整改，并向甲方提交整改意见稿，直至验收通过。甲方在收到成果文件后10日内未组织专家评审验收，也未提出整改意见的，视为甲方验收合格。中期成果验收时需基本完成项目清单谋划任务，并基本完成研究报告，并已开展至少1次项目专项培训。</w:t>
      </w:r>
    </w:p>
    <w:p w14:paraId="6D92B782">
      <w:pPr>
        <w:pStyle w:val="4"/>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针对项目专项服务成果验收，需由乙方向甲方提供专项培训总结报告，甲方确认无意见或收到相关报告10日内未提出相关意见的，视为甲方验收合格。</w:t>
      </w:r>
    </w:p>
    <w:p w14:paraId="7775981D">
      <w:pPr>
        <w:pStyle w:val="4"/>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针对项目落地验收成果，需由乙方向甲方提供投资主体</w:t>
      </w:r>
      <w:r>
        <w:rPr>
          <w:rFonts w:hint="eastAsia" w:ascii="仿宋_GB2312" w:hAnsi="仿宋_GB2312" w:eastAsia="仿宋_GB2312" w:cs="仿宋_GB2312"/>
          <w:color w:val="auto"/>
          <w:sz w:val="28"/>
          <w:szCs w:val="28"/>
          <w:highlight w:val="none"/>
          <w:u w:val="none"/>
          <w:lang w:val="en-US" w:eastAsia="zh-CN"/>
        </w:rPr>
        <w:t>拿地、投资资金到资</w:t>
      </w:r>
      <w:r>
        <w:rPr>
          <w:rFonts w:hint="eastAsia" w:ascii="仿宋_GB2312" w:hAnsi="仿宋_GB2312" w:eastAsia="仿宋_GB2312" w:cs="仿宋_GB2312"/>
          <w:color w:val="auto"/>
          <w:kern w:val="0"/>
          <w:sz w:val="28"/>
          <w:szCs w:val="28"/>
          <w:highlight w:val="none"/>
          <w:lang w:val="en-US" w:eastAsia="zh-CN" w:bidi="ar"/>
        </w:rPr>
        <w:t>等证明文件，甲方确认无意见或收到相关报告10日内未提出相关意见的，视为甲方验收合格。</w:t>
      </w:r>
    </w:p>
    <w:p w14:paraId="7ECFC8AA">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三、双方的权利和义务</w:t>
      </w:r>
    </w:p>
    <w:p w14:paraId="212C12A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(一)甲方的权利和义务</w:t>
      </w:r>
    </w:p>
    <w:p w14:paraId="1439F69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为保证乙方有效进行服务工作，甲方应当向乙方提供下列工作条件和协作事项：</w:t>
      </w:r>
    </w:p>
    <w:p w14:paraId="7B33CC0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1、提供资料及信息：</w:t>
      </w:r>
    </w:p>
    <w:p w14:paraId="01FAFE75">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乙方根据其工作的必要条件，可以要求甲方提供与该项目相关的资料及信息。</w:t>
      </w:r>
    </w:p>
    <w:p w14:paraId="1300A2DD">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2、提供工作条件：</w:t>
      </w:r>
    </w:p>
    <w:p w14:paraId="1D00388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合同执行期间，甲方可以在不影响其正常生产经营活动的前提下配合乙方开展实地调研工作。</w:t>
      </w:r>
    </w:p>
    <w:p w14:paraId="63DD17F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3、甲方提供上述工作条件和协作事项的时间及方式：按照双方约定执行。</w:t>
      </w:r>
    </w:p>
    <w:p w14:paraId="414C3AC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(二)乙方的权利和义务 </w:t>
      </w:r>
    </w:p>
    <w:p w14:paraId="0313CC8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1、乙方应在服务期限内提供本合同约定的服务，并提交符合要求的报告成果。乙方不能按照上述期限完成服务的，根据实际执行情况双方另行协商确定并签订书面的补充协议；</w:t>
      </w:r>
    </w:p>
    <w:p w14:paraId="2359DD2A">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2、乙方在整个服务过程中应严格遵守相关法律法规、规范性文</w:t>
      </w:r>
      <w:r>
        <w:rPr>
          <w:rFonts w:hint="eastAsia" w:ascii="仿宋_GB2312" w:hAnsi="仿宋_GB2312" w:eastAsia="仿宋_GB2312" w:cs="仿宋_GB2312"/>
          <w:color w:val="auto"/>
          <w:kern w:val="0"/>
          <w:sz w:val="28"/>
          <w:szCs w:val="28"/>
          <w:highlight w:val="none"/>
          <w:lang w:val="en-US" w:eastAsia="zh-CN" w:bidi="ar"/>
        </w:rPr>
        <w:t>件的规定，保持执行质量保证体系和严格的质量控制程序，保证使用</w:t>
      </w:r>
      <w:r>
        <w:rPr>
          <w:rFonts w:hint="eastAsia" w:ascii="仿宋_GB2312" w:hAnsi="仿宋_GB2312" w:eastAsia="仿宋_GB2312" w:cs="仿宋_GB2312"/>
          <w:color w:val="auto"/>
          <w:kern w:val="0"/>
          <w:sz w:val="28"/>
          <w:szCs w:val="28"/>
          <w:highlight w:val="none"/>
          <w:lang w:val="en-US" w:eastAsia="zh-CN" w:bidi="ar"/>
        </w:rPr>
        <w:t>适当合格的专业人员为甲方提供服务，保证按本合同约定提供满足合同要求的服务。</w:t>
      </w:r>
    </w:p>
    <w:p w14:paraId="40BDC9A5">
      <w:pPr>
        <w:keepNext w:val="0"/>
        <w:keepLines w:val="0"/>
        <w:widowControl/>
        <w:suppressLineNumbers w:val="0"/>
        <w:spacing w:line="360" w:lineRule="auto"/>
        <w:ind w:firstLine="560" w:firstLineChars="200"/>
        <w:jc w:val="left"/>
        <w:rPr>
          <w:rFonts w:hint="default" w:ascii="仿宋_GB2312" w:hAnsi="仿宋_GB2312" w:eastAsia="仿宋_GB2312" w:cs="仿宋_GB2312"/>
          <w:color w:val="auto"/>
          <w:kern w:val="0"/>
          <w:sz w:val="28"/>
          <w:szCs w:val="28"/>
          <w:highlight w:val="none"/>
          <w:lang w:val="en-US" w:eastAsia="zh-CN" w:bidi="ar"/>
        </w:rPr>
      </w:pPr>
      <w:r>
        <w:rPr>
          <w:rFonts w:hint="default" w:ascii="仿宋_GB2312" w:hAnsi="仿宋_GB2312" w:eastAsia="仿宋_GB2312" w:cs="仿宋_GB2312"/>
          <w:color w:val="auto"/>
          <w:kern w:val="0"/>
          <w:sz w:val="28"/>
          <w:szCs w:val="28"/>
          <w:highlight w:val="none"/>
          <w:lang w:eastAsia="zh-CN" w:bidi="ar"/>
        </w:rPr>
        <w:t>3、乙方应勤勉尽责履行好合同义务，且未经甲方书面同意，乙方不得将本合同的权利义务转让给第三方</w:t>
      </w:r>
      <w:r>
        <w:rPr>
          <w:rFonts w:hint="eastAsia" w:ascii="仿宋_GB2312" w:hAnsi="仿宋_GB2312" w:eastAsia="仿宋_GB2312" w:cs="仿宋_GB2312"/>
          <w:color w:val="auto"/>
          <w:kern w:val="0"/>
          <w:sz w:val="28"/>
          <w:szCs w:val="28"/>
          <w:highlight w:val="none"/>
          <w:lang w:val="en-US" w:eastAsia="zh-CN" w:bidi="ar"/>
        </w:rPr>
        <w:t>。</w:t>
      </w:r>
    </w:p>
    <w:p w14:paraId="13DEF6C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四、服务期限 </w:t>
      </w:r>
    </w:p>
    <w:p w14:paraId="38B8314C">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委托服务期限：自合同签订之日起至2025年</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月</w:t>
      </w:r>
      <w:r>
        <w:rPr>
          <w:rFonts w:hint="eastAsia" w:ascii="仿宋_GB2312" w:hAnsi="仿宋_GB2312" w:eastAsia="仿宋_GB2312" w:cs="仿宋_GB2312"/>
          <w:color w:val="auto"/>
          <w:sz w:val="28"/>
          <w:szCs w:val="28"/>
          <w:highlight w:val="none"/>
          <w:u w:val="single"/>
          <w:lang w:val="en-US" w:eastAsia="zh-CN"/>
        </w:rPr>
        <w:t xml:space="preserve">   </w:t>
      </w:r>
      <w:r>
        <w:rPr>
          <w:rFonts w:hint="eastAsia" w:ascii="仿宋_GB2312" w:hAnsi="仿宋_GB2312" w:eastAsia="仿宋_GB2312" w:cs="仿宋_GB2312"/>
          <w:color w:val="auto"/>
          <w:kern w:val="0"/>
          <w:sz w:val="28"/>
          <w:szCs w:val="28"/>
          <w:highlight w:val="none"/>
          <w:lang w:val="en-US" w:eastAsia="zh-CN" w:bidi="ar"/>
        </w:rPr>
        <w:t xml:space="preserve">日止。 </w:t>
      </w:r>
    </w:p>
    <w:p w14:paraId="6D24F6D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五、付款方式 </w:t>
      </w:r>
    </w:p>
    <w:p w14:paraId="17F68370">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合同签订后3日内，甲方依据乙方开具的发票，支付项目合同总额的30%。</w:t>
      </w:r>
    </w:p>
    <w:p w14:paraId="55E6486A">
      <w:pPr>
        <w:pStyle w:val="4"/>
        <w:ind w:left="0" w:leftChars="0" w:firstLine="560" w:firstLineChars="200"/>
        <w:rPr>
          <w:rFonts w:hint="default"/>
          <w:color w:val="auto"/>
          <w:highlight w:val="none"/>
          <w:lang w:val="en-US" w:eastAsia="zh-CN"/>
        </w:rPr>
      </w:pPr>
      <w:r>
        <w:rPr>
          <w:rFonts w:hint="eastAsia" w:ascii="仿宋_GB2312" w:hAnsi="仿宋_GB2312" w:eastAsia="仿宋_GB2312" w:cs="仿宋_GB2312"/>
          <w:color w:val="auto"/>
          <w:kern w:val="0"/>
          <w:sz w:val="28"/>
          <w:szCs w:val="28"/>
          <w:highlight w:val="none"/>
          <w:lang w:val="en-US" w:eastAsia="zh-CN" w:bidi="ar"/>
        </w:rPr>
        <w:t>乙方完成中期成果汇报并通过的，在中期成果汇报后5日内，甲方依据乙方开具的发票，支付项目合同总额的20%。</w:t>
      </w:r>
    </w:p>
    <w:p w14:paraId="7315D03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项目成果和项目专项服务全部最终通过验收后5日内，甲方依据乙方开具的发票，支付项目合同总额的20%。</w:t>
      </w:r>
    </w:p>
    <w:p w14:paraId="65321F6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项目落地服务通过验收后5日内，甲方依据乙方开具的发票，支付尾款即项目合同总额的30%。</w:t>
      </w:r>
    </w:p>
    <w:p w14:paraId="28A25D4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六、知识产权归属 </w:t>
      </w:r>
    </w:p>
    <w:p w14:paraId="2AE2F7E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乙方依本合同约定所完成的研究成果及版权等知识产权及其相关的申请权归双方所共有，甲方有权作为知识产权共有人免费使用前述知识产权。如乙方将前述研究成果出版的，甲方享有在相关出版物上列为赞助方的权利。上述共有知识产权的申请、获得以及由此产生的相关收益等事项，由双方协商并另行签署书面文件进行约定。</w:t>
      </w:r>
    </w:p>
    <w:p w14:paraId="02BF151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2、在利用前款所约定的共有技术成果的基础上，由甲方独立开发完成的技术成果及其相关知识产权均归甲方单独所有，乙方对此不享有任何权利。</w:t>
      </w:r>
    </w:p>
    <w:p w14:paraId="533E9AF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七、保密 </w:t>
      </w:r>
    </w:p>
    <w:p w14:paraId="6EF0FC09">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乙方承诺以最严格的保密方式保存和维护从甲方或甲方代表获得的保密信息，未经甲方事先书面同意，不得向任何第三方披露。保密信息包括但不限于本项目、规格、计划、设计、软件及开发资料、数据、图纸、式样、样本或甲方为上述内容向乙方提供的任何其它资料。</w:t>
      </w:r>
    </w:p>
    <w:p w14:paraId="72C4BDB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2、乙方应保证本项目执行人员：</w:t>
      </w:r>
    </w:p>
    <w:p w14:paraId="7E48321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A 只有在为了本项目的目的而必须知道保密信息的情况下，才允许获取从甲方或甲方代表获得的任何保密信息；</w:t>
      </w:r>
    </w:p>
    <w:p w14:paraId="4F57B9B7">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B 必须了解本项目规定的保密要求；</w:t>
      </w:r>
    </w:p>
    <w:p w14:paraId="37D2EDF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C 不得造成或允许向任何第三方透露保密信息。</w:t>
      </w:r>
    </w:p>
    <w:p w14:paraId="5740D2F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3、未经甲方书面许可，乙方透露或使用了保密信息，应当在不损害甲方其它利益的情况下，尽一切努力协助甲方收回保密信息，防止使用、传播、出售或以其它任何方式处置该保密信息。</w:t>
      </w:r>
    </w:p>
    <w:p w14:paraId="1A72D83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4、本项目验收后3个工作日内，乙方应向甲方交还其获得的保密信息，</w:t>
      </w:r>
      <w:r>
        <w:rPr>
          <w:rFonts w:hint="eastAsia" w:ascii="仿宋_GB2312" w:hAnsi="仿宋_GB2312" w:eastAsia="仿宋_GB2312" w:cs="仿宋_GB2312"/>
          <w:color w:val="auto"/>
          <w:kern w:val="0"/>
          <w:sz w:val="28"/>
          <w:szCs w:val="28"/>
          <w:highlight w:val="none"/>
          <w:lang w:val="en-US" w:eastAsia="zh-CN" w:bidi="ar"/>
        </w:rPr>
        <w:t>不得以任何方式进行复制留存。</w:t>
      </w:r>
    </w:p>
    <w:p w14:paraId="657335F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5、本项目有效期间及其后的十年内，本条款的规定仍对乙方发生效力，不因本项目的终止而失效。</w:t>
      </w:r>
    </w:p>
    <w:p w14:paraId="3D768ABF">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八、违约责任与赔偿损失 </w:t>
      </w:r>
    </w:p>
    <w:p w14:paraId="048D951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1、乙方提供的服务不符合招标文件、投标文件或本合同规定的，甲方有权拒收，并且乙方须向甲方支付本合同总价5%的违约金。</w:t>
      </w:r>
    </w:p>
    <w:p w14:paraId="7E339D6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2、乙方未能按本合同规定的交付时间提供服务，从逾期之日起每日按本合同总价3‰的数额向甲方支付违约金；逾期半个月以上的，甲方有权终止合同，由此造成的甲方经济损失由乙方承担。</w:t>
      </w:r>
    </w:p>
    <w:p w14:paraId="05033452">
      <w:pPr>
        <w:keepNext w:val="0"/>
        <w:keepLines w:val="0"/>
        <w:widowControl/>
        <w:suppressLineNumbers w:val="0"/>
        <w:spacing w:line="240" w:lineRule="auto"/>
        <w:ind w:firstLine="560" w:firstLineChars="200"/>
        <w:jc w:val="left"/>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3、</w:t>
      </w:r>
      <w:r>
        <w:rPr>
          <w:rFonts w:hint="eastAsia" w:ascii="仿宋_GB2312" w:hAnsi="仿宋_GB2312" w:eastAsia="仿宋_GB2312" w:cs="仿宋_GB2312"/>
          <w:i w:val="0"/>
          <w:iCs w:val="0"/>
          <w:caps w:val="0"/>
          <w:color w:val="auto"/>
          <w:spacing w:val="0"/>
          <w:kern w:val="0"/>
          <w:sz w:val="28"/>
          <w:szCs w:val="28"/>
          <w:highlight w:val="none"/>
          <w:shd w:val="clear" w:color="auto" w:fill="auto"/>
          <w:lang w:val="en-US" w:eastAsia="zh-CN" w:bidi="ar"/>
        </w:rPr>
        <w:t>甲方无正当理由拒收接受服务，到期拒付服务款项的，甲方向乙方偿付本合同总价的5%的违约金。甲方逾期付款，则每日按本合同总价的2‰向乙方偿付违约金，违约金总金额不超过合同总金额的5%。但因财政资金拨款不到位（包括但不限于财政款项紧张、财政办理手续迟延等）而导致甲方逾期付款的，甲方不承担违约责任。</w:t>
      </w:r>
    </w:p>
    <w:p w14:paraId="0F01CE0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4、其它违约责任按《中华人民共和国民法典》处理。 </w:t>
      </w:r>
    </w:p>
    <w:p w14:paraId="7EF56C8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九、争端的解决 </w:t>
      </w:r>
    </w:p>
    <w:p w14:paraId="6E84F1D5">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1、合同执行过程中发生的任何争议，如双方不能通过友好协商解决，按相关法律法规处理。 </w:t>
      </w:r>
    </w:p>
    <w:p w14:paraId="2964A666">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十、不可抗力 </w:t>
      </w:r>
    </w:p>
    <w:p w14:paraId="21BD865A">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 </w:t>
      </w:r>
    </w:p>
    <w:p w14:paraId="5A39044B">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十一、税费 </w:t>
      </w:r>
    </w:p>
    <w:p w14:paraId="19F1B3FE">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1、在中国境内、外发生的与本合同执行有关的一切税费均由乙方负担。 </w:t>
      </w:r>
    </w:p>
    <w:p w14:paraId="0463A761">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十二、其它 </w:t>
      </w:r>
    </w:p>
    <w:p w14:paraId="32A5D14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1、本合同所有附件、招标文件、投标文件、中标通知书均为合同的有效组成部分，与本合同具有同等法律效力。 </w:t>
      </w:r>
    </w:p>
    <w:p w14:paraId="62EA3F0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2、在执行本合同的过程中，所有经双方签署确认的文件(包括会议纪要、补充协议、往来信函)即成为本合同的有效组成部分。 </w:t>
      </w:r>
    </w:p>
    <w:p w14:paraId="1B918564">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3、如一方地址、电话、传真号码有变更，应在变更</w:t>
      </w:r>
      <w:r>
        <w:rPr>
          <w:rFonts w:hint="default" w:ascii="仿宋_GB2312" w:hAnsi="仿宋_GB2312" w:eastAsia="仿宋_GB2312" w:cs="仿宋_GB2312"/>
          <w:color w:val="auto"/>
          <w:kern w:val="0"/>
          <w:sz w:val="28"/>
          <w:szCs w:val="28"/>
          <w:highlight w:val="none"/>
          <w:lang w:val="en-US" w:eastAsia="zh-CN" w:bidi="ar"/>
        </w:rPr>
        <w:t>当</w:t>
      </w:r>
      <w:r>
        <w:rPr>
          <w:rFonts w:hint="eastAsia" w:ascii="仿宋_GB2312" w:hAnsi="仿宋_GB2312" w:eastAsia="仿宋_GB2312" w:cs="仿宋_GB2312"/>
          <w:color w:val="auto"/>
          <w:kern w:val="0"/>
          <w:sz w:val="28"/>
          <w:szCs w:val="28"/>
          <w:highlight w:val="none"/>
          <w:lang w:val="en-US" w:eastAsia="zh-CN" w:bidi="ar"/>
        </w:rPr>
        <w:t xml:space="preserve">日内书面通知对方，否则，应承担相应责任。 </w:t>
      </w:r>
    </w:p>
    <w:p w14:paraId="27505913">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4、除甲方事先书面同意外，乙方不得部分或全部转让其应履行的合同项下的义务。 </w:t>
      </w:r>
    </w:p>
    <w:p w14:paraId="21755F18">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十二、合同生效： </w:t>
      </w:r>
    </w:p>
    <w:p w14:paraId="24F112DC">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本合同自双方法定代表人或其授权代表签字盖章之日起生效。 </w:t>
      </w:r>
    </w:p>
    <w:p w14:paraId="55EB97F0">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十三、其他 </w:t>
      </w:r>
    </w:p>
    <w:p w14:paraId="6F898E62">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1、如有未尽事宜，由双方依法订立补充合同。 </w:t>
      </w:r>
    </w:p>
    <w:p w14:paraId="683598B0">
      <w:pPr>
        <w:keepNext w:val="0"/>
        <w:keepLines w:val="0"/>
        <w:widowControl/>
        <w:suppressLineNumbers w:val="0"/>
        <w:spacing w:line="360" w:lineRule="auto"/>
        <w:ind w:firstLine="560" w:firstLineChars="200"/>
        <w:jc w:val="lef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2、本合同一式五份，甲方二份，乙方二份，采购代理机构一份。 </w:t>
      </w:r>
    </w:p>
    <w:p w14:paraId="6F9965F4">
      <w:pPr>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br w:type="page"/>
      </w:r>
    </w:p>
    <w:p w14:paraId="518F15DB">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甲方：海南省发展和改革委员会 (盖单位公章) </w:t>
      </w:r>
    </w:p>
    <w:p w14:paraId="1C9672A3">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法定代表人(或授权代表)： </w:t>
      </w:r>
    </w:p>
    <w:p w14:paraId="55A8880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地址：海南省海口市国兴大道9号省政府办公大楼8楼</w:t>
      </w:r>
    </w:p>
    <w:p w14:paraId="6BF69033">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开户银行： </w:t>
      </w:r>
    </w:p>
    <w:p w14:paraId="0F1EF3B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账号： </w:t>
      </w:r>
    </w:p>
    <w:p w14:paraId="51986E89">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电话：0898-68580289 </w:t>
      </w:r>
    </w:p>
    <w:p w14:paraId="3E3A166B">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传真： </w:t>
      </w:r>
    </w:p>
    <w:p w14:paraId="6D847202">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签订日期：       年   月   日</w:t>
      </w:r>
    </w:p>
    <w:p w14:paraId="06EB0E99">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color w:val="auto"/>
          <w:sz w:val="28"/>
          <w:szCs w:val="28"/>
          <w:highlight w:val="none"/>
        </w:rPr>
      </w:pPr>
    </w:p>
    <w:p w14:paraId="027F6576">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乙方： (盖单位公章) </w:t>
      </w:r>
    </w:p>
    <w:p w14:paraId="6B8B71DC">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法定代表人(或授权代表)： </w:t>
      </w:r>
    </w:p>
    <w:p w14:paraId="57A99C47">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地址： </w:t>
      </w:r>
    </w:p>
    <w:p w14:paraId="46E834A9">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开户银行： </w:t>
      </w:r>
    </w:p>
    <w:p w14:paraId="01593B4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账号：</w:t>
      </w:r>
    </w:p>
    <w:p w14:paraId="3DFD141B">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default" w:ascii="仿宋_GB2312" w:hAnsi="仿宋_GB2312" w:eastAsia="仿宋_GB2312" w:cs="仿宋_GB2312"/>
          <w:color w:val="auto"/>
          <w:sz w:val="28"/>
          <w:szCs w:val="28"/>
          <w:highlight w:val="none"/>
          <w:lang w:val="en-US"/>
        </w:rPr>
      </w:pPr>
      <w:r>
        <w:rPr>
          <w:rFonts w:hint="eastAsia" w:ascii="仿宋_GB2312" w:hAnsi="仿宋_GB2312" w:eastAsia="仿宋_GB2312" w:cs="仿宋_GB2312"/>
          <w:color w:val="auto"/>
          <w:kern w:val="0"/>
          <w:sz w:val="28"/>
          <w:szCs w:val="28"/>
          <w:highlight w:val="none"/>
          <w:lang w:val="en-US" w:eastAsia="zh-CN" w:bidi="ar"/>
        </w:rPr>
        <w:t>电话：</w:t>
      </w:r>
    </w:p>
    <w:p w14:paraId="3BFBAD20">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传真： </w:t>
      </w:r>
    </w:p>
    <w:p w14:paraId="002E9BF2">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签订日期：      年   月    日 </w:t>
      </w:r>
    </w:p>
    <w:p w14:paraId="589A5C6A">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color w:val="auto"/>
          <w:kern w:val="0"/>
          <w:sz w:val="28"/>
          <w:szCs w:val="28"/>
          <w:highlight w:val="none"/>
          <w:lang w:val="en-US" w:eastAsia="zh-CN" w:bidi="ar"/>
        </w:rPr>
      </w:pPr>
    </w:p>
    <w:p w14:paraId="7E88557F">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招标代理机构声明：本合同标的经依法定程序采购，合同主要条款内容与招标文件响应文件的内容一致。 </w:t>
      </w:r>
    </w:p>
    <w:p w14:paraId="5AA0808B">
      <w:pPr>
        <w:keepNext w:val="0"/>
        <w:keepLines w:val="0"/>
        <w:pageBreakBefore w:val="0"/>
        <w:widowControl/>
        <w:suppressLineNumbers w:val="0"/>
        <w:kinsoku/>
        <w:wordWrap/>
        <w:overflowPunct/>
        <w:topLinePunct w:val="0"/>
        <w:autoSpaceDE/>
        <w:autoSpaceDN/>
        <w:bidi w:val="0"/>
        <w:adjustRightInd/>
        <w:snapToGrid/>
        <w:spacing w:line="540" w:lineRule="exact"/>
        <w:ind w:firstLine="562" w:firstLineChars="200"/>
        <w:jc w:val="left"/>
        <w:textAlignment w:val="auto"/>
        <w:rPr>
          <w:rFonts w:hint="eastAsia" w:ascii="仿宋_GB2312" w:hAnsi="仿宋_GB2312" w:eastAsia="仿宋_GB2312" w:cs="仿宋_GB2312"/>
          <w:b/>
          <w:bCs/>
          <w:color w:val="auto"/>
          <w:kern w:val="0"/>
          <w:sz w:val="28"/>
          <w:szCs w:val="28"/>
          <w:highlight w:val="none"/>
          <w:lang w:val="en-US" w:eastAsia="zh-CN" w:bidi="ar"/>
        </w:rPr>
      </w:pPr>
    </w:p>
    <w:p w14:paraId="0BD30FEF">
      <w:pPr>
        <w:keepNext w:val="0"/>
        <w:keepLines w:val="0"/>
        <w:pageBreakBefore w:val="0"/>
        <w:widowControl/>
        <w:suppressLineNumbers w:val="0"/>
        <w:kinsoku/>
        <w:wordWrap/>
        <w:overflowPunct/>
        <w:topLinePunct w:val="0"/>
        <w:autoSpaceDE/>
        <w:autoSpaceDN/>
        <w:bidi w:val="0"/>
        <w:adjustRightInd/>
        <w:snapToGrid/>
        <w:spacing w:line="540" w:lineRule="exact"/>
        <w:ind w:firstLine="562" w:firstLineChars="200"/>
        <w:jc w:val="left"/>
        <w:textAlignment w:val="auto"/>
        <w:rPr>
          <w:rFonts w:hint="eastAsia" w:ascii="仿宋_GB2312" w:hAnsi="仿宋_GB2312" w:eastAsia="仿宋_GB2312" w:cs="仿宋_GB2312"/>
          <w:b/>
          <w:bCs/>
          <w:color w:val="auto"/>
          <w:kern w:val="0"/>
          <w:sz w:val="28"/>
          <w:szCs w:val="28"/>
          <w:highlight w:val="none"/>
          <w:lang w:val="en-US" w:eastAsia="zh-CN" w:bidi="ar"/>
        </w:rPr>
      </w:pPr>
    </w:p>
    <w:p w14:paraId="3A5E97E9">
      <w:pPr>
        <w:keepNext w:val="0"/>
        <w:keepLines w:val="0"/>
        <w:pageBreakBefore w:val="0"/>
        <w:widowControl/>
        <w:suppressLineNumbers w:val="0"/>
        <w:kinsoku/>
        <w:wordWrap/>
        <w:overflowPunct/>
        <w:topLinePunct w:val="0"/>
        <w:autoSpaceDE/>
        <w:autoSpaceDN/>
        <w:bidi w:val="0"/>
        <w:adjustRightInd/>
        <w:snapToGrid/>
        <w:spacing w:line="540" w:lineRule="exact"/>
        <w:ind w:firstLine="562"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kern w:val="0"/>
          <w:sz w:val="28"/>
          <w:szCs w:val="28"/>
          <w:highlight w:val="none"/>
          <w:lang w:val="en-US" w:eastAsia="zh-CN" w:bidi="ar"/>
        </w:rPr>
        <w:t xml:space="preserve">招标代理机构：  </w:t>
      </w:r>
      <w:r>
        <w:rPr>
          <w:rFonts w:hint="eastAsia" w:ascii="仿宋_GB2312" w:hAnsi="仿宋_GB2312" w:eastAsia="仿宋_GB2312" w:cs="仿宋_GB2312"/>
          <w:color w:val="auto"/>
          <w:kern w:val="0"/>
          <w:sz w:val="28"/>
          <w:szCs w:val="28"/>
          <w:highlight w:val="none"/>
          <w:lang w:val="en-US" w:eastAsia="zh-CN" w:bidi="ar"/>
        </w:rPr>
        <w:t xml:space="preserve">（盖章） </w:t>
      </w:r>
    </w:p>
    <w:p w14:paraId="77DF21BE">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 xml:space="preserve">法定（授权）代表人：                   （签章） </w:t>
      </w:r>
    </w:p>
    <w:p w14:paraId="524F9F44">
      <w:pPr>
        <w:keepNext w:val="0"/>
        <w:keepLines w:val="0"/>
        <w:pageBreakBefore w:val="0"/>
        <w:widowControl/>
        <w:suppressLineNumbers w:val="0"/>
        <w:kinsoku/>
        <w:wordWrap/>
        <w:overflowPunct/>
        <w:topLinePunct w:val="0"/>
        <w:autoSpaceDE/>
        <w:autoSpaceDN/>
        <w:bidi w:val="0"/>
        <w:adjustRightInd/>
        <w:snapToGrid/>
        <w:spacing w:line="54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kern w:val="0"/>
          <w:sz w:val="28"/>
          <w:szCs w:val="28"/>
          <w:highlight w:val="none"/>
          <w:lang w:val="en-US" w:eastAsia="zh-CN" w:bidi="ar"/>
        </w:rPr>
        <w:t>签订日期：       年    月    日</w:t>
      </w:r>
    </w:p>
    <w:p w14:paraId="678075B4">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1A0BA"/>
    <w:multiLevelType w:val="singleLevel"/>
    <w:tmpl w:val="0EF1A0B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7A517"/>
    <w:rsid w:val="08926B5E"/>
    <w:rsid w:val="17772E94"/>
    <w:rsid w:val="22F32AEF"/>
    <w:rsid w:val="246031BB"/>
    <w:rsid w:val="3027484D"/>
    <w:rsid w:val="325231F5"/>
    <w:rsid w:val="392355DB"/>
    <w:rsid w:val="39751F96"/>
    <w:rsid w:val="3BA80FE5"/>
    <w:rsid w:val="3DDFE0FE"/>
    <w:rsid w:val="3EEFFBF4"/>
    <w:rsid w:val="4F77DFAA"/>
    <w:rsid w:val="5AFF1CEC"/>
    <w:rsid w:val="6F3AA107"/>
    <w:rsid w:val="755EBDC2"/>
    <w:rsid w:val="7797A517"/>
    <w:rsid w:val="77EF33C8"/>
    <w:rsid w:val="79B62E99"/>
    <w:rsid w:val="7BFE9B2C"/>
    <w:rsid w:val="7C7F801A"/>
    <w:rsid w:val="7E51524F"/>
    <w:rsid w:val="7ED95F8E"/>
    <w:rsid w:val="7F6A85BE"/>
    <w:rsid w:val="7FE719CD"/>
    <w:rsid w:val="7FFF5829"/>
    <w:rsid w:val="9CDEB156"/>
    <w:rsid w:val="BBFF1291"/>
    <w:rsid w:val="BDDE18AC"/>
    <w:rsid w:val="CDFE84C9"/>
    <w:rsid w:val="DFFB3A48"/>
    <w:rsid w:val="E5FF3973"/>
    <w:rsid w:val="EB6F291C"/>
    <w:rsid w:val="EF772B8B"/>
    <w:rsid w:val="F37E10A3"/>
    <w:rsid w:val="F5D738A9"/>
    <w:rsid w:val="F67F115D"/>
    <w:rsid w:val="FBEFF7AC"/>
    <w:rsid w:val="FCFB63C6"/>
    <w:rsid w:val="FF6E8D78"/>
    <w:rsid w:val="FFFFB4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style>
  <w:style w:type="paragraph" w:styleId="3">
    <w:name w:val="Body Text Indent"/>
    <w:basedOn w:val="1"/>
    <w:next w:val="4"/>
    <w:qFormat/>
    <w:uiPriority w:val="0"/>
    <w:pPr>
      <w:spacing w:after="120"/>
      <w:ind w:left="420" w:leftChars="200"/>
    </w:pPr>
  </w:style>
  <w:style w:type="paragraph" w:styleId="4">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3931</Words>
  <Characters>3976</Characters>
  <Lines>0</Lines>
  <Paragraphs>0</Paragraphs>
  <TotalTime>25</TotalTime>
  <ScaleCrop>false</ScaleCrop>
  <LinksUpToDate>false</LinksUpToDate>
  <CharactersWithSpaces>4748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2024-11-13T01:22:00Z</dcterms:created>
  <dc:creator>uos</dc:creator>
  <cp:lastModifiedBy>Lenovo</cp:lastModifiedBy>
  <dcterms:modified xsi:type="dcterms:W3CDTF">2025-06-05T10:26:20Z</dcterms:modified>
  <dc:title>合同编号：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F3668EB45C6845B396E927BFA4A88045_13</vt:lpwstr>
  </property>
  <property fmtid="{D5CDD505-2E9C-101B-9397-08002B2CF9AE}" pid="4" name="KSOTemplateDocerSaveRecord">
    <vt:lpwstr>eyJoZGlkIjoiM2M3ZmJhY2NmYjg2N2I2NjE4OTY5ZjIyNDNjZDJhNTkiLCJ1c2VySWQiOiIxNjAzNjU2NzQyIn0=</vt:lpwstr>
  </property>
</Properties>
</file>