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海南自贸港深化长三角重点产业协同合作项目谋划</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[HNMYZX]20250500001[GK]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海南省发展和改革委员会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海南明毅咨询项目管理有限公司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海南省发展和改革委员会</w:t>
      </w:r>
      <w:r>
        <w:rPr>
          <w:rFonts w:ascii="仿宋_GB2312" w:hAnsi="仿宋_GB2312" w:cs="仿宋_GB2312" w:eastAsia="仿宋_GB2312"/>
        </w:rPr>
        <w:t xml:space="preserve"> 委托， </w:t>
      </w:r>
      <w:r>
        <w:rPr>
          <w:rFonts w:ascii="仿宋_GB2312" w:hAnsi="仿宋_GB2312" w:cs="仿宋_GB2312" w:eastAsia="仿宋_GB2312"/>
        </w:rPr>
        <w:t>海南明毅咨询项目管理有限公司</w:t>
      </w:r>
      <w:r>
        <w:rPr>
          <w:rFonts w:ascii="仿宋_GB2312" w:hAnsi="仿宋_GB2312" w:cs="仿宋_GB2312" w:eastAsia="仿宋_GB2312"/>
        </w:rPr>
        <w:t xml:space="preserve"> 对 </w:t>
      </w:r>
      <w:r>
        <w:rPr>
          <w:rFonts w:ascii="仿宋_GB2312" w:hAnsi="仿宋_GB2312" w:cs="仿宋_GB2312" w:eastAsia="仿宋_GB2312"/>
        </w:rPr>
        <w:t>海南自贸港深化长三角重点产业协同合作项目谋划</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[HNMYZX]20250500001[GK]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海南自贸港深化长三角重点产业协同合作项目谋划</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自合同签订之日起计算5个月。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1.本项目发布媒体为：中国政府采购网（网址www.ccgp.gov.cn）、海南省政府采购网(网址https://ccgp-hainan.gov.cn/maincms-web/)。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7. 本项目支持《政府采购促进中小企业发展管理办法》、《财政部印发通知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海南省绿色产品政府采购实施意见（试行）》的通知》、《海南省财政厅 海南省工业和信息化厅关于落实超常规举措加大对中小企业政府采购支持的通知》等相关政策。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海南省发展和改革委员会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海南省海口市国兴大道9号省政府8楼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覃先生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089865330752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海南明毅咨询项目管理有限公司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海南省海口市美兰区蓝天路12-1号国机中洋公馆2号楼2-501房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0898-66756837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招标代理服务费参照《海南省物价局关于降低部分招标代理服务收费标准的通知》琼价费管[2011]225号文中的服务类收费标准下浮20%计取，以中标金额为基数计算招标代理服务费，在发出中标通知书后7个工作日内由中标供应商一次性向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2.供应商如遇技术问题自行联系海南省政府采购智慧云平台客服。 3.评标委员会由1名采购单位代表和4名评审专家组成。</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联系电话：0898-66756837</w:t>
      </w:r>
    </w:p>
    <w:p>
      <w:pPr>
        <w:pStyle w:val="null3"/>
        <w:jc w:val="left"/>
      </w:pPr>
      <w:r>
        <w:rPr>
          <w:rFonts w:ascii="仿宋_GB2312" w:hAnsi="仿宋_GB2312" w:cs="仿宋_GB2312" w:eastAsia="仿宋_GB2312"/>
        </w:rPr>
        <w:t>地址：海南省海口市美兰区蓝天路12-1号国机中洋公馆2号楼2-501房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rPr>
        <w:t>结合海南自由贸易港资源、政策等优势，和现有产业基础，深入研究与长三角地区合作方向，聚焦重点产业领域，谋划一批跨省合作项目。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C20039900-其他咨询服务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C20039900-其他咨询服务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标的名称：C20039900-其他咨询服务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★标识项为必须满足项，不满足按无效投标处理。</w:t>
            </w:r>
          </w:p>
          <w:p>
            <w:pPr>
              <w:pStyle w:val="null3"/>
              <w:jc w:val="left"/>
            </w:pPr>
            <w:r>
              <w:rPr>
                <w:rFonts w:ascii="仿宋_GB2312" w:hAnsi="仿宋_GB2312" w:cs="仿宋_GB2312" w:eastAsia="仿宋_GB2312"/>
              </w:rPr>
              <w:t>★标识项为：</w:t>
            </w:r>
          </w:p>
          <w:p>
            <w:pPr>
              <w:pStyle w:val="null3"/>
              <w:jc w:val="left"/>
            </w:pPr>
            <w:r>
              <w:rPr>
                <w:rFonts w:ascii="仿宋_GB2312" w:hAnsi="仿宋_GB2312" w:cs="仿宋_GB2312" w:eastAsia="仿宋_GB2312"/>
              </w:rPr>
              <w:t>★一、谋划内容</w:t>
            </w:r>
          </w:p>
          <w:p>
            <w:pPr>
              <w:pStyle w:val="null3"/>
              <w:jc w:val="left"/>
            </w:pPr>
            <w:r>
              <w:rPr>
                <w:rFonts w:ascii="仿宋_GB2312" w:hAnsi="仿宋_GB2312" w:cs="仿宋_GB2312" w:eastAsia="仿宋_GB2312"/>
              </w:rPr>
              <w:t>项目谋划思路：系统推动海南和内地省际项目谋划全过程谋划，可以从三个方面寻找突破口：一是充分研究国家</w:t>
            </w:r>
            <w:r>
              <w:rPr>
                <w:rFonts w:ascii="仿宋_GB2312" w:hAnsi="仿宋_GB2312" w:cs="仿宋_GB2312" w:eastAsia="仿宋_GB2312"/>
              </w:rPr>
              <w:t>“两重两新”政策，研究国债、专项债、中央预算内投资要求谋划项目；二是充分了解海南自贸港与内地省份在政策、产业基础、技术等方面的优势，重点聚焦“海南所需、外省所能”，突出自贸港政策优势，从资源交换与合作共赢角度能找到项目联动的突破口；三是调动各平台、部门主观能动性，在项目顶层设计上形成战略共识，“自上而下”形成全面系统推动力，进行项目谋划。</w:t>
            </w:r>
          </w:p>
          <w:p>
            <w:pPr>
              <w:pStyle w:val="null3"/>
              <w:jc w:val="left"/>
            </w:pPr>
            <w:r>
              <w:rPr>
                <w:rFonts w:ascii="仿宋_GB2312" w:hAnsi="仿宋_GB2312" w:cs="仿宋_GB2312" w:eastAsia="仿宋_GB2312"/>
              </w:rPr>
              <w:t>项目谋划领域：符合海南</w:t>
            </w:r>
            <w:r>
              <w:rPr>
                <w:rFonts w:ascii="仿宋_GB2312" w:hAnsi="仿宋_GB2312" w:cs="仿宋_GB2312" w:eastAsia="仿宋_GB2312"/>
              </w:rPr>
              <w:t>“4+3+3”产业体系。</w:t>
            </w:r>
          </w:p>
          <w:p>
            <w:pPr>
              <w:pStyle w:val="null3"/>
              <w:jc w:val="left"/>
            </w:pPr>
            <w:r>
              <w:rPr>
                <w:rFonts w:ascii="仿宋_GB2312" w:hAnsi="仿宋_GB2312" w:cs="仿宋_GB2312" w:eastAsia="仿宋_GB2312"/>
              </w:rPr>
              <w:t>★二、成果形式</w:t>
            </w:r>
          </w:p>
          <w:p>
            <w:pPr>
              <w:pStyle w:val="null3"/>
              <w:jc w:val="left"/>
            </w:pPr>
            <w:r>
              <w:rPr>
                <w:rFonts w:ascii="仿宋_GB2312" w:hAnsi="仿宋_GB2312" w:cs="仿宋_GB2312" w:eastAsia="仿宋_GB2312"/>
              </w:rPr>
              <w:t>结合海南自由贸易港资源、政策等优势，和现有产业基础，深入研究跨省区域合作方向，聚焦重点产业领域，谋划一批跨省合作项目，项目数量不少于</w:t>
            </w:r>
            <w:r>
              <w:rPr>
                <w:rFonts w:ascii="仿宋_GB2312" w:hAnsi="仿宋_GB2312" w:cs="仿宋_GB2312" w:eastAsia="仿宋_GB2312"/>
              </w:rPr>
              <w:t>10个，投资总额不小于50亿元，形成谋划思路报告和合作项目清单，并于12月底前助力至少1个标志性项目落地。</w:t>
            </w:r>
          </w:p>
          <w:p>
            <w:pPr>
              <w:pStyle w:val="null3"/>
              <w:jc w:val="left"/>
            </w:pPr>
            <w:r>
              <w:rPr>
                <w:rFonts w:ascii="仿宋_GB2312" w:hAnsi="仿宋_GB2312" w:cs="仿宋_GB2312" w:eastAsia="仿宋_GB2312"/>
              </w:rPr>
              <w:t>★三、工作计划</w:t>
            </w:r>
          </w:p>
          <w:p>
            <w:pPr>
              <w:pStyle w:val="null3"/>
              <w:jc w:val="left"/>
            </w:pPr>
            <w:r>
              <w:rPr>
                <w:rFonts w:ascii="仿宋_GB2312" w:hAnsi="仿宋_GB2312" w:cs="仿宋_GB2312" w:eastAsia="仿宋_GB2312"/>
              </w:rPr>
              <w:t>在服务期限内，根据项目谋划研究任务，按以下工作流程开展工作：</w:t>
            </w:r>
          </w:p>
          <w:p>
            <w:pPr>
              <w:pStyle w:val="null3"/>
              <w:jc w:val="left"/>
            </w:pPr>
            <w:r>
              <w:rPr>
                <w:rFonts w:ascii="仿宋_GB2312" w:hAnsi="仿宋_GB2312" w:cs="仿宋_GB2312" w:eastAsia="仿宋_GB2312"/>
              </w:rPr>
              <w:t>（一）接受任务。与委托单位密切配合，组织精干力量和行业资深专家组成研究团队，</w:t>
            </w:r>
            <w:r>
              <w:rPr>
                <w:rFonts w:ascii="仿宋_GB2312" w:hAnsi="仿宋_GB2312" w:cs="仿宋_GB2312" w:eastAsia="仿宋_GB2312"/>
              </w:rPr>
              <w:t>5个月赴海南省相关市县、长三角地区开展现场调研，了解相关经济社会、资源环境、产业发展等发展现状。</w:t>
            </w:r>
          </w:p>
          <w:p>
            <w:pPr>
              <w:pStyle w:val="null3"/>
              <w:jc w:val="left"/>
            </w:pPr>
            <w:r>
              <w:rPr>
                <w:rFonts w:ascii="仿宋_GB2312" w:hAnsi="仿宋_GB2312" w:cs="仿宋_GB2312" w:eastAsia="仿宋_GB2312"/>
              </w:rPr>
              <w:t>（二）完成谋划思路，并结合海南自由贸易港资源、政策等优势，和现有产业基础，深入研究跨省区域合作方向，围绕重点产业领域谋划不少于</w:t>
            </w:r>
            <w:r>
              <w:rPr>
                <w:rFonts w:ascii="仿宋_GB2312" w:hAnsi="仿宋_GB2312" w:cs="仿宋_GB2312" w:eastAsia="仿宋_GB2312"/>
              </w:rPr>
              <w:t>10个项目，投资总额不小于50亿元，形成谋划思路报告和合作项目清单，并于12月底前至少1个标志性项目完成落地（投资主体与地方政府政府签约）。</w:t>
            </w:r>
          </w:p>
          <w:p>
            <w:pPr>
              <w:pStyle w:val="null3"/>
              <w:jc w:val="left"/>
            </w:pPr>
            <w:r>
              <w:rPr>
                <w:rFonts w:ascii="仿宋_GB2312" w:hAnsi="仿宋_GB2312" w:cs="仿宋_GB2312" w:eastAsia="仿宋_GB2312"/>
              </w:rPr>
              <w:t>（三）征求意见和修改阶段，向海南省发展改革委合作交流处汇报谋划成果，征求相关职能部门和市县意见，对谋划项目进一步修改完善。</w:t>
            </w:r>
          </w:p>
          <w:p>
            <w:pPr>
              <w:pStyle w:val="null3"/>
              <w:jc w:val="left"/>
            </w:pPr>
            <w:r>
              <w:rPr>
                <w:rFonts w:ascii="仿宋_GB2312" w:hAnsi="仿宋_GB2312" w:cs="仿宋_GB2312" w:eastAsia="仿宋_GB2312"/>
              </w:rPr>
              <w:t>（四）根据工作需要，动态开展谋划项目的筛选评估、梳理分析等工作。</w:t>
            </w:r>
          </w:p>
          <w:p>
            <w:pPr>
              <w:pStyle w:val="null3"/>
              <w:jc w:val="left"/>
            </w:pPr>
            <w:r>
              <w:rPr>
                <w:rFonts w:ascii="仿宋_GB2312" w:hAnsi="仿宋_GB2312" w:cs="仿宋_GB2312" w:eastAsia="仿宋_GB2312"/>
              </w:rPr>
              <w:t>★四、服务期限</w:t>
            </w:r>
          </w:p>
          <w:p>
            <w:pPr>
              <w:pStyle w:val="null3"/>
              <w:jc w:val="left"/>
            </w:pPr>
            <w:r>
              <w:rPr>
                <w:rFonts w:ascii="仿宋_GB2312" w:hAnsi="仿宋_GB2312" w:cs="仿宋_GB2312" w:eastAsia="仿宋_GB2312"/>
              </w:rPr>
              <w:t>本次合作服务期限为</w:t>
            </w:r>
            <w:r>
              <w:rPr>
                <w:rFonts w:ascii="仿宋_GB2312" w:hAnsi="仿宋_GB2312" w:cs="仿宋_GB2312" w:eastAsia="仿宋_GB2312"/>
              </w:rPr>
              <w:t>5个月。</w:t>
            </w:r>
          </w:p>
          <w:p>
            <w:pPr>
              <w:pStyle w:val="null3"/>
              <w:jc w:val="left"/>
            </w:pPr>
            <w:r>
              <w:rPr>
                <w:rFonts w:ascii="仿宋_GB2312" w:hAnsi="仿宋_GB2312" w:cs="仿宋_GB2312" w:eastAsia="仿宋_GB2312"/>
              </w:rPr>
              <w:t>★五、工作团队</w:t>
            </w:r>
          </w:p>
          <w:p>
            <w:pPr>
              <w:pStyle w:val="null3"/>
              <w:jc w:val="left"/>
            </w:pPr>
            <w:r>
              <w:rPr>
                <w:rFonts w:ascii="仿宋_GB2312" w:hAnsi="仿宋_GB2312" w:cs="仿宋_GB2312" w:eastAsia="仿宋_GB2312"/>
              </w:rPr>
              <w:t>本次工作要求服务的咨询机构组建项目工作组，主要分为协调小组、工作小组和核心专家团队，根据委托方需求和服务需要及时调配省内外专家为本次服务提供高水平智力支撑。</w:t>
            </w:r>
          </w:p>
          <w:p>
            <w:pPr>
              <w:pStyle w:val="null3"/>
              <w:jc w:val="left"/>
            </w:pPr>
            <w:r>
              <w:rPr>
                <w:rFonts w:ascii="仿宋_GB2312" w:hAnsi="仿宋_GB2312" w:cs="仿宋_GB2312" w:eastAsia="仿宋_GB2312"/>
              </w:rPr>
              <w:t>（一）谋划工作小组</w:t>
            </w:r>
          </w:p>
          <w:p>
            <w:pPr>
              <w:pStyle w:val="null3"/>
              <w:jc w:val="left"/>
            </w:pPr>
            <w:r>
              <w:rPr>
                <w:rFonts w:ascii="仿宋_GB2312" w:hAnsi="仿宋_GB2312" w:cs="仿宋_GB2312" w:eastAsia="仿宋_GB2312"/>
              </w:rPr>
              <w:t>负责人：由咨询机构选派具有丰富项目经验的专家作为项目负责人。</w:t>
            </w:r>
          </w:p>
          <w:p>
            <w:pPr>
              <w:pStyle w:val="null3"/>
              <w:jc w:val="left"/>
            </w:pPr>
            <w:r>
              <w:rPr>
                <w:rFonts w:ascii="仿宋_GB2312" w:hAnsi="仿宋_GB2312" w:cs="仿宋_GB2312" w:eastAsia="仿宋_GB2312"/>
              </w:rPr>
              <w:t>组员：项目组成员将按研究领域和行业细分为具体的项目谋划工作小组，并视研究需求增加人员。</w:t>
            </w:r>
          </w:p>
          <w:p>
            <w:pPr>
              <w:pStyle w:val="null3"/>
              <w:jc w:val="left"/>
            </w:pPr>
            <w:r>
              <w:rPr>
                <w:rFonts w:ascii="仿宋_GB2312" w:hAnsi="仿宋_GB2312" w:cs="仿宋_GB2312" w:eastAsia="仿宋_GB2312"/>
              </w:rPr>
              <w:t>（二）驻场服务保障小组</w:t>
            </w:r>
          </w:p>
          <w:p>
            <w:pPr>
              <w:pStyle w:val="null3"/>
              <w:jc w:val="left"/>
            </w:pPr>
            <w:r>
              <w:rPr>
                <w:rFonts w:ascii="仿宋_GB2312" w:hAnsi="仿宋_GB2312" w:cs="仿宋_GB2312" w:eastAsia="仿宋_GB2312"/>
              </w:rPr>
              <w:t>项目业务骨干与相关领域专家提供现场技术服务，视工作情况安排</w:t>
            </w:r>
            <w:r>
              <w:rPr>
                <w:rFonts w:ascii="仿宋_GB2312" w:hAnsi="仿宋_GB2312" w:cs="仿宋_GB2312" w:eastAsia="仿宋_GB2312"/>
              </w:rPr>
              <w:t>1人以上驻场工作。</w:t>
            </w:r>
          </w:p>
          <w:p>
            <w:pPr>
              <w:pStyle w:val="null3"/>
              <w:jc w:val="left"/>
            </w:pPr>
            <w:r>
              <w:rPr>
                <w:rFonts w:ascii="仿宋_GB2312" w:hAnsi="仿宋_GB2312" w:cs="仿宋_GB2312" w:eastAsia="仿宋_GB2312"/>
              </w:rPr>
              <w:t>（三）专家团队</w:t>
            </w:r>
          </w:p>
          <w:p>
            <w:pPr>
              <w:pStyle w:val="null3"/>
              <w:jc w:val="both"/>
            </w:pPr>
            <w:r>
              <w:rPr>
                <w:rFonts w:ascii="仿宋_GB2312" w:hAnsi="仿宋_GB2312" w:cs="仿宋_GB2312" w:eastAsia="仿宋_GB2312"/>
                <w:sz w:val="21"/>
              </w:rPr>
              <w:t>根据我办需求和服务需要及时调配省内外专家及联合必要的协作机构为本次服务提供高水平智力支撑。</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★标识项为必须满足项，不满足按无效投标处理。</w:t>
            </w:r>
          </w:p>
          <w:p>
            <w:pPr>
              <w:pStyle w:val="null3"/>
              <w:jc w:val="left"/>
            </w:pPr>
            <w:r>
              <w:rPr>
                <w:rFonts w:ascii="仿宋_GB2312" w:hAnsi="仿宋_GB2312" w:cs="仿宋_GB2312" w:eastAsia="仿宋_GB2312"/>
              </w:rPr>
              <w:t>★标识项为：</w:t>
            </w:r>
          </w:p>
          <w:p>
            <w:pPr>
              <w:pStyle w:val="null3"/>
              <w:jc w:val="both"/>
            </w:pPr>
            <w:r>
              <w:rPr>
                <w:rFonts w:ascii="仿宋_GB2312" w:hAnsi="仿宋_GB2312" w:cs="仿宋_GB2312" w:eastAsia="仿宋_GB2312"/>
                <w:sz w:val="21"/>
              </w:rPr>
              <w:t>①合同履行期限：自合同签订之日起计算5个月。②服务地点：采购人指定地点。 ③质量标准：符合国家、地方和行业的相关政策、法规。④验收标准：按海南省财政厅印发《海南省政府采购履约验收管理暂行办法》（琼财采规〔2023〕16号）要求及合同进行验收。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其他承诺函 中小企业声明函 商务应答表 自觉抵制政府采购领域商业贿赂行为承诺书 封面 商业信誉、财务会计制度、缴纳税收和社保的承诺函 具有独立承担民事责任的能力证明文件 投标人承诺函 符合法律、行政法规规定的其他条件承诺函 联合体协议书（如有） 其他材料 投标（响应）报价明细表 残疾人福利性单位声明函 供应商应提交的相关证明材料 拟投入本项目团队成员一览表 无重大违法记录声明函 无不良信用记录承诺函 法定代表人资格证明书或法定代表人授权委托书 类似业绩一览表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其他承诺函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项目总体实施方案</w:t>
            </w:r>
          </w:p>
        </w:tc>
        <w:tc>
          <w:tcPr>
            <w:tcW w:type="dxa" w:w="2492"/>
          </w:tcPr>
          <w:p>
            <w:pPr>
              <w:pStyle w:val="null3"/>
              <w:jc w:val="both"/>
            </w:pPr>
            <w:r>
              <w:rPr>
                <w:rFonts w:ascii="仿宋_GB2312" w:hAnsi="仿宋_GB2312" w:cs="仿宋_GB2312" w:eastAsia="仿宋_GB2312"/>
              </w:rPr>
              <w:t>评标委员会根据投标人针对本项目提供的项目总体实施方案进行综合评审，方案应包括但不限于：1.需求背景及相关政策的分析；2.开展谋划工作的思路和工作规划；3.谋划目标及总体定位；4.谋划内容及对应的实施方案；5.成果文件包含的内容；方案内容齐全得15分，以上5项中每缺少一项的扣3分，每项中内容存在缺陷或不符且不利于项目实施的扣1分，扣完为止。备注：缺陷或不符且不利于项目实施的是指存在不适用项目实际情况的情形、凭空编造、方案中内容前后不一致、前后逻辑错误、涉及的规范及标准错误、地点区域错误、内容缺失不符合项目实际情况等。</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项目实施重点、难点分析及应对措施</w:t>
            </w:r>
          </w:p>
        </w:tc>
        <w:tc>
          <w:tcPr>
            <w:tcW w:type="dxa" w:w="2492"/>
          </w:tcPr>
          <w:p>
            <w:pPr>
              <w:pStyle w:val="null3"/>
              <w:jc w:val="both"/>
            </w:pPr>
            <w:r>
              <w:rPr>
                <w:rFonts w:ascii="仿宋_GB2312" w:hAnsi="仿宋_GB2312" w:cs="仿宋_GB2312" w:eastAsia="仿宋_GB2312"/>
              </w:rPr>
              <w:t>评标委员会根据投标人针对本项目提供的项目实施重点、难点分析及应对措施进行综合评审，内容应包括但不限于：1.跨省合作发展新机制；2.上级资金争取措施；3.各区域间资源配置；4.潜在风险分析（政策变动、市场波动等）及应对措施；5.要素资源和收益分配机制等；方案内容齐全得15分，以上5项中每缺少一项的扣3分，每项中内容存在缺陷或不符且不利于项目实施的扣1分，扣完为止。备注：缺陷或不符且不利于项目实施的是指存在不适用项目实际情况的情形、凭空编造、方案中内容前后不一致、前后逻辑错误、涉及的规范及标准错误、地点区域错误、内容缺失不符合项目实际情况等。</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人员组织方案及进度计划</w:t>
            </w:r>
          </w:p>
        </w:tc>
        <w:tc>
          <w:tcPr>
            <w:tcW w:type="dxa" w:w="2492"/>
          </w:tcPr>
          <w:p>
            <w:pPr>
              <w:pStyle w:val="null3"/>
              <w:jc w:val="both"/>
            </w:pPr>
            <w:r>
              <w:rPr>
                <w:rFonts w:ascii="仿宋_GB2312" w:hAnsi="仿宋_GB2312" w:cs="仿宋_GB2312" w:eastAsia="仿宋_GB2312"/>
              </w:rPr>
              <w:t>评标委员会根据投标人针对本项目提供的人员组织方案及进度计划进行综合评审，内容应包括但不限于：1.人员组织架构；2.各岗位职责及工作内容；3.项目部署与启动；4.资料收集与调研计划；5.初稿编制、成果编制及结题工作计划等；方案内容齐全得10分，以上5项中每缺少一项的扣2分，每项中内容存在缺陷或不符且不利于项目实施的扣1分，扣完为止。备注：缺陷或不符且不利于项目实施的是指存在不适用项目实际情况的情形、凭空编造、方案中内容前后不一致、前后逻辑错误、涉及的规范及标准错误、地点区域错误、内容缺失不符合项目实际情况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内控制度及质量保证方案</w:t>
            </w:r>
          </w:p>
        </w:tc>
        <w:tc>
          <w:tcPr>
            <w:tcW w:type="dxa" w:w="2492"/>
          </w:tcPr>
          <w:p>
            <w:pPr>
              <w:pStyle w:val="null3"/>
              <w:jc w:val="both"/>
            </w:pPr>
            <w:r>
              <w:rPr>
                <w:rFonts w:ascii="仿宋_GB2312" w:hAnsi="仿宋_GB2312" w:cs="仿宋_GB2312" w:eastAsia="仿宋_GB2312"/>
              </w:rPr>
              <w:t>评标委员会根据投标人针对本项目提供的内控制度及质量保证方案进行综合评审，内容应包括但不限于：1.企业内部审核机制；2.数据准确性、完整性等质量承诺；3.服务响应及服务保证措施；4.组织调研及专家研究工作；5.质量缺陷违约承诺及成果保密廉洁制度等；方案内容齐全得10分，以上5项中每缺少一项的扣2分，每项中内容存在缺陷或不符且不利于项目实施的扣1分，扣完为止。备注：缺陷或不符且不利于项目实施的是指存在不适用项目实际情况的情形、凭空编造、方案中内容前后不一致、前后逻辑错误、涉及的规范及标准错误、地点区域错误、内容缺失不符合项目实际情况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投标人须提供2021年1月1日至投标截止日内（以合同签订时间为准）与本项目类似的政策谋划或政策研究等咨询业绩，每提供1项得4分，此项最多得20分。 证明材料：投标人须提供类似业绩的合同或相关证明材料复印件并加盖投标人公章。合同须包含合同内容、时间及盖章等关键页。合同关键页须体现类似业绩，未体现的提供相关佐证材料，未按要求提供不得分。（注：若为联合体投标，可提供联合体成员的业绩，加盖联合体牵头人单位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类似业绩一览表</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投标人为本项目配备1名项目负责人，项目负责人具有咨询工程师（投资）得2分；同时具有高级职称加2分，同时具有正高级（含以上）职称加3分。 此项最高得分为5分。证明材料：投标人须提供项目负责人相关证书及2025年1月至投标截止日内任意3个月在本单位缴纳的社保证明材料，如退休人员请提供相关退休证明文件以及劳动（劳务）合同，否则不得分。（注：若为联合体投标，加盖联合体牵头人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拟投入本项目团队成员一览表</w:t>
            </w:r>
          </w:p>
        </w:tc>
      </w:tr>
      <w:tr>
        <w:tc>
          <w:tcPr>
            <w:tcW w:type="dxa" w:w="831"/>
            <w:vMerge/>
          </w:tcPr>
          <w:p/>
        </w:tc>
        <w:tc>
          <w:tcPr>
            <w:tcW w:type="dxa" w:w="1661"/>
          </w:tcPr>
          <w:p>
            <w:pPr>
              <w:pStyle w:val="null3"/>
              <w:jc w:val="both"/>
            </w:pPr>
            <w:r>
              <w:rPr>
                <w:rFonts w:ascii="仿宋_GB2312" w:hAnsi="仿宋_GB2312" w:cs="仿宋_GB2312" w:eastAsia="仿宋_GB2312"/>
              </w:rPr>
              <w:t>项目团队成员（项目负责人外）</w:t>
            </w:r>
          </w:p>
        </w:tc>
        <w:tc>
          <w:tcPr>
            <w:tcW w:type="dxa" w:w="2492"/>
          </w:tcPr>
          <w:p>
            <w:pPr>
              <w:pStyle w:val="null3"/>
              <w:jc w:val="both"/>
            </w:pPr>
            <w:r>
              <w:rPr>
                <w:rFonts w:ascii="仿宋_GB2312" w:hAnsi="仿宋_GB2312" w:cs="仿宋_GB2312" w:eastAsia="仿宋_GB2312"/>
              </w:rPr>
              <w:t>①每有1人具有咨询工程师（投资）或高级职称得2分，此项满分10分； ②每有1人具有正高级（含以上）职称得3分，此项满分15分。 注：同一人同时具备上述①和②的不能重复得分，1人最多得3分，本项满分共15分。 证明材料：投标人须提供项目团队成员相关证书及2025年1月至投标截止日内任意3个月在本单位缴纳的社保证明材料，如退休人员请提供相关退休证明文件以及劳动（劳务）合同，否则不得分。（注：若为联合体投标，加盖联合体牵头人单位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拟投入本项目团队成员一览表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4.00%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[HNMYZX]20250500001[GK]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海南自贸港深化长三角重点产业协同合作项目谋划</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海南自贸港深化长三角重点产业协同合作项目谋划</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C20039900-其他咨询服务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w:t>
      </w:r>
    </w:p>
    <w:p>
      <w:pPr>
        <w:pStyle w:val="null3"/>
        <w:jc w:val="left"/>
      </w:pPr>
      <w:r>
        <w:rPr>
          <w:rFonts w:ascii="仿宋_GB2312" w:hAnsi="仿宋_GB2312" w:cs="仿宋_GB2312" w:eastAsia="仿宋_GB2312"/>
        </w:rPr>
        <w:t>1、交付（服务）地点：采购人指定地点。</w:t>
      </w:r>
    </w:p>
    <w:p>
      <w:pPr>
        <w:pStyle w:val="null3"/>
        <w:jc w:val="left"/>
      </w:pPr>
      <w:r>
        <w:rPr>
          <w:rFonts w:ascii="仿宋_GB2312" w:hAnsi="仿宋_GB2312" w:cs="仿宋_GB2312" w:eastAsia="仿宋_GB2312"/>
        </w:rPr>
        <w:t>2、投标有效期：提交投标文件截止之日起90日历天。</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详见附件：拟投入本项目团队成员一览表</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详见附件：类似业绩一览表</w:t>
      </w:r>
    </w:p>
    <w:p>
      <w:pPr>
        <w:pStyle w:val="null3"/>
        <w:ind w:firstLine="960"/>
        <w:jc w:val="left"/>
      </w:pPr>
      <w:r>
        <w:rPr>
          <w:rFonts w:ascii="仿宋_GB2312" w:hAnsi="仿宋_GB2312" w:cs="仿宋_GB2312" w:eastAsia="仿宋_GB2312"/>
        </w:rPr>
        <w:t>详见附件：联合体协议书（如有）</w:t>
      </w:r>
    </w:p>
    <w:p>
      <w:pPr>
        <w:pStyle w:val="null3"/>
        <w:ind w:firstLine="960"/>
        <w:jc w:val="left"/>
      </w:pPr>
      <w:r>
        <w:rPr>
          <w:rFonts w:ascii="仿宋_GB2312" w:hAnsi="仿宋_GB2312" w:cs="仿宋_GB2312" w:eastAsia="仿宋_GB2312"/>
        </w:rPr>
        <w:t>详见附件：无不良信用记录承诺函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