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A9C15">
      <w:pPr>
        <w:pStyle w:val="9"/>
        <w:jc w:val="center"/>
        <w:outlineLvl w:val="1"/>
        <w:rPr>
          <w:rFonts w:hint="default"/>
          <w:color w:val="auto"/>
        </w:rPr>
      </w:pPr>
      <w:r>
        <w:rPr>
          <w:rFonts w:ascii="仿宋_GB2312" w:hAnsi="仿宋_GB2312" w:eastAsia="仿宋_GB2312" w:cs="仿宋_GB2312"/>
          <w:b/>
          <w:color w:val="auto"/>
          <w:sz w:val="36"/>
        </w:rPr>
        <w:t>第五章 政府采购合同</w:t>
      </w:r>
    </w:p>
    <w:p w14:paraId="32480A6A">
      <w:pPr>
        <w:spacing w:line="360" w:lineRule="auto"/>
        <w:jc w:val="left"/>
        <w:rPr>
          <w:rFonts w:ascii="仿宋" w:hAnsi="仿宋" w:eastAsia="仿宋" w:cs="仿宋"/>
          <w:b/>
          <w:color w:val="auto"/>
          <w:sz w:val="24"/>
          <w:u w:val="single"/>
        </w:rPr>
      </w:pPr>
      <w:r>
        <w:rPr>
          <w:rFonts w:hint="eastAsia" w:ascii="仿宋" w:hAnsi="仿宋" w:eastAsia="仿宋" w:cs="仿宋"/>
          <w:b/>
          <w:color w:val="auto"/>
          <w:sz w:val="24"/>
        </w:rPr>
        <w:t>合同编号：</w:t>
      </w:r>
      <w:r>
        <w:rPr>
          <w:rFonts w:hint="eastAsia" w:ascii="仿宋" w:hAnsi="仿宋" w:eastAsia="仿宋" w:cs="仿宋"/>
          <w:b/>
          <w:color w:val="auto"/>
          <w:sz w:val="24"/>
          <w:u w:val="single"/>
        </w:rPr>
        <w:t xml:space="preserve">             </w:t>
      </w:r>
    </w:p>
    <w:p w14:paraId="4F660E79">
      <w:pPr>
        <w:spacing w:line="360" w:lineRule="auto"/>
        <w:ind w:right="40" w:firstLine="3480" w:firstLineChars="1450"/>
        <w:jc w:val="left"/>
        <w:rPr>
          <w:rFonts w:ascii="仿宋" w:hAnsi="仿宋" w:eastAsia="仿宋" w:cs="仿宋"/>
          <w:color w:val="auto"/>
          <w:sz w:val="24"/>
        </w:rPr>
      </w:pPr>
    </w:p>
    <w:p w14:paraId="413D945A">
      <w:pPr>
        <w:spacing w:line="360" w:lineRule="auto"/>
        <w:ind w:right="40" w:firstLine="3480" w:firstLineChars="1450"/>
        <w:jc w:val="left"/>
        <w:rPr>
          <w:rFonts w:ascii="仿宋" w:hAnsi="仿宋" w:eastAsia="仿宋" w:cs="仿宋"/>
          <w:color w:val="auto"/>
          <w:sz w:val="24"/>
        </w:rPr>
      </w:pPr>
    </w:p>
    <w:p w14:paraId="572CE031">
      <w:pPr>
        <w:spacing w:line="360" w:lineRule="auto"/>
        <w:rPr>
          <w:rFonts w:ascii="仿宋" w:hAnsi="仿宋" w:eastAsia="仿宋" w:cs="仿宋"/>
          <w:b/>
          <w:color w:val="auto"/>
          <w:sz w:val="24"/>
        </w:rPr>
      </w:pPr>
    </w:p>
    <w:p w14:paraId="011B662F">
      <w:pPr>
        <w:spacing w:line="360" w:lineRule="auto"/>
        <w:jc w:val="center"/>
        <w:rPr>
          <w:rFonts w:ascii="仿宋" w:hAnsi="仿宋" w:eastAsia="仿宋" w:cs="仿宋"/>
          <w:b/>
          <w:color w:val="auto"/>
          <w:sz w:val="24"/>
        </w:rPr>
      </w:pPr>
      <w:r>
        <w:rPr>
          <w:rFonts w:hint="eastAsia" w:ascii="仿宋" w:hAnsi="仿宋" w:eastAsia="仿宋" w:cs="仿宋"/>
          <w:b/>
          <w:color w:val="auto"/>
          <w:sz w:val="24"/>
        </w:rPr>
        <w:t>合同主要条款</w:t>
      </w:r>
    </w:p>
    <w:p w14:paraId="58716C77">
      <w:pPr>
        <w:spacing w:line="360" w:lineRule="auto"/>
        <w:jc w:val="center"/>
        <w:rPr>
          <w:rFonts w:ascii="仿宋" w:hAnsi="仿宋" w:eastAsia="仿宋" w:cs="仿宋"/>
          <w:b/>
          <w:color w:val="auto"/>
          <w:sz w:val="24"/>
        </w:rPr>
      </w:pPr>
    </w:p>
    <w:p w14:paraId="03A3C244">
      <w:pPr>
        <w:spacing w:line="360" w:lineRule="auto"/>
        <w:jc w:val="center"/>
        <w:rPr>
          <w:rFonts w:ascii="仿宋" w:hAnsi="仿宋" w:eastAsia="仿宋" w:cs="仿宋"/>
          <w:b/>
          <w:color w:val="auto"/>
          <w:sz w:val="24"/>
        </w:rPr>
      </w:pPr>
    </w:p>
    <w:p w14:paraId="3665920D">
      <w:pPr>
        <w:spacing w:line="360" w:lineRule="auto"/>
        <w:ind w:firstLine="1193" w:firstLineChars="495"/>
        <w:rPr>
          <w:rFonts w:ascii="仿宋" w:hAnsi="仿宋" w:eastAsia="仿宋" w:cs="仿宋"/>
          <w:b/>
          <w:color w:val="auto"/>
          <w:sz w:val="24"/>
        </w:rPr>
      </w:pPr>
    </w:p>
    <w:p w14:paraId="0D2D849B">
      <w:pPr>
        <w:spacing w:line="360" w:lineRule="auto"/>
        <w:ind w:firstLine="1193" w:firstLineChars="495"/>
        <w:rPr>
          <w:rFonts w:ascii="仿宋" w:hAnsi="仿宋" w:eastAsia="仿宋" w:cs="仿宋"/>
          <w:b/>
          <w:color w:val="auto"/>
          <w:sz w:val="24"/>
        </w:rPr>
      </w:pPr>
    </w:p>
    <w:p w14:paraId="534C2075">
      <w:pPr>
        <w:tabs>
          <w:tab w:val="left" w:pos="1260"/>
          <w:tab w:val="left" w:pos="1620"/>
          <w:tab w:val="left" w:pos="6840"/>
          <w:tab w:val="left" w:pos="7020"/>
          <w:tab w:val="left" w:pos="7200"/>
        </w:tabs>
        <w:adjustRightInd w:val="0"/>
        <w:spacing w:line="360" w:lineRule="auto"/>
        <w:ind w:right="-338" w:rightChars="-161" w:firstLine="1446" w:firstLineChars="600"/>
        <w:rPr>
          <w:rFonts w:ascii="仿宋" w:hAnsi="仿宋" w:eastAsia="仿宋" w:cs="仿宋"/>
          <w:b/>
          <w:color w:val="auto"/>
          <w:sz w:val="24"/>
        </w:rPr>
      </w:pPr>
      <w:r>
        <w:rPr>
          <w:rFonts w:hint="eastAsia" w:ascii="仿宋" w:hAnsi="仿宋" w:eastAsia="仿宋" w:cs="仿宋"/>
          <w:b/>
          <w:color w:val="auto"/>
          <w:sz w:val="24"/>
        </w:rPr>
        <w:t>项目名称：</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7C72B90F">
      <w:pPr>
        <w:tabs>
          <w:tab w:val="left" w:pos="1260"/>
          <w:tab w:val="left" w:pos="1620"/>
          <w:tab w:val="left" w:pos="6840"/>
          <w:tab w:val="left" w:pos="7020"/>
          <w:tab w:val="left" w:pos="7200"/>
        </w:tabs>
        <w:adjustRightInd w:val="0"/>
        <w:spacing w:line="360" w:lineRule="auto"/>
        <w:ind w:right="-338" w:rightChars="-161" w:firstLine="1446" w:firstLineChars="600"/>
        <w:rPr>
          <w:rFonts w:ascii="仿宋" w:hAnsi="仿宋" w:eastAsia="仿宋" w:cs="仿宋"/>
          <w:b/>
          <w:color w:val="auto"/>
          <w:sz w:val="24"/>
        </w:rPr>
      </w:pPr>
      <w:r>
        <w:rPr>
          <w:rFonts w:hint="eastAsia" w:ascii="仿宋" w:hAnsi="仿宋" w:eastAsia="仿宋" w:cs="仿宋"/>
          <w:b/>
          <w:color w:val="auto"/>
          <w:sz w:val="24"/>
        </w:rPr>
        <w:t>项目编号：</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07D40199">
      <w:pPr>
        <w:tabs>
          <w:tab w:val="left" w:pos="1260"/>
          <w:tab w:val="left" w:pos="1620"/>
          <w:tab w:val="left" w:pos="6840"/>
          <w:tab w:val="left" w:pos="7020"/>
          <w:tab w:val="left" w:pos="7200"/>
        </w:tabs>
        <w:adjustRightInd w:val="0"/>
        <w:spacing w:line="360" w:lineRule="auto"/>
        <w:ind w:right="-338" w:rightChars="-161" w:firstLine="1446" w:firstLineChars="600"/>
        <w:rPr>
          <w:rFonts w:ascii="仿宋" w:hAnsi="仿宋" w:eastAsia="仿宋" w:cs="仿宋"/>
          <w:b/>
          <w:color w:val="auto"/>
          <w:sz w:val="24"/>
        </w:rPr>
      </w:pPr>
      <w:r>
        <w:rPr>
          <w:rFonts w:hint="eastAsia" w:ascii="仿宋" w:hAnsi="仿宋" w:eastAsia="仿宋" w:cs="仿宋"/>
          <w:b/>
          <w:color w:val="auto"/>
          <w:sz w:val="24"/>
        </w:rPr>
        <w:t>甲    方：</w:t>
      </w:r>
      <w:r>
        <w:rPr>
          <w:rFonts w:hint="eastAsia" w:ascii="仿宋" w:hAnsi="仿宋" w:eastAsia="仿宋" w:cs="仿宋"/>
          <w:b/>
          <w:color w:val="auto"/>
          <w:sz w:val="24"/>
          <w:u w:val="single"/>
        </w:rPr>
        <w:t xml:space="preserve"> 海南经贸职业技术学院  </w:t>
      </w:r>
      <w:r>
        <w:rPr>
          <w:rFonts w:hint="eastAsia" w:ascii="仿宋" w:hAnsi="仿宋" w:eastAsia="仿宋" w:cs="仿宋"/>
          <w:b/>
          <w:color w:val="auto"/>
          <w:sz w:val="24"/>
        </w:rPr>
        <w:t xml:space="preserve">  </w:t>
      </w:r>
    </w:p>
    <w:p w14:paraId="59D3F37E">
      <w:pPr>
        <w:tabs>
          <w:tab w:val="left" w:pos="1260"/>
          <w:tab w:val="left" w:pos="1620"/>
          <w:tab w:val="left" w:pos="6840"/>
          <w:tab w:val="left" w:pos="7020"/>
          <w:tab w:val="left" w:pos="7200"/>
        </w:tabs>
        <w:adjustRightInd w:val="0"/>
        <w:spacing w:line="360" w:lineRule="auto"/>
        <w:ind w:right="-338" w:rightChars="-161" w:firstLine="1446" w:firstLineChars="600"/>
        <w:rPr>
          <w:rFonts w:ascii="仿宋" w:hAnsi="仿宋" w:eastAsia="仿宋" w:cs="仿宋"/>
          <w:b/>
          <w:color w:val="auto"/>
          <w:sz w:val="24"/>
        </w:rPr>
      </w:pPr>
      <w:r>
        <w:rPr>
          <w:rFonts w:hint="eastAsia" w:ascii="仿宋" w:hAnsi="仿宋" w:eastAsia="仿宋" w:cs="仿宋"/>
          <w:b/>
          <w:color w:val="auto"/>
          <w:sz w:val="24"/>
        </w:rPr>
        <w:t>乙    方：</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1B3A6415">
      <w:pPr>
        <w:spacing w:line="360" w:lineRule="auto"/>
        <w:ind w:firstLine="1446" w:firstLineChars="600"/>
        <w:rPr>
          <w:rFonts w:ascii="仿宋" w:hAnsi="仿宋" w:eastAsia="仿宋" w:cs="仿宋"/>
          <w:b/>
          <w:color w:val="auto"/>
          <w:sz w:val="24"/>
        </w:rPr>
      </w:pPr>
      <w:r>
        <w:rPr>
          <w:rFonts w:hint="eastAsia" w:ascii="仿宋" w:hAnsi="仿宋" w:eastAsia="仿宋" w:cs="仿宋"/>
          <w:b/>
          <w:color w:val="auto"/>
          <w:sz w:val="24"/>
        </w:rPr>
        <w:t>签订日期：</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年</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月</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日</w:t>
      </w:r>
    </w:p>
    <w:p w14:paraId="6374D57C">
      <w:pPr>
        <w:spacing w:line="360" w:lineRule="auto"/>
        <w:jc w:val="center"/>
        <w:rPr>
          <w:rFonts w:ascii="仿宋" w:hAnsi="仿宋" w:eastAsia="仿宋" w:cs="仿宋"/>
          <w:b/>
          <w:color w:val="auto"/>
          <w:sz w:val="24"/>
        </w:rPr>
        <w:sectPr>
          <w:headerReference r:id="rId4" w:type="first"/>
          <w:footerReference r:id="rId6" w:type="first"/>
          <w:headerReference r:id="rId3" w:type="default"/>
          <w:footerReference r:id="rId5" w:type="default"/>
          <w:pgSz w:w="11907" w:h="16840"/>
          <w:pgMar w:top="1440" w:right="1077" w:bottom="1440" w:left="1247" w:header="936" w:footer="992" w:gutter="0"/>
          <w:cols w:space="720" w:num="1"/>
          <w:titlePg/>
          <w:docGrid w:linePitch="312" w:charSpace="0"/>
        </w:sectPr>
      </w:pPr>
    </w:p>
    <w:p w14:paraId="0191B9B7">
      <w:pPr>
        <w:pStyle w:val="6"/>
        <w:shd w:val="clear" w:color="auto" w:fill="FFFFFF"/>
        <w:spacing w:before="0" w:beforeAutospacing="0" w:after="0" w:afterAutospacing="0" w:line="520" w:lineRule="exact"/>
        <w:rPr>
          <w:rFonts w:ascii="仿宋" w:hAnsi="仿宋" w:eastAsia="仿宋" w:cs="仿宋"/>
          <w:color w:val="auto"/>
          <w:shd w:val="clear" w:color="auto" w:fill="FFFFFF"/>
        </w:rPr>
      </w:pPr>
      <w:r>
        <w:rPr>
          <w:rStyle w:val="10"/>
          <w:rFonts w:hint="eastAsia" w:ascii="仿宋" w:hAnsi="仿宋" w:eastAsia="仿宋" w:cs="仿宋"/>
          <w:b w:val="0"/>
          <w:bCs w:val="0"/>
          <w:color w:val="auto"/>
          <w:shd w:val="clear" w:color="auto" w:fill="FFFFFF"/>
        </w:rPr>
        <w:t>甲方：</w:t>
      </w:r>
      <w:r>
        <w:rPr>
          <w:rFonts w:hint="eastAsia" w:ascii="仿宋" w:hAnsi="仿宋" w:eastAsia="仿宋" w:cs="仿宋"/>
          <w:color w:val="auto"/>
          <w:shd w:val="clear" w:color="auto" w:fill="FFFFFF"/>
        </w:rPr>
        <w:t>海南经贸职业技术学院</w:t>
      </w:r>
    </w:p>
    <w:p w14:paraId="65B4CDE7">
      <w:pPr>
        <w:pStyle w:val="6"/>
        <w:shd w:val="clear" w:color="auto" w:fill="FFFFFF"/>
        <w:spacing w:before="0" w:beforeAutospacing="0" w:after="0" w:afterAutospacing="0" w:line="520" w:lineRule="exact"/>
        <w:rPr>
          <w:rFonts w:ascii="仿宋" w:hAnsi="仿宋" w:eastAsia="仿宋" w:cs="仿宋"/>
          <w:color w:val="auto"/>
        </w:rPr>
      </w:pPr>
      <w:r>
        <w:rPr>
          <w:rFonts w:hint="eastAsia" w:ascii="仿宋" w:hAnsi="仿宋" w:eastAsia="仿宋" w:cs="仿宋"/>
          <w:color w:val="auto"/>
          <w:shd w:val="clear" w:color="auto" w:fill="FFFFFF"/>
        </w:rPr>
        <w:t>法定代表人：崔昌华，校长</w:t>
      </w:r>
    </w:p>
    <w:p w14:paraId="205D0AF6">
      <w:pPr>
        <w:pStyle w:val="6"/>
        <w:shd w:val="clear" w:color="auto" w:fill="FFFFFF"/>
        <w:spacing w:before="0" w:beforeAutospacing="0" w:after="0" w:afterAutospacing="0" w:line="520" w:lineRule="exact"/>
        <w:ind w:left="4560" w:hanging="4560" w:hangingChars="1900"/>
        <w:rPr>
          <w:rFonts w:ascii="仿宋" w:hAnsi="仿宋" w:eastAsia="仿宋" w:cs="仿宋"/>
          <w:color w:val="auto"/>
          <w:shd w:val="clear" w:color="auto" w:fill="FFFFFF"/>
        </w:rPr>
      </w:pPr>
      <w:r>
        <w:rPr>
          <w:rStyle w:val="10"/>
          <w:rFonts w:hint="eastAsia" w:ascii="仿宋" w:hAnsi="仿宋" w:eastAsia="仿宋" w:cs="仿宋"/>
          <w:b w:val="0"/>
          <w:bCs w:val="0"/>
          <w:color w:val="auto"/>
          <w:shd w:val="clear" w:color="auto" w:fill="FFFFFF"/>
        </w:rPr>
        <w:t>乙方：</w:t>
      </w:r>
    </w:p>
    <w:p w14:paraId="4F3D1E98">
      <w:pPr>
        <w:pStyle w:val="6"/>
        <w:shd w:val="clear" w:color="auto" w:fill="FFFFFF"/>
        <w:spacing w:before="0" w:beforeAutospacing="0" w:after="0" w:afterAutospacing="0" w:line="520" w:lineRule="exact"/>
        <w:rPr>
          <w:rFonts w:ascii="仿宋" w:hAnsi="仿宋" w:eastAsia="仿宋" w:cs="仿宋"/>
          <w:color w:val="auto"/>
        </w:rPr>
      </w:pPr>
      <w:r>
        <w:rPr>
          <w:rFonts w:hint="eastAsia" w:ascii="仿宋" w:hAnsi="仿宋" w:eastAsia="仿宋" w:cs="仿宋"/>
          <w:color w:val="auto"/>
          <w:shd w:val="clear" w:color="auto" w:fill="FFFFFF"/>
        </w:rPr>
        <w:t>法定代表人：</w:t>
      </w:r>
    </w:p>
    <w:p w14:paraId="5AFC3CF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海南经贸职业技术学院以公开招投标的方式 对校园物业服务托管项目（2025-2026年度）项目（项目编号：</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）进行了采购，</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为该项目中标供应商。</w:t>
      </w:r>
    </w:p>
    <w:p w14:paraId="2F4CBC4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海南经贸职业技术学院(以下简称：甲方)和</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(以下简称：乙方)根据《中华人民共和国民法典》、《中华人民共和国政府采购法》等相关法律法规，遵循平等、自愿、公平和诚实信用原则，同意按照下面的条款和条件订立本政府采购合同，共同信守。</w:t>
      </w:r>
    </w:p>
    <w:p w14:paraId="4A62FF09">
      <w:pPr>
        <w:widowControl/>
        <w:shd w:val="clear" w:color="auto" w:fill="FFFFFF"/>
        <w:spacing w:line="520" w:lineRule="exact"/>
        <w:ind w:firstLine="482" w:firstLineChars="200"/>
        <w:rPr>
          <w:rFonts w:ascii="仿宋" w:hAnsi="仿宋" w:eastAsia="仿宋" w:cs="仿宋"/>
          <w:color w:val="auto"/>
          <w:sz w:val="24"/>
        </w:rPr>
      </w:pPr>
      <w:r>
        <w:rPr>
          <w:rFonts w:hint="eastAsia" w:ascii="仿宋" w:hAnsi="仿宋" w:eastAsia="仿宋" w:cs="仿宋"/>
          <w:b/>
          <w:bCs/>
          <w:color w:val="auto"/>
          <w:sz w:val="24"/>
          <w:shd w:val="clear" w:color="auto" w:fill="FFFFFF"/>
        </w:rPr>
        <w:t>一、基本合同条款</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926"/>
        <w:gridCol w:w="5864"/>
      </w:tblGrid>
      <w:tr w14:paraId="4B38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428" w:type="pct"/>
            <w:tcBorders>
              <w:top w:val="single" w:color="auto" w:sz="4" w:space="0"/>
              <w:left w:val="single" w:color="auto" w:sz="4" w:space="0"/>
              <w:bottom w:val="single" w:color="auto" w:sz="4" w:space="0"/>
              <w:right w:val="single" w:color="auto" w:sz="4" w:space="0"/>
            </w:tcBorders>
            <w:vAlign w:val="center"/>
          </w:tcPr>
          <w:p w14:paraId="234609A3">
            <w:pPr>
              <w:pStyle w:val="11"/>
              <w:spacing w:line="360" w:lineRule="auto"/>
              <w:jc w:val="center"/>
              <w:rPr>
                <w:rFonts w:ascii="仿宋" w:hAnsi="仿宋" w:eastAsia="仿宋" w:cs="仿宋"/>
                <w:b/>
                <w:color w:val="auto"/>
              </w:rPr>
            </w:pPr>
            <w:r>
              <w:rPr>
                <w:rFonts w:hint="eastAsia" w:ascii="仿宋" w:hAnsi="仿宋" w:eastAsia="仿宋" w:cs="仿宋"/>
                <w:b/>
                <w:color w:val="auto"/>
              </w:rPr>
              <w:t>序号</w:t>
            </w:r>
          </w:p>
        </w:tc>
        <w:tc>
          <w:tcPr>
            <w:tcW w:w="1130" w:type="pct"/>
            <w:tcBorders>
              <w:top w:val="single" w:color="auto" w:sz="4" w:space="0"/>
              <w:left w:val="single" w:color="auto" w:sz="4" w:space="0"/>
              <w:bottom w:val="single" w:color="auto" w:sz="4" w:space="0"/>
              <w:right w:val="single" w:color="auto" w:sz="4" w:space="0"/>
            </w:tcBorders>
            <w:vAlign w:val="center"/>
          </w:tcPr>
          <w:p w14:paraId="02755B08">
            <w:pPr>
              <w:pStyle w:val="11"/>
              <w:spacing w:line="360" w:lineRule="auto"/>
              <w:jc w:val="center"/>
              <w:rPr>
                <w:rFonts w:ascii="仿宋" w:hAnsi="仿宋" w:eastAsia="仿宋" w:cs="仿宋"/>
                <w:b/>
                <w:color w:val="auto"/>
              </w:rPr>
            </w:pPr>
            <w:r>
              <w:rPr>
                <w:rFonts w:hint="eastAsia" w:ascii="仿宋" w:hAnsi="仿宋" w:eastAsia="仿宋" w:cs="仿宋"/>
                <w:b/>
                <w:color w:val="auto"/>
              </w:rPr>
              <w:t>合同条款</w:t>
            </w:r>
          </w:p>
        </w:tc>
        <w:tc>
          <w:tcPr>
            <w:tcW w:w="3440" w:type="pct"/>
            <w:tcBorders>
              <w:top w:val="single" w:color="auto" w:sz="4" w:space="0"/>
              <w:left w:val="single" w:color="auto" w:sz="4" w:space="0"/>
              <w:bottom w:val="single" w:color="auto" w:sz="4" w:space="0"/>
              <w:right w:val="single" w:color="auto" w:sz="4" w:space="0"/>
            </w:tcBorders>
            <w:vAlign w:val="center"/>
          </w:tcPr>
          <w:p w14:paraId="37141AD5">
            <w:pPr>
              <w:pStyle w:val="11"/>
              <w:spacing w:line="360" w:lineRule="auto"/>
              <w:jc w:val="center"/>
              <w:rPr>
                <w:rFonts w:ascii="仿宋" w:hAnsi="仿宋" w:eastAsia="仿宋" w:cs="仿宋"/>
                <w:b/>
                <w:color w:val="auto"/>
              </w:rPr>
            </w:pPr>
            <w:r>
              <w:rPr>
                <w:rFonts w:hint="eastAsia" w:ascii="仿宋" w:hAnsi="仿宋" w:eastAsia="仿宋" w:cs="仿宋"/>
                <w:b/>
                <w:color w:val="auto"/>
              </w:rPr>
              <w:t>内  容</w:t>
            </w:r>
          </w:p>
        </w:tc>
      </w:tr>
      <w:tr w14:paraId="020A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6F85214A">
            <w:pPr>
              <w:pStyle w:val="11"/>
              <w:tabs>
                <w:tab w:val="left" w:pos="453"/>
              </w:tabs>
              <w:spacing w:line="360" w:lineRule="auto"/>
              <w:jc w:val="center"/>
              <w:rPr>
                <w:rFonts w:ascii="仿宋" w:hAnsi="仿宋" w:eastAsia="仿宋" w:cs="仿宋"/>
                <w:bCs/>
                <w:color w:val="auto"/>
              </w:rPr>
            </w:pPr>
            <w:r>
              <w:rPr>
                <w:rFonts w:hint="eastAsia" w:ascii="仿宋" w:hAnsi="仿宋" w:eastAsia="仿宋" w:cs="仿宋"/>
                <w:bCs/>
                <w:color w:val="auto"/>
              </w:rPr>
              <w:t>1</w:t>
            </w:r>
          </w:p>
        </w:tc>
        <w:tc>
          <w:tcPr>
            <w:tcW w:w="1130" w:type="pct"/>
            <w:tcBorders>
              <w:top w:val="single" w:color="auto" w:sz="4" w:space="0"/>
              <w:left w:val="single" w:color="auto" w:sz="4" w:space="0"/>
              <w:bottom w:val="single" w:color="auto" w:sz="4" w:space="0"/>
              <w:right w:val="single" w:color="auto" w:sz="4" w:space="0"/>
            </w:tcBorders>
            <w:vAlign w:val="center"/>
          </w:tcPr>
          <w:p w14:paraId="491DDE35">
            <w:pPr>
              <w:pStyle w:val="11"/>
              <w:spacing w:line="300" w:lineRule="exact"/>
              <w:jc w:val="center"/>
              <w:rPr>
                <w:rFonts w:ascii="仿宋" w:hAnsi="仿宋" w:eastAsia="仿宋" w:cs="仿宋"/>
                <w:bCs/>
                <w:color w:val="auto"/>
              </w:rPr>
            </w:pPr>
            <w:r>
              <w:rPr>
                <w:rFonts w:hint="eastAsia" w:ascii="仿宋" w:hAnsi="仿宋" w:eastAsia="仿宋" w:cs="仿宋"/>
                <w:bCs/>
                <w:color w:val="auto"/>
              </w:rPr>
              <w:t>合同总额</w:t>
            </w:r>
          </w:p>
          <w:p w14:paraId="6BA89045">
            <w:pPr>
              <w:pStyle w:val="11"/>
              <w:spacing w:line="300" w:lineRule="exact"/>
              <w:jc w:val="center"/>
              <w:rPr>
                <w:rFonts w:ascii="仿宋" w:hAnsi="仿宋" w:eastAsia="仿宋" w:cs="仿宋"/>
                <w:bCs/>
                <w:color w:val="auto"/>
              </w:rPr>
            </w:pPr>
            <w:r>
              <w:rPr>
                <w:rFonts w:hint="eastAsia" w:ascii="仿宋" w:hAnsi="仿宋" w:eastAsia="仿宋" w:cs="仿宋"/>
                <w:bCs/>
                <w:color w:val="auto"/>
              </w:rPr>
              <w:t>（18个月）</w:t>
            </w:r>
          </w:p>
        </w:tc>
        <w:tc>
          <w:tcPr>
            <w:tcW w:w="3440" w:type="pct"/>
            <w:tcBorders>
              <w:top w:val="single" w:color="auto" w:sz="4" w:space="0"/>
              <w:left w:val="single" w:color="auto" w:sz="4" w:space="0"/>
              <w:bottom w:val="single" w:color="auto" w:sz="4" w:space="0"/>
              <w:right w:val="single" w:color="auto" w:sz="4" w:space="0"/>
            </w:tcBorders>
            <w:vAlign w:val="center"/>
          </w:tcPr>
          <w:p w14:paraId="0C3DA3C3">
            <w:pPr>
              <w:pStyle w:val="11"/>
              <w:spacing w:line="300" w:lineRule="exact"/>
              <w:rPr>
                <w:rFonts w:ascii="仿宋" w:hAnsi="仿宋" w:eastAsia="仿宋" w:cs="仿宋"/>
                <w:bCs/>
                <w:color w:val="auto"/>
              </w:rPr>
            </w:pPr>
            <w:r>
              <w:rPr>
                <w:rFonts w:hint="eastAsia" w:ascii="仿宋" w:hAnsi="仿宋" w:eastAsia="仿宋" w:cs="仿宋"/>
                <w:bCs/>
                <w:color w:val="auto"/>
              </w:rPr>
              <w:t>人民币  小写：</w:t>
            </w:r>
            <w:r>
              <w:rPr>
                <w:rFonts w:hint="eastAsia" w:ascii="仿宋" w:hAnsi="仿宋" w:eastAsia="仿宋" w:cs="仿宋"/>
                <w:bCs/>
                <w:color w:val="auto"/>
                <w:u w:val="single"/>
              </w:rPr>
              <w:t xml:space="preserve">                    </w:t>
            </w:r>
            <w:r>
              <w:rPr>
                <w:rFonts w:hint="eastAsia" w:ascii="仿宋" w:hAnsi="仿宋" w:eastAsia="仿宋" w:cs="仿宋"/>
                <w:bCs/>
                <w:color w:val="auto"/>
              </w:rPr>
              <w:t>元；</w:t>
            </w:r>
          </w:p>
          <w:p w14:paraId="1D750575">
            <w:pPr>
              <w:pStyle w:val="11"/>
              <w:spacing w:line="300" w:lineRule="exact"/>
              <w:rPr>
                <w:rFonts w:ascii="仿宋" w:hAnsi="仿宋" w:eastAsia="仿宋" w:cs="仿宋"/>
                <w:bCs/>
                <w:color w:val="auto"/>
              </w:rPr>
            </w:pPr>
            <w:r>
              <w:rPr>
                <w:rFonts w:hint="eastAsia" w:ascii="仿宋" w:hAnsi="仿宋" w:eastAsia="仿宋" w:cs="仿宋"/>
                <w:bCs/>
                <w:color w:val="auto"/>
              </w:rPr>
              <w:t>大写：</w:t>
            </w:r>
            <w:r>
              <w:rPr>
                <w:rFonts w:hint="eastAsia" w:ascii="仿宋" w:hAnsi="仿宋" w:eastAsia="仿宋" w:cs="仿宋"/>
                <w:bCs/>
                <w:color w:val="auto"/>
                <w:u w:val="single"/>
              </w:rPr>
              <w:t xml:space="preserve">                             </w:t>
            </w:r>
          </w:p>
        </w:tc>
      </w:tr>
      <w:tr w14:paraId="0DC9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63C33FC1">
            <w:pPr>
              <w:pStyle w:val="11"/>
              <w:tabs>
                <w:tab w:val="left" w:pos="453"/>
              </w:tabs>
              <w:spacing w:line="360" w:lineRule="auto"/>
              <w:jc w:val="center"/>
              <w:rPr>
                <w:rFonts w:ascii="仿宋" w:hAnsi="仿宋" w:eastAsia="仿宋" w:cs="仿宋"/>
                <w:bCs/>
                <w:color w:val="auto"/>
              </w:rPr>
            </w:pPr>
            <w:r>
              <w:rPr>
                <w:rFonts w:hint="eastAsia" w:ascii="仿宋" w:hAnsi="仿宋" w:eastAsia="仿宋" w:cs="仿宋"/>
                <w:bCs/>
                <w:color w:val="auto"/>
              </w:rPr>
              <w:t>1.1</w:t>
            </w:r>
          </w:p>
        </w:tc>
        <w:tc>
          <w:tcPr>
            <w:tcW w:w="1130" w:type="pct"/>
            <w:tcBorders>
              <w:top w:val="single" w:color="auto" w:sz="4" w:space="0"/>
              <w:left w:val="single" w:color="auto" w:sz="4" w:space="0"/>
              <w:bottom w:val="single" w:color="auto" w:sz="4" w:space="0"/>
              <w:right w:val="single" w:color="auto" w:sz="4" w:space="0"/>
            </w:tcBorders>
            <w:vAlign w:val="center"/>
          </w:tcPr>
          <w:p w14:paraId="05449569">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第1年合同总额</w:t>
            </w:r>
          </w:p>
          <w:p w14:paraId="7CF20D25">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（12个月）</w:t>
            </w:r>
          </w:p>
        </w:tc>
        <w:tc>
          <w:tcPr>
            <w:tcW w:w="3440" w:type="pct"/>
            <w:tcBorders>
              <w:top w:val="single" w:color="auto" w:sz="4" w:space="0"/>
              <w:left w:val="single" w:color="auto" w:sz="4" w:space="0"/>
              <w:bottom w:val="single" w:color="auto" w:sz="4" w:space="0"/>
              <w:right w:val="single" w:color="auto" w:sz="4" w:space="0"/>
            </w:tcBorders>
            <w:vAlign w:val="center"/>
          </w:tcPr>
          <w:p w14:paraId="64CB5719">
            <w:pPr>
              <w:pStyle w:val="11"/>
              <w:spacing w:line="300" w:lineRule="exact"/>
              <w:rPr>
                <w:rFonts w:ascii="仿宋" w:hAnsi="仿宋" w:eastAsia="仿宋" w:cs="仿宋"/>
                <w:bCs/>
                <w:color w:val="auto"/>
              </w:rPr>
            </w:pPr>
            <w:r>
              <w:rPr>
                <w:rFonts w:hint="eastAsia" w:ascii="仿宋" w:hAnsi="仿宋" w:eastAsia="仿宋" w:cs="仿宋"/>
                <w:bCs/>
                <w:color w:val="auto"/>
              </w:rPr>
              <w:t>人民币  小写：</w:t>
            </w:r>
            <w:r>
              <w:rPr>
                <w:rFonts w:hint="eastAsia" w:ascii="仿宋" w:hAnsi="仿宋" w:eastAsia="仿宋" w:cs="仿宋"/>
                <w:bCs/>
                <w:color w:val="auto"/>
                <w:u w:val="single"/>
              </w:rPr>
              <w:t xml:space="preserve">                    </w:t>
            </w:r>
            <w:r>
              <w:rPr>
                <w:rFonts w:hint="eastAsia" w:ascii="仿宋" w:hAnsi="仿宋" w:eastAsia="仿宋" w:cs="仿宋"/>
                <w:bCs/>
                <w:color w:val="auto"/>
              </w:rPr>
              <w:t>元；</w:t>
            </w:r>
          </w:p>
          <w:p w14:paraId="6880BA1C">
            <w:pPr>
              <w:pStyle w:val="12"/>
              <w:spacing w:line="300" w:lineRule="exact"/>
              <w:rPr>
                <w:rFonts w:ascii="仿宋" w:hAnsi="仿宋" w:eastAsia="仿宋" w:cs="仿宋"/>
                <w:bCs/>
                <w:color w:val="auto"/>
                <w:sz w:val="24"/>
                <w:szCs w:val="24"/>
                <w:u w:val="single"/>
              </w:rPr>
            </w:pPr>
            <w:r>
              <w:rPr>
                <w:rFonts w:hint="eastAsia" w:ascii="仿宋" w:hAnsi="仿宋" w:eastAsia="仿宋" w:cs="仿宋"/>
                <w:bCs/>
                <w:color w:val="auto"/>
                <w:sz w:val="24"/>
                <w:szCs w:val="24"/>
              </w:rPr>
              <w:t>大写：</w:t>
            </w:r>
            <w:r>
              <w:rPr>
                <w:rFonts w:hint="eastAsia" w:ascii="仿宋" w:hAnsi="仿宋" w:eastAsia="仿宋" w:cs="仿宋"/>
                <w:bCs/>
                <w:color w:val="auto"/>
                <w:sz w:val="24"/>
                <w:szCs w:val="24"/>
                <w:u w:val="single"/>
              </w:rPr>
              <w:t xml:space="preserve">                             </w:t>
            </w:r>
          </w:p>
          <w:p w14:paraId="29BD32F7">
            <w:pPr>
              <w:pStyle w:val="12"/>
              <w:spacing w:line="300" w:lineRule="exact"/>
              <w:rPr>
                <w:rFonts w:ascii="仿宋" w:hAnsi="仿宋" w:eastAsia="仿宋" w:cs="仿宋"/>
                <w:bCs/>
                <w:color w:val="auto"/>
                <w:sz w:val="24"/>
                <w:szCs w:val="24"/>
                <w:u w:val="single"/>
              </w:rPr>
            </w:pPr>
            <w:r>
              <w:rPr>
                <w:rFonts w:hint="eastAsia" w:ascii="仿宋" w:hAnsi="仿宋" w:eastAsia="仿宋" w:cs="仿宋"/>
                <w:bCs/>
                <w:color w:val="auto"/>
                <w:sz w:val="24"/>
                <w:szCs w:val="24"/>
              </w:rPr>
              <w:t>注：费用总表详见附件1</w:t>
            </w:r>
          </w:p>
        </w:tc>
      </w:tr>
      <w:tr w14:paraId="312B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15396102">
            <w:pPr>
              <w:pStyle w:val="11"/>
              <w:tabs>
                <w:tab w:val="left" w:pos="453"/>
              </w:tabs>
              <w:spacing w:line="360" w:lineRule="auto"/>
              <w:jc w:val="center"/>
              <w:rPr>
                <w:rFonts w:ascii="仿宋" w:hAnsi="仿宋" w:eastAsia="仿宋" w:cs="仿宋"/>
                <w:bCs/>
                <w:color w:val="auto"/>
              </w:rPr>
            </w:pPr>
            <w:r>
              <w:rPr>
                <w:rFonts w:hint="eastAsia" w:ascii="仿宋" w:hAnsi="仿宋" w:eastAsia="仿宋" w:cs="仿宋"/>
                <w:bCs/>
                <w:color w:val="auto"/>
              </w:rPr>
              <w:t>1.2</w:t>
            </w:r>
          </w:p>
        </w:tc>
        <w:tc>
          <w:tcPr>
            <w:tcW w:w="1130" w:type="pct"/>
            <w:tcBorders>
              <w:top w:val="single" w:color="auto" w:sz="4" w:space="0"/>
              <w:left w:val="single" w:color="auto" w:sz="4" w:space="0"/>
              <w:bottom w:val="single" w:color="auto" w:sz="4" w:space="0"/>
              <w:right w:val="single" w:color="auto" w:sz="4" w:space="0"/>
            </w:tcBorders>
            <w:vAlign w:val="center"/>
          </w:tcPr>
          <w:p w14:paraId="2F3F7A47">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第2年合同总额</w:t>
            </w:r>
          </w:p>
          <w:p w14:paraId="2576156B">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（6个月）</w:t>
            </w:r>
          </w:p>
        </w:tc>
        <w:tc>
          <w:tcPr>
            <w:tcW w:w="3440" w:type="pct"/>
            <w:tcBorders>
              <w:top w:val="single" w:color="auto" w:sz="4" w:space="0"/>
              <w:left w:val="single" w:color="auto" w:sz="4" w:space="0"/>
              <w:bottom w:val="single" w:color="auto" w:sz="4" w:space="0"/>
              <w:right w:val="single" w:color="auto" w:sz="4" w:space="0"/>
            </w:tcBorders>
            <w:vAlign w:val="center"/>
          </w:tcPr>
          <w:p w14:paraId="761A73D1">
            <w:pPr>
              <w:pStyle w:val="11"/>
              <w:spacing w:line="300" w:lineRule="exact"/>
              <w:rPr>
                <w:rFonts w:ascii="仿宋" w:hAnsi="仿宋" w:eastAsia="仿宋" w:cs="仿宋"/>
                <w:bCs/>
                <w:color w:val="auto"/>
              </w:rPr>
            </w:pPr>
            <w:r>
              <w:rPr>
                <w:rFonts w:hint="eastAsia" w:ascii="仿宋" w:hAnsi="仿宋" w:eastAsia="仿宋" w:cs="仿宋"/>
                <w:bCs/>
                <w:color w:val="auto"/>
              </w:rPr>
              <w:t>人民币  小写：</w:t>
            </w:r>
            <w:r>
              <w:rPr>
                <w:rFonts w:hint="eastAsia" w:ascii="仿宋" w:hAnsi="仿宋" w:eastAsia="仿宋" w:cs="仿宋"/>
                <w:bCs/>
                <w:color w:val="auto"/>
                <w:u w:val="single"/>
              </w:rPr>
              <w:t xml:space="preserve">                    </w:t>
            </w:r>
            <w:r>
              <w:rPr>
                <w:rFonts w:hint="eastAsia" w:ascii="仿宋" w:hAnsi="仿宋" w:eastAsia="仿宋" w:cs="仿宋"/>
                <w:bCs/>
                <w:color w:val="auto"/>
              </w:rPr>
              <w:t>元；</w:t>
            </w:r>
          </w:p>
          <w:p w14:paraId="13CC94C4">
            <w:pPr>
              <w:pStyle w:val="12"/>
              <w:spacing w:line="300" w:lineRule="exact"/>
              <w:jc w:val="left"/>
              <w:rPr>
                <w:rFonts w:ascii="仿宋" w:hAnsi="仿宋" w:eastAsia="仿宋" w:cs="仿宋"/>
                <w:bCs/>
                <w:color w:val="auto"/>
                <w:sz w:val="24"/>
                <w:szCs w:val="24"/>
              </w:rPr>
            </w:pPr>
            <w:r>
              <w:rPr>
                <w:rFonts w:hint="eastAsia" w:ascii="仿宋" w:hAnsi="仿宋" w:eastAsia="仿宋" w:cs="仿宋"/>
                <w:bCs/>
                <w:color w:val="auto"/>
                <w:sz w:val="24"/>
                <w:szCs w:val="24"/>
              </w:rPr>
              <w:t>大写：</w:t>
            </w:r>
            <w:r>
              <w:rPr>
                <w:rFonts w:hint="eastAsia" w:ascii="仿宋" w:hAnsi="仿宋" w:eastAsia="仿宋" w:cs="仿宋"/>
                <w:bCs/>
                <w:color w:val="auto"/>
                <w:sz w:val="24"/>
                <w:szCs w:val="24"/>
                <w:u w:val="single"/>
              </w:rPr>
              <w:t xml:space="preserve">                             </w:t>
            </w:r>
          </w:p>
        </w:tc>
      </w:tr>
      <w:tr w14:paraId="7CB1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56788EBB">
            <w:pPr>
              <w:pStyle w:val="11"/>
              <w:tabs>
                <w:tab w:val="left" w:pos="453"/>
              </w:tabs>
              <w:spacing w:line="360" w:lineRule="auto"/>
              <w:jc w:val="center"/>
              <w:rPr>
                <w:rFonts w:ascii="仿宋" w:hAnsi="仿宋" w:eastAsia="仿宋" w:cs="仿宋"/>
                <w:bCs/>
                <w:color w:val="auto"/>
              </w:rPr>
            </w:pPr>
            <w:r>
              <w:rPr>
                <w:rFonts w:hint="eastAsia" w:ascii="仿宋" w:hAnsi="仿宋" w:eastAsia="仿宋" w:cs="仿宋"/>
                <w:bCs/>
                <w:color w:val="auto"/>
              </w:rPr>
              <w:t>2</w:t>
            </w:r>
          </w:p>
        </w:tc>
        <w:tc>
          <w:tcPr>
            <w:tcW w:w="1130" w:type="pct"/>
            <w:tcBorders>
              <w:top w:val="single" w:color="auto" w:sz="4" w:space="0"/>
              <w:left w:val="single" w:color="auto" w:sz="4" w:space="0"/>
              <w:bottom w:val="single" w:color="auto" w:sz="4" w:space="0"/>
              <w:right w:val="single" w:color="auto" w:sz="4" w:space="0"/>
            </w:tcBorders>
            <w:vAlign w:val="center"/>
          </w:tcPr>
          <w:p w14:paraId="4FC38F9A">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服务地点</w:t>
            </w:r>
          </w:p>
        </w:tc>
        <w:tc>
          <w:tcPr>
            <w:tcW w:w="3440" w:type="pct"/>
            <w:tcBorders>
              <w:top w:val="single" w:color="auto" w:sz="4" w:space="0"/>
              <w:left w:val="single" w:color="auto" w:sz="4" w:space="0"/>
              <w:bottom w:val="single" w:color="auto" w:sz="4" w:space="0"/>
              <w:right w:val="single" w:color="auto" w:sz="4" w:space="0"/>
            </w:tcBorders>
            <w:vAlign w:val="center"/>
          </w:tcPr>
          <w:p w14:paraId="762DD0C9">
            <w:pPr>
              <w:pStyle w:val="12"/>
              <w:spacing w:line="300" w:lineRule="exact"/>
              <w:jc w:val="left"/>
              <w:rPr>
                <w:rFonts w:ascii="仿宋" w:hAnsi="仿宋" w:eastAsia="仿宋" w:cs="仿宋"/>
                <w:bCs/>
                <w:color w:val="auto"/>
                <w:sz w:val="24"/>
                <w:szCs w:val="24"/>
              </w:rPr>
            </w:pPr>
            <w:r>
              <w:rPr>
                <w:rFonts w:hint="eastAsia" w:ascii="仿宋" w:hAnsi="仿宋" w:eastAsia="仿宋" w:cs="仿宋"/>
                <w:bCs/>
                <w:color w:val="auto"/>
                <w:sz w:val="24"/>
                <w:szCs w:val="24"/>
              </w:rPr>
              <w:t>海南经贸职业技术学院内</w:t>
            </w:r>
          </w:p>
        </w:tc>
      </w:tr>
      <w:tr w14:paraId="01D9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8" w:type="pct"/>
            <w:tcBorders>
              <w:top w:val="single" w:color="auto" w:sz="4" w:space="0"/>
              <w:left w:val="single" w:color="auto" w:sz="4" w:space="0"/>
              <w:bottom w:val="single" w:color="auto" w:sz="4" w:space="0"/>
              <w:right w:val="single" w:color="auto" w:sz="4" w:space="0"/>
            </w:tcBorders>
            <w:vAlign w:val="center"/>
          </w:tcPr>
          <w:p w14:paraId="54900350">
            <w:pPr>
              <w:pStyle w:val="11"/>
              <w:tabs>
                <w:tab w:val="left" w:pos="453"/>
              </w:tabs>
              <w:spacing w:line="360" w:lineRule="auto"/>
              <w:jc w:val="center"/>
              <w:rPr>
                <w:rFonts w:ascii="仿宋" w:hAnsi="仿宋" w:eastAsia="仿宋" w:cs="仿宋"/>
                <w:bCs/>
                <w:color w:val="auto"/>
              </w:rPr>
            </w:pPr>
            <w:r>
              <w:rPr>
                <w:rFonts w:hint="eastAsia" w:ascii="仿宋" w:hAnsi="仿宋" w:eastAsia="仿宋" w:cs="仿宋"/>
                <w:bCs/>
                <w:color w:val="auto"/>
              </w:rPr>
              <w:t>3</w:t>
            </w:r>
          </w:p>
        </w:tc>
        <w:tc>
          <w:tcPr>
            <w:tcW w:w="1130" w:type="pct"/>
            <w:tcBorders>
              <w:top w:val="single" w:color="auto" w:sz="4" w:space="0"/>
              <w:left w:val="single" w:color="auto" w:sz="4" w:space="0"/>
              <w:bottom w:val="single" w:color="auto" w:sz="4" w:space="0"/>
              <w:right w:val="single" w:color="auto" w:sz="4" w:space="0"/>
            </w:tcBorders>
            <w:vAlign w:val="center"/>
          </w:tcPr>
          <w:p w14:paraId="7CB95585">
            <w:pPr>
              <w:pStyle w:val="12"/>
              <w:spacing w:line="30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服务期限</w:t>
            </w:r>
          </w:p>
        </w:tc>
        <w:tc>
          <w:tcPr>
            <w:tcW w:w="3440" w:type="pct"/>
            <w:tcBorders>
              <w:top w:val="single" w:color="auto" w:sz="4" w:space="0"/>
              <w:left w:val="single" w:color="auto" w:sz="4" w:space="0"/>
              <w:bottom w:val="single" w:color="auto" w:sz="4" w:space="0"/>
              <w:right w:val="single" w:color="auto" w:sz="4" w:space="0"/>
            </w:tcBorders>
            <w:vAlign w:val="center"/>
          </w:tcPr>
          <w:p w14:paraId="6CB36F65">
            <w:pPr>
              <w:pStyle w:val="12"/>
              <w:spacing w:line="300" w:lineRule="exact"/>
              <w:jc w:val="left"/>
              <w:rPr>
                <w:rFonts w:ascii="仿宋" w:hAnsi="仿宋" w:eastAsia="仿宋" w:cs="仿宋"/>
                <w:bCs/>
                <w:color w:val="auto"/>
                <w:sz w:val="24"/>
                <w:szCs w:val="24"/>
              </w:rPr>
            </w:pPr>
            <w:r>
              <w:rPr>
                <w:rFonts w:hint="eastAsia" w:ascii="仿宋" w:hAnsi="仿宋" w:eastAsia="仿宋" w:cs="仿宋"/>
                <w:bCs/>
                <w:color w:val="auto"/>
                <w:sz w:val="24"/>
                <w:szCs w:val="24"/>
              </w:rPr>
              <w:t>本项目采取“1+0.5”模式，服务合同首次签订期限为1年，合同到期提前2个月由学校根据管理质量考核情况，再续签6个月。</w:t>
            </w:r>
          </w:p>
          <w:p w14:paraId="520CB8A0">
            <w:pPr>
              <w:pStyle w:val="12"/>
              <w:spacing w:line="300" w:lineRule="exact"/>
              <w:jc w:val="left"/>
              <w:rPr>
                <w:rFonts w:ascii="仿宋" w:hAnsi="仿宋" w:eastAsia="仿宋" w:cs="仿宋"/>
                <w:bCs/>
                <w:color w:val="auto"/>
                <w:sz w:val="24"/>
                <w:szCs w:val="24"/>
              </w:rPr>
            </w:pPr>
            <w:r>
              <w:rPr>
                <w:rFonts w:hint="eastAsia" w:ascii="仿宋" w:hAnsi="仿宋" w:eastAsia="仿宋" w:cs="仿宋"/>
                <w:bCs/>
                <w:color w:val="auto"/>
                <w:sz w:val="24"/>
                <w:szCs w:val="24"/>
              </w:rPr>
              <w:t>本合同（第1年）服务期：2025年月日-2026年月日。</w:t>
            </w:r>
          </w:p>
        </w:tc>
      </w:tr>
    </w:tbl>
    <w:p w14:paraId="5777E32A">
      <w:pPr>
        <w:pStyle w:val="6"/>
        <w:shd w:val="clear" w:color="auto" w:fill="FFFFFF"/>
        <w:spacing w:before="0" w:beforeAutospacing="0" w:after="0" w:afterAutospacing="0" w:line="520" w:lineRule="exact"/>
        <w:ind w:firstLine="482" w:firstLineChars="200"/>
        <w:rPr>
          <w:rFonts w:ascii="仿宋" w:hAnsi="仿宋" w:eastAsia="仿宋" w:cs="仿宋"/>
          <w:b/>
          <w:bCs/>
          <w:color w:val="auto"/>
          <w:shd w:val="clear" w:color="auto" w:fill="FFFFFF"/>
        </w:rPr>
      </w:pPr>
    </w:p>
    <w:p w14:paraId="3536E8F5">
      <w:pPr>
        <w:pStyle w:val="6"/>
        <w:shd w:val="clear" w:color="auto" w:fill="FFFFFF"/>
        <w:spacing w:before="0" w:beforeAutospacing="0" w:after="0" w:afterAutospacing="0" w:line="520" w:lineRule="exact"/>
        <w:ind w:firstLine="482" w:firstLineChars="200"/>
        <w:rPr>
          <w:rFonts w:ascii="仿宋" w:hAnsi="仿宋" w:eastAsia="仿宋" w:cs="仿宋"/>
          <w:b/>
          <w:bCs/>
          <w:color w:val="auto"/>
          <w:shd w:val="clear" w:color="auto" w:fill="FFFFFF"/>
        </w:rPr>
      </w:pPr>
      <w:r>
        <w:rPr>
          <w:rFonts w:hint="eastAsia" w:ascii="仿宋" w:hAnsi="仿宋" w:eastAsia="仿宋" w:cs="仿宋"/>
          <w:b/>
          <w:bCs/>
          <w:color w:val="auto"/>
          <w:shd w:val="clear" w:color="auto" w:fill="FFFFFF"/>
        </w:rPr>
        <w:t>二、服务内容</w:t>
      </w:r>
    </w:p>
    <w:tbl>
      <w:tblPr>
        <w:tblStyle w:val="7"/>
        <w:tblW w:w="4998" w:type="pct"/>
        <w:tblInd w:w="0" w:type="dxa"/>
        <w:tblLayout w:type="autofit"/>
        <w:tblCellMar>
          <w:top w:w="0" w:type="dxa"/>
          <w:left w:w="108" w:type="dxa"/>
          <w:bottom w:w="0" w:type="dxa"/>
          <w:right w:w="108" w:type="dxa"/>
        </w:tblCellMar>
      </w:tblPr>
      <w:tblGrid>
        <w:gridCol w:w="714"/>
        <w:gridCol w:w="2112"/>
        <w:gridCol w:w="3927"/>
        <w:gridCol w:w="977"/>
        <w:gridCol w:w="789"/>
      </w:tblGrid>
      <w:tr w14:paraId="35B37649">
        <w:tblPrEx>
          <w:tblCellMar>
            <w:top w:w="0" w:type="dxa"/>
            <w:left w:w="108" w:type="dxa"/>
            <w:bottom w:w="0" w:type="dxa"/>
            <w:right w:w="108" w:type="dxa"/>
          </w:tblCellMar>
        </w:tblPrEx>
        <w:trPr>
          <w:trHeight w:val="120" w:hRule="atLeast"/>
        </w:trPr>
        <w:tc>
          <w:tcPr>
            <w:tcW w:w="419" w:type="pct"/>
            <w:tcBorders>
              <w:top w:val="single" w:color="000000" w:sz="4" w:space="0"/>
              <w:left w:val="single" w:color="000000" w:sz="4" w:space="0"/>
              <w:bottom w:val="single" w:color="000000" w:sz="4" w:space="0"/>
              <w:right w:val="single" w:color="000000" w:sz="4" w:space="0"/>
            </w:tcBorders>
            <w:noWrap/>
            <w:vAlign w:val="center"/>
          </w:tcPr>
          <w:p w14:paraId="784FB57C">
            <w:pPr>
              <w:widowControl/>
              <w:jc w:val="center"/>
              <w:rPr>
                <w:rFonts w:ascii="仿宋" w:hAnsi="仿宋" w:eastAsia="仿宋" w:cs="仿宋"/>
                <w:color w:val="auto"/>
                <w:sz w:val="24"/>
              </w:rPr>
            </w:pPr>
            <w:r>
              <w:rPr>
                <w:rFonts w:hint="eastAsia" w:ascii="仿宋" w:hAnsi="仿宋" w:eastAsia="仿宋" w:cs="仿宋"/>
                <w:color w:val="auto"/>
                <w:sz w:val="24"/>
              </w:rPr>
              <w:t>序号</w:t>
            </w:r>
          </w:p>
        </w:tc>
        <w:tc>
          <w:tcPr>
            <w:tcW w:w="1239" w:type="pct"/>
            <w:tcBorders>
              <w:top w:val="single" w:color="000000" w:sz="4" w:space="0"/>
              <w:left w:val="single" w:color="000000" w:sz="4" w:space="0"/>
              <w:bottom w:val="single" w:color="000000" w:sz="4" w:space="0"/>
              <w:right w:val="single" w:color="000000" w:sz="4" w:space="0"/>
            </w:tcBorders>
            <w:noWrap/>
            <w:vAlign w:val="center"/>
          </w:tcPr>
          <w:p w14:paraId="7B373858">
            <w:pPr>
              <w:widowControl/>
              <w:jc w:val="center"/>
              <w:rPr>
                <w:rFonts w:ascii="仿宋" w:hAnsi="仿宋" w:eastAsia="仿宋" w:cs="仿宋"/>
                <w:color w:val="auto"/>
                <w:sz w:val="24"/>
              </w:rPr>
            </w:pPr>
            <w:r>
              <w:rPr>
                <w:rFonts w:hint="eastAsia" w:ascii="仿宋" w:hAnsi="仿宋" w:eastAsia="仿宋" w:cs="仿宋"/>
                <w:color w:val="auto"/>
                <w:sz w:val="24"/>
              </w:rPr>
              <w:t>标的名称</w:t>
            </w:r>
          </w:p>
        </w:tc>
        <w:tc>
          <w:tcPr>
            <w:tcW w:w="2304" w:type="pct"/>
            <w:tcBorders>
              <w:top w:val="single" w:color="000000" w:sz="4" w:space="0"/>
              <w:left w:val="single" w:color="000000" w:sz="4" w:space="0"/>
              <w:bottom w:val="single" w:color="000000" w:sz="4" w:space="0"/>
              <w:right w:val="single" w:color="000000" w:sz="4" w:space="0"/>
            </w:tcBorders>
            <w:vAlign w:val="center"/>
          </w:tcPr>
          <w:p w14:paraId="29B4C600">
            <w:pPr>
              <w:widowControl/>
              <w:jc w:val="center"/>
              <w:rPr>
                <w:rFonts w:ascii="仿宋" w:hAnsi="仿宋" w:eastAsia="仿宋" w:cs="仿宋"/>
                <w:color w:val="auto"/>
                <w:sz w:val="24"/>
              </w:rPr>
            </w:pPr>
            <w:r>
              <w:rPr>
                <w:rFonts w:hint="eastAsia" w:ascii="仿宋" w:hAnsi="仿宋" w:eastAsia="仿宋" w:cs="仿宋"/>
                <w:color w:val="auto"/>
                <w:sz w:val="24"/>
              </w:rPr>
              <w:t>服务内容</w:t>
            </w:r>
          </w:p>
        </w:tc>
        <w:tc>
          <w:tcPr>
            <w:tcW w:w="573" w:type="pct"/>
            <w:tcBorders>
              <w:top w:val="single" w:color="000000" w:sz="4" w:space="0"/>
              <w:left w:val="single" w:color="000000" w:sz="4" w:space="0"/>
              <w:bottom w:val="single" w:color="000000" w:sz="4" w:space="0"/>
              <w:right w:val="single" w:color="000000" w:sz="4" w:space="0"/>
            </w:tcBorders>
            <w:vAlign w:val="center"/>
          </w:tcPr>
          <w:p w14:paraId="1B88EDBC">
            <w:pPr>
              <w:widowControl/>
              <w:jc w:val="center"/>
              <w:rPr>
                <w:rFonts w:ascii="仿宋" w:hAnsi="仿宋" w:eastAsia="仿宋" w:cs="仿宋"/>
                <w:color w:val="auto"/>
                <w:sz w:val="24"/>
              </w:rPr>
            </w:pPr>
            <w:r>
              <w:rPr>
                <w:rFonts w:hint="eastAsia" w:ascii="仿宋" w:hAnsi="仿宋" w:eastAsia="仿宋" w:cs="仿宋"/>
                <w:color w:val="auto"/>
                <w:sz w:val="24"/>
              </w:rPr>
              <w:t>单位</w:t>
            </w:r>
          </w:p>
        </w:tc>
        <w:tc>
          <w:tcPr>
            <w:tcW w:w="463" w:type="pct"/>
            <w:tcBorders>
              <w:top w:val="single" w:color="000000" w:sz="4" w:space="0"/>
              <w:left w:val="single" w:color="000000" w:sz="4" w:space="0"/>
              <w:bottom w:val="single" w:color="000000" w:sz="4" w:space="0"/>
              <w:right w:val="single" w:color="000000" w:sz="4" w:space="0"/>
            </w:tcBorders>
            <w:vAlign w:val="center"/>
          </w:tcPr>
          <w:p w14:paraId="12E2F6D3">
            <w:pPr>
              <w:widowControl/>
              <w:jc w:val="center"/>
              <w:rPr>
                <w:rFonts w:ascii="仿宋" w:hAnsi="仿宋" w:eastAsia="仿宋" w:cs="仿宋"/>
                <w:color w:val="auto"/>
                <w:sz w:val="24"/>
              </w:rPr>
            </w:pPr>
            <w:r>
              <w:rPr>
                <w:rFonts w:hint="eastAsia" w:ascii="仿宋" w:hAnsi="仿宋" w:eastAsia="仿宋" w:cs="仿宋"/>
                <w:color w:val="auto"/>
                <w:sz w:val="24"/>
              </w:rPr>
              <w:t>数量</w:t>
            </w:r>
          </w:p>
        </w:tc>
      </w:tr>
      <w:tr w14:paraId="0A8F608A">
        <w:tblPrEx>
          <w:tblCellMar>
            <w:top w:w="0" w:type="dxa"/>
            <w:left w:w="108" w:type="dxa"/>
            <w:bottom w:w="0" w:type="dxa"/>
            <w:right w:w="108" w:type="dxa"/>
          </w:tblCellMar>
        </w:tblPrEx>
        <w:trPr>
          <w:trHeight w:val="466" w:hRule="atLeast"/>
        </w:trPr>
        <w:tc>
          <w:tcPr>
            <w:tcW w:w="419" w:type="pct"/>
            <w:tcBorders>
              <w:top w:val="single" w:color="000000" w:sz="4" w:space="0"/>
              <w:left w:val="single" w:color="000000" w:sz="4" w:space="0"/>
              <w:bottom w:val="single" w:color="000000" w:sz="4" w:space="0"/>
              <w:right w:val="single" w:color="000000" w:sz="4" w:space="0"/>
            </w:tcBorders>
            <w:noWrap/>
            <w:vAlign w:val="center"/>
          </w:tcPr>
          <w:p w14:paraId="7BDD3499">
            <w:pPr>
              <w:widowControl/>
              <w:jc w:val="center"/>
              <w:rPr>
                <w:rFonts w:ascii="仿宋" w:hAnsi="仿宋" w:eastAsia="仿宋" w:cs="仿宋"/>
                <w:color w:val="auto"/>
                <w:sz w:val="24"/>
              </w:rPr>
            </w:pPr>
            <w:r>
              <w:rPr>
                <w:rFonts w:hint="eastAsia" w:ascii="仿宋" w:hAnsi="仿宋" w:eastAsia="仿宋" w:cs="仿宋"/>
                <w:color w:val="auto"/>
                <w:sz w:val="24"/>
              </w:rPr>
              <w:t>1</w:t>
            </w:r>
          </w:p>
        </w:tc>
        <w:tc>
          <w:tcPr>
            <w:tcW w:w="1239" w:type="pct"/>
            <w:tcBorders>
              <w:top w:val="single" w:color="000000" w:sz="4" w:space="0"/>
              <w:left w:val="single" w:color="000000" w:sz="4" w:space="0"/>
              <w:bottom w:val="single" w:color="000000" w:sz="4" w:space="0"/>
              <w:right w:val="single" w:color="000000" w:sz="4" w:space="0"/>
            </w:tcBorders>
            <w:vAlign w:val="center"/>
          </w:tcPr>
          <w:p w14:paraId="037C3F4E">
            <w:pPr>
              <w:widowControl/>
              <w:jc w:val="center"/>
              <w:rPr>
                <w:rFonts w:ascii="仿宋" w:hAnsi="仿宋" w:eastAsia="仿宋" w:cs="仿宋"/>
                <w:color w:val="auto"/>
                <w:sz w:val="24"/>
                <w:lang w:val="zh-CN"/>
              </w:rPr>
            </w:pPr>
            <w:r>
              <w:rPr>
                <w:rFonts w:hint="eastAsia" w:ascii="仿宋" w:hAnsi="仿宋" w:eastAsia="仿宋" w:cs="仿宋"/>
                <w:color w:val="auto"/>
                <w:sz w:val="24"/>
              </w:rPr>
              <w:t>保洁服务、绿化养护、安保服务、水电维修及食品安全管理</w:t>
            </w:r>
          </w:p>
        </w:tc>
        <w:tc>
          <w:tcPr>
            <w:tcW w:w="2304" w:type="pct"/>
            <w:tcBorders>
              <w:top w:val="single" w:color="000000" w:sz="4" w:space="0"/>
              <w:left w:val="single" w:color="000000" w:sz="4" w:space="0"/>
              <w:bottom w:val="single" w:color="000000" w:sz="4" w:space="0"/>
              <w:right w:val="single" w:color="000000" w:sz="4" w:space="0"/>
            </w:tcBorders>
            <w:vAlign w:val="center"/>
          </w:tcPr>
          <w:p w14:paraId="3ADA9371">
            <w:pPr>
              <w:widowControl/>
              <w:shd w:val="clear" w:color="auto" w:fill="FFFFFF"/>
              <w:jc w:val="center"/>
              <w:rPr>
                <w:rFonts w:ascii="仿宋" w:hAnsi="仿宋" w:eastAsia="仿宋" w:cs="仿宋"/>
                <w:color w:val="auto"/>
                <w:sz w:val="24"/>
              </w:rPr>
            </w:pPr>
            <w:r>
              <w:rPr>
                <w:rFonts w:hint="eastAsia" w:ascii="仿宋" w:hAnsi="仿宋" w:eastAsia="仿宋" w:cs="仿宋"/>
                <w:color w:val="auto"/>
                <w:sz w:val="24"/>
              </w:rPr>
              <w:t>合同</w:t>
            </w:r>
            <w:r>
              <w:rPr>
                <w:rFonts w:hint="eastAsia" w:ascii="仿宋" w:hAnsi="仿宋" w:eastAsia="仿宋" w:cs="仿宋"/>
                <w:color w:val="auto"/>
                <w:sz w:val="24"/>
                <w:lang w:val="zh-CN"/>
              </w:rPr>
              <w:t>签订时</w:t>
            </w:r>
            <w:r>
              <w:rPr>
                <w:rFonts w:hint="eastAsia" w:ascii="仿宋" w:hAnsi="仿宋" w:eastAsia="仿宋" w:cs="仿宋"/>
                <w:color w:val="auto"/>
                <w:sz w:val="24"/>
              </w:rPr>
              <w:t>根据招标文件第三章采购需求“一、服务需求”填写</w:t>
            </w:r>
          </w:p>
        </w:tc>
        <w:tc>
          <w:tcPr>
            <w:tcW w:w="573" w:type="pct"/>
            <w:tcBorders>
              <w:top w:val="single" w:color="000000" w:sz="4" w:space="0"/>
              <w:left w:val="single" w:color="000000" w:sz="4" w:space="0"/>
              <w:bottom w:val="single" w:color="000000" w:sz="4" w:space="0"/>
              <w:right w:val="single" w:color="000000" w:sz="4" w:space="0"/>
            </w:tcBorders>
            <w:vAlign w:val="center"/>
          </w:tcPr>
          <w:p w14:paraId="25DBCF93">
            <w:pPr>
              <w:widowControl/>
              <w:jc w:val="center"/>
              <w:rPr>
                <w:rFonts w:ascii="仿宋" w:hAnsi="仿宋" w:eastAsia="仿宋" w:cs="仿宋"/>
                <w:color w:val="auto"/>
                <w:sz w:val="24"/>
              </w:rPr>
            </w:pPr>
            <w:r>
              <w:rPr>
                <w:rFonts w:hint="eastAsia" w:ascii="仿宋" w:hAnsi="仿宋" w:eastAsia="仿宋" w:cs="仿宋"/>
                <w:color w:val="auto"/>
                <w:sz w:val="24"/>
                <w:highlight w:val="yellow"/>
              </w:rPr>
              <w:t>月</w:t>
            </w:r>
          </w:p>
        </w:tc>
        <w:tc>
          <w:tcPr>
            <w:tcW w:w="463" w:type="pct"/>
            <w:tcBorders>
              <w:top w:val="single" w:color="000000" w:sz="4" w:space="0"/>
              <w:left w:val="single" w:color="000000" w:sz="4" w:space="0"/>
              <w:bottom w:val="single" w:color="000000" w:sz="4" w:space="0"/>
              <w:right w:val="single" w:color="000000" w:sz="4" w:space="0"/>
            </w:tcBorders>
            <w:vAlign w:val="center"/>
          </w:tcPr>
          <w:p w14:paraId="132331B5">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r>
      <w:tr w14:paraId="510974BB">
        <w:tblPrEx>
          <w:tblCellMar>
            <w:top w:w="0" w:type="dxa"/>
            <w:left w:w="108" w:type="dxa"/>
            <w:bottom w:w="0" w:type="dxa"/>
            <w:right w:w="108" w:type="dxa"/>
          </w:tblCellMar>
        </w:tblPrEx>
        <w:trPr>
          <w:trHeight w:val="105" w:hRule="atLeast"/>
        </w:trPr>
        <w:tc>
          <w:tcPr>
            <w:tcW w:w="419" w:type="pct"/>
            <w:tcBorders>
              <w:top w:val="single" w:color="000000" w:sz="4" w:space="0"/>
              <w:left w:val="single" w:color="000000" w:sz="4" w:space="0"/>
              <w:bottom w:val="single" w:color="000000" w:sz="4" w:space="0"/>
              <w:right w:val="single" w:color="000000" w:sz="4" w:space="0"/>
            </w:tcBorders>
            <w:noWrap/>
            <w:vAlign w:val="center"/>
          </w:tcPr>
          <w:p w14:paraId="543829EF">
            <w:pPr>
              <w:widowControl/>
              <w:jc w:val="center"/>
              <w:rPr>
                <w:rFonts w:ascii="仿宋" w:hAnsi="仿宋" w:eastAsia="仿宋" w:cs="仿宋"/>
                <w:color w:val="auto"/>
                <w:sz w:val="24"/>
              </w:rPr>
            </w:pPr>
            <w:r>
              <w:rPr>
                <w:rFonts w:hint="eastAsia" w:ascii="仿宋" w:hAnsi="仿宋" w:eastAsia="仿宋" w:cs="仿宋"/>
                <w:color w:val="auto"/>
                <w:sz w:val="24"/>
              </w:rPr>
              <w:t>2</w:t>
            </w:r>
          </w:p>
        </w:tc>
        <w:tc>
          <w:tcPr>
            <w:tcW w:w="1239" w:type="pct"/>
            <w:tcBorders>
              <w:top w:val="single" w:color="000000" w:sz="4" w:space="0"/>
              <w:left w:val="single" w:color="000000" w:sz="4" w:space="0"/>
              <w:bottom w:val="single" w:color="000000" w:sz="4" w:space="0"/>
              <w:right w:val="single" w:color="000000" w:sz="4" w:space="0"/>
            </w:tcBorders>
            <w:vAlign w:val="center"/>
          </w:tcPr>
          <w:p w14:paraId="6BEFDBD6">
            <w:pPr>
              <w:widowControl/>
              <w:jc w:val="center"/>
              <w:rPr>
                <w:rFonts w:ascii="仿宋" w:hAnsi="仿宋" w:eastAsia="仿宋" w:cs="仿宋"/>
                <w:color w:val="auto"/>
                <w:sz w:val="24"/>
              </w:rPr>
            </w:pPr>
            <w:r>
              <w:rPr>
                <w:rFonts w:hint="eastAsia" w:ascii="仿宋" w:hAnsi="仿宋" w:eastAsia="仿宋" w:cs="仿宋"/>
                <w:color w:val="auto"/>
                <w:sz w:val="24"/>
                <w:lang w:val="zh-CN"/>
              </w:rPr>
              <w:t>校园园林垃圾及废弃物品清理</w:t>
            </w:r>
          </w:p>
        </w:tc>
        <w:tc>
          <w:tcPr>
            <w:tcW w:w="2304" w:type="pct"/>
            <w:tcBorders>
              <w:top w:val="single" w:color="000000" w:sz="4" w:space="0"/>
              <w:left w:val="single" w:color="000000" w:sz="4" w:space="0"/>
              <w:bottom w:val="single" w:color="000000" w:sz="4" w:space="0"/>
              <w:right w:val="single" w:color="000000" w:sz="4" w:space="0"/>
            </w:tcBorders>
            <w:vAlign w:val="center"/>
          </w:tcPr>
          <w:p w14:paraId="75762CF5">
            <w:pPr>
              <w:widowControl/>
              <w:spacing w:line="400" w:lineRule="exact"/>
              <w:ind w:firstLine="480"/>
              <w:jc w:val="left"/>
              <w:rPr>
                <w:rFonts w:ascii="仿宋" w:hAnsi="仿宋" w:eastAsia="仿宋" w:cs="仿宋"/>
                <w:color w:val="auto"/>
                <w:sz w:val="24"/>
              </w:rPr>
            </w:pPr>
            <w:r>
              <w:rPr>
                <w:rFonts w:hint="eastAsia" w:ascii="仿宋" w:hAnsi="仿宋" w:eastAsia="仿宋" w:cs="仿宋"/>
                <w:color w:val="auto"/>
                <w:sz w:val="24"/>
              </w:rPr>
              <w:t>合同</w:t>
            </w:r>
            <w:r>
              <w:rPr>
                <w:rFonts w:hint="eastAsia" w:ascii="仿宋" w:hAnsi="仿宋" w:eastAsia="仿宋" w:cs="仿宋"/>
                <w:color w:val="auto"/>
                <w:sz w:val="24"/>
                <w:lang w:val="zh-CN"/>
              </w:rPr>
              <w:t>签订时</w:t>
            </w:r>
            <w:r>
              <w:rPr>
                <w:rFonts w:hint="eastAsia" w:ascii="仿宋" w:hAnsi="仿宋" w:eastAsia="仿宋" w:cs="仿宋"/>
                <w:color w:val="auto"/>
                <w:sz w:val="24"/>
              </w:rPr>
              <w:t>根据招标文件第三章采购需求“一、服务需求”填写</w:t>
            </w:r>
          </w:p>
        </w:tc>
        <w:tc>
          <w:tcPr>
            <w:tcW w:w="573" w:type="pct"/>
            <w:tcBorders>
              <w:top w:val="single" w:color="000000" w:sz="4" w:space="0"/>
              <w:left w:val="single" w:color="000000" w:sz="4" w:space="0"/>
              <w:bottom w:val="single" w:color="000000" w:sz="4" w:space="0"/>
              <w:right w:val="single" w:color="000000" w:sz="4" w:space="0"/>
            </w:tcBorders>
            <w:vAlign w:val="center"/>
          </w:tcPr>
          <w:p w14:paraId="2F884836">
            <w:pPr>
              <w:widowControl/>
              <w:jc w:val="center"/>
              <w:rPr>
                <w:rFonts w:ascii="仿宋" w:hAnsi="仿宋" w:eastAsia="仿宋" w:cs="仿宋"/>
                <w:color w:val="auto"/>
                <w:sz w:val="24"/>
                <w:lang w:val="zh-CN"/>
              </w:rPr>
            </w:pPr>
            <w:r>
              <w:rPr>
                <w:rFonts w:hint="eastAsia" w:ascii="仿宋" w:hAnsi="仿宋" w:eastAsia="仿宋" w:cs="仿宋"/>
                <w:color w:val="auto"/>
                <w:sz w:val="24"/>
              </w:rPr>
              <w:t>月</w:t>
            </w:r>
          </w:p>
        </w:tc>
        <w:tc>
          <w:tcPr>
            <w:tcW w:w="463" w:type="pct"/>
            <w:tcBorders>
              <w:top w:val="single" w:color="000000" w:sz="4" w:space="0"/>
              <w:left w:val="single" w:color="000000" w:sz="4" w:space="0"/>
              <w:bottom w:val="single" w:color="000000" w:sz="4" w:space="0"/>
              <w:right w:val="single" w:color="000000" w:sz="4" w:space="0"/>
            </w:tcBorders>
            <w:vAlign w:val="center"/>
          </w:tcPr>
          <w:p w14:paraId="1F656786">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r>
      <w:tr w14:paraId="272F2D4D">
        <w:tblPrEx>
          <w:tblCellMar>
            <w:top w:w="0" w:type="dxa"/>
            <w:left w:w="108" w:type="dxa"/>
            <w:bottom w:w="0" w:type="dxa"/>
            <w:right w:w="108" w:type="dxa"/>
          </w:tblCellMar>
        </w:tblPrEx>
        <w:trPr>
          <w:trHeight w:val="90" w:hRule="atLeast"/>
        </w:trPr>
        <w:tc>
          <w:tcPr>
            <w:tcW w:w="419" w:type="pct"/>
            <w:tcBorders>
              <w:top w:val="single" w:color="000000" w:sz="4" w:space="0"/>
              <w:left w:val="single" w:color="000000" w:sz="4" w:space="0"/>
              <w:bottom w:val="single" w:color="000000" w:sz="4" w:space="0"/>
              <w:right w:val="nil"/>
            </w:tcBorders>
            <w:vAlign w:val="center"/>
          </w:tcPr>
          <w:p w14:paraId="7A8BCA68">
            <w:pPr>
              <w:widowControl/>
              <w:jc w:val="center"/>
              <w:rPr>
                <w:rFonts w:ascii="仿宋" w:hAnsi="仿宋" w:eastAsia="仿宋" w:cs="仿宋"/>
                <w:color w:val="auto"/>
                <w:sz w:val="24"/>
              </w:rPr>
            </w:pPr>
            <w:r>
              <w:rPr>
                <w:rFonts w:hint="eastAsia" w:ascii="仿宋" w:hAnsi="仿宋" w:eastAsia="仿宋" w:cs="仿宋"/>
                <w:color w:val="auto"/>
                <w:sz w:val="24"/>
              </w:rPr>
              <w:t>3</w:t>
            </w:r>
          </w:p>
        </w:tc>
        <w:tc>
          <w:tcPr>
            <w:tcW w:w="1239" w:type="pct"/>
            <w:tcBorders>
              <w:top w:val="single" w:color="000000" w:sz="4" w:space="0"/>
              <w:left w:val="single" w:color="000000" w:sz="4" w:space="0"/>
              <w:bottom w:val="single" w:color="000000" w:sz="4" w:space="0"/>
              <w:right w:val="single" w:color="000000" w:sz="4" w:space="0"/>
            </w:tcBorders>
            <w:vAlign w:val="center"/>
          </w:tcPr>
          <w:p w14:paraId="289E3201">
            <w:pPr>
              <w:widowControl/>
              <w:jc w:val="center"/>
              <w:rPr>
                <w:rFonts w:ascii="仿宋" w:hAnsi="仿宋" w:eastAsia="仿宋" w:cs="仿宋"/>
                <w:color w:val="auto"/>
                <w:sz w:val="24"/>
                <w:lang w:val="zh-CN"/>
              </w:rPr>
            </w:pPr>
            <w:r>
              <w:rPr>
                <w:rFonts w:hint="eastAsia" w:ascii="仿宋" w:hAnsi="仿宋" w:eastAsia="仿宋" w:cs="仿宋"/>
                <w:color w:val="auto"/>
                <w:sz w:val="24"/>
                <w:lang w:val="zh-CN"/>
              </w:rPr>
              <w:t>其他垃圾有偿清运</w:t>
            </w:r>
          </w:p>
        </w:tc>
        <w:tc>
          <w:tcPr>
            <w:tcW w:w="2304" w:type="pct"/>
            <w:tcBorders>
              <w:top w:val="single" w:color="000000" w:sz="4" w:space="0"/>
              <w:left w:val="single" w:color="000000" w:sz="4" w:space="0"/>
              <w:bottom w:val="single" w:color="000000" w:sz="4" w:space="0"/>
              <w:right w:val="single" w:color="000000" w:sz="4" w:space="0"/>
            </w:tcBorders>
            <w:vAlign w:val="center"/>
          </w:tcPr>
          <w:p w14:paraId="23DB94AF">
            <w:pPr>
              <w:widowControl/>
              <w:spacing w:line="400" w:lineRule="exact"/>
              <w:ind w:firstLine="480"/>
              <w:jc w:val="left"/>
              <w:rPr>
                <w:rFonts w:ascii="仿宋" w:hAnsi="仿宋" w:eastAsia="仿宋" w:cs="仿宋"/>
                <w:color w:val="auto"/>
                <w:sz w:val="24"/>
              </w:rPr>
            </w:pPr>
            <w:r>
              <w:rPr>
                <w:rFonts w:hint="eastAsia" w:ascii="仿宋" w:hAnsi="仿宋" w:eastAsia="仿宋" w:cs="仿宋"/>
                <w:color w:val="auto"/>
                <w:sz w:val="24"/>
              </w:rPr>
              <w:t>合同</w:t>
            </w:r>
            <w:r>
              <w:rPr>
                <w:rFonts w:hint="eastAsia" w:ascii="仿宋" w:hAnsi="仿宋" w:eastAsia="仿宋" w:cs="仿宋"/>
                <w:color w:val="auto"/>
                <w:sz w:val="24"/>
                <w:lang w:val="zh-CN"/>
              </w:rPr>
              <w:t>签订时</w:t>
            </w:r>
            <w:r>
              <w:rPr>
                <w:rFonts w:hint="eastAsia" w:ascii="仿宋" w:hAnsi="仿宋" w:eastAsia="仿宋" w:cs="仿宋"/>
                <w:color w:val="auto"/>
                <w:sz w:val="24"/>
              </w:rPr>
              <w:t>根据招标文件第三章采购需求“一、服务需求”填写</w:t>
            </w:r>
          </w:p>
        </w:tc>
        <w:tc>
          <w:tcPr>
            <w:tcW w:w="573" w:type="pct"/>
            <w:tcBorders>
              <w:top w:val="single" w:color="000000" w:sz="4" w:space="0"/>
              <w:left w:val="single" w:color="000000" w:sz="4" w:space="0"/>
              <w:bottom w:val="single" w:color="000000" w:sz="4" w:space="0"/>
              <w:right w:val="single" w:color="000000" w:sz="4" w:space="0"/>
            </w:tcBorders>
            <w:vAlign w:val="center"/>
          </w:tcPr>
          <w:p w14:paraId="452BC792">
            <w:pPr>
              <w:widowControl/>
              <w:jc w:val="center"/>
              <w:rPr>
                <w:rFonts w:ascii="仿宋" w:hAnsi="仿宋" w:eastAsia="仿宋" w:cs="仿宋"/>
                <w:color w:val="auto"/>
                <w:sz w:val="24"/>
                <w:lang w:val="zh-CN"/>
              </w:rPr>
            </w:pPr>
            <w:r>
              <w:rPr>
                <w:rFonts w:hint="eastAsia" w:ascii="仿宋" w:hAnsi="仿宋" w:eastAsia="仿宋" w:cs="仿宋"/>
                <w:color w:val="auto"/>
                <w:sz w:val="24"/>
              </w:rPr>
              <w:t>月</w:t>
            </w:r>
          </w:p>
        </w:tc>
        <w:tc>
          <w:tcPr>
            <w:tcW w:w="463" w:type="pct"/>
            <w:tcBorders>
              <w:top w:val="single" w:color="000000" w:sz="4" w:space="0"/>
              <w:left w:val="single" w:color="000000" w:sz="4" w:space="0"/>
              <w:bottom w:val="single" w:color="000000" w:sz="4" w:space="0"/>
              <w:right w:val="single" w:color="000000" w:sz="4" w:space="0"/>
            </w:tcBorders>
            <w:vAlign w:val="center"/>
          </w:tcPr>
          <w:p w14:paraId="63C5BD96">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10</w:t>
            </w:r>
          </w:p>
        </w:tc>
      </w:tr>
      <w:tr w14:paraId="60FB335C">
        <w:tblPrEx>
          <w:tblCellMar>
            <w:top w:w="0" w:type="dxa"/>
            <w:left w:w="108" w:type="dxa"/>
            <w:bottom w:w="0" w:type="dxa"/>
            <w:right w:w="108" w:type="dxa"/>
          </w:tblCellMar>
        </w:tblPrEx>
        <w:trPr>
          <w:trHeight w:val="380" w:hRule="atLeast"/>
        </w:trPr>
        <w:tc>
          <w:tcPr>
            <w:tcW w:w="419" w:type="pct"/>
            <w:tcBorders>
              <w:top w:val="single" w:color="000000" w:sz="4" w:space="0"/>
              <w:left w:val="single" w:color="000000" w:sz="4" w:space="0"/>
              <w:bottom w:val="single" w:color="000000" w:sz="4" w:space="0"/>
              <w:right w:val="nil"/>
            </w:tcBorders>
            <w:vAlign w:val="center"/>
          </w:tcPr>
          <w:p w14:paraId="3C640E51">
            <w:pPr>
              <w:widowControl/>
              <w:jc w:val="center"/>
              <w:rPr>
                <w:rFonts w:ascii="仿宋" w:hAnsi="仿宋" w:eastAsia="仿宋" w:cs="仿宋"/>
                <w:color w:val="auto"/>
                <w:sz w:val="24"/>
              </w:rPr>
            </w:pPr>
            <w:r>
              <w:rPr>
                <w:rFonts w:hint="eastAsia" w:ascii="仿宋" w:hAnsi="仿宋" w:eastAsia="仿宋" w:cs="仿宋"/>
                <w:color w:val="auto"/>
                <w:sz w:val="24"/>
              </w:rPr>
              <w:t>4</w:t>
            </w:r>
          </w:p>
        </w:tc>
        <w:tc>
          <w:tcPr>
            <w:tcW w:w="1239" w:type="pct"/>
            <w:tcBorders>
              <w:top w:val="single" w:color="000000" w:sz="4" w:space="0"/>
              <w:left w:val="single" w:color="000000" w:sz="4" w:space="0"/>
              <w:bottom w:val="single" w:color="000000" w:sz="4" w:space="0"/>
              <w:right w:val="single" w:color="000000" w:sz="4" w:space="0"/>
            </w:tcBorders>
            <w:vAlign w:val="center"/>
          </w:tcPr>
          <w:p w14:paraId="67E6F82B">
            <w:pPr>
              <w:widowControl/>
              <w:jc w:val="center"/>
              <w:rPr>
                <w:rFonts w:ascii="仿宋" w:hAnsi="仿宋" w:eastAsia="仿宋" w:cs="仿宋"/>
                <w:color w:val="auto"/>
                <w:sz w:val="24"/>
                <w:lang w:val="zh-CN"/>
              </w:rPr>
            </w:pPr>
            <w:r>
              <w:rPr>
                <w:rFonts w:hint="eastAsia" w:ascii="仿宋" w:hAnsi="仿宋" w:eastAsia="仿宋" w:cs="仿宋"/>
                <w:color w:val="auto"/>
                <w:sz w:val="24"/>
                <w:lang w:val="zh-CN"/>
              </w:rPr>
              <w:t>电梯维保</w:t>
            </w:r>
          </w:p>
        </w:tc>
        <w:tc>
          <w:tcPr>
            <w:tcW w:w="2304" w:type="pct"/>
            <w:tcBorders>
              <w:top w:val="single" w:color="000000" w:sz="4" w:space="0"/>
              <w:left w:val="single" w:color="000000" w:sz="4" w:space="0"/>
              <w:bottom w:val="single" w:color="000000" w:sz="4" w:space="0"/>
              <w:right w:val="single" w:color="000000" w:sz="4" w:space="0"/>
            </w:tcBorders>
            <w:vAlign w:val="center"/>
          </w:tcPr>
          <w:p w14:paraId="303AE04F">
            <w:pPr>
              <w:widowControl/>
              <w:spacing w:line="400" w:lineRule="exact"/>
              <w:ind w:firstLine="480"/>
              <w:jc w:val="left"/>
              <w:rPr>
                <w:rFonts w:ascii="仿宋" w:hAnsi="仿宋" w:eastAsia="仿宋" w:cs="仿宋"/>
                <w:color w:val="auto"/>
                <w:sz w:val="24"/>
              </w:rPr>
            </w:pPr>
            <w:r>
              <w:rPr>
                <w:rFonts w:hint="eastAsia" w:ascii="仿宋" w:hAnsi="仿宋" w:eastAsia="仿宋" w:cs="仿宋"/>
                <w:color w:val="auto"/>
                <w:sz w:val="24"/>
              </w:rPr>
              <w:t>合同</w:t>
            </w:r>
            <w:r>
              <w:rPr>
                <w:rFonts w:hint="eastAsia" w:ascii="仿宋" w:hAnsi="仿宋" w:eastAsia="仿宋" w:cs="仿宋"/>
                <w:color w:val="auto"/>
                <w:sz w:val="24"/>
                <w:lang w:val="zh-CN"/>
              </w:rPr>
              <w:t>签订时</w:t>
            </w:r>
            <w:r>
              <w:rPr>
                <w:rFonts w:hint="eastAsia" w:ascii="仿宋" w:hAnsi="仿宋" w:eastAsia="仿宋" w:cs="仿宋"/>
                <w:color w:val="auto"/>
                <w:sz w:val="24"/>
              </w:rPr>
              <w:t>根据招标文件第三章采购需求“一、服务需求”填写</w:t>
            </w:r>
          </w:p>
        </w:tc>
        <w:tc>
          <w:tcPr>
            <w:tcW w:w="573" w:type="pct"/>
            <w:tcBorders>
              <w:top w:val="single" w:color="000000" w:sz="4" w:space="0"/>
              <w:left w:val="single" w:color="000000" w:sz="4" w:space="0"/>
              <w:bottom w:val="single" w:color="000000" w:sz="4" w:space="0"/>
              <w:right w:val="single" w:color="000000" w:sz="4" w:space="0"/>
            </w:tcBorders>
            <w:vAlign w:val="center"/>
          </w:tcPr>
          <w:p w14:paraId="509922C6">
            <w:pPr>
              <w:widowControl/>
              <w:jc w:val="center"/>
              <w:rPr>
                <w:rFonts w:ascii="仿宋" w:hAnsi="仿宋" w:eastAsia="仿宋" w:cs="仿宋"/>
                <w:color w:val="auto"/>
                <w:sz w:val="24"/>
                <w:lang w:val="zh-CN"/>
              </w:rPr>
            </w:pPr>
            <w:r>
              <w:rPr>
                <w:rFonts w:hint="eastAsia" w:ascii="仿宋" w:hAnsi="仿宋" w:eastAsia="仿宋" w:cs="仿宋"/>
                <w:color w:val="auto"/>
                <w:sz w:val="24"/>
              </w:rPr>
              <w:t>月</w:t>
            </w:r>
          </w:p>
        </w:tc>
        <w:tc>
          <w:tcPr>
            <w:tcW w:w="463" w:type="pct"/>
            <w:tcBorders>
              <w:top w:val="single" w:color="000000" w:sz="4" w:space="0"/>
              <w:left w:val="single" w:color="000000" w:sz="4" w:space="0"/>
              <w:bottom w:val="single" w:color="000000" w:sz="4" w:space="0"/>
              <w:right w:val="single" w:color="000000" w:sz="4" w:space="0"/>
            </w:tcBorders>
            <w:vAlign w:val="center"/>
          </w:tcPr>
          <w:p w14:paraId="22533480">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r>
      <w:tr w14:paraId="72645716">
        <w:tblPrEx>
          <w:tblCellMar>
            <w:top w:w="0" w:type="dxa"/>
            <w:left w:w="108" w:type="dxa"/>
            <w:bottom w:w="0" w:type="dxa"/>
            <w:right w:w="108" w:type="dxa"/>
          </w:tblCellMar>
        </w:tblPrEx>
        <w:trPr>
          <w:trHeight w:val="90" w:hRule="atLeast"/>
        </w:trPr>
        <w:tc>
          <w:tcPr>
            <w:tcW w:w="419" w:type="pct"/>
            <w:tcBorders>
              <w:top w:val="single" w:color="000000" w:sz="4" w:space="0"/>
              <w:left w:val="single" w:color="000000" w:sz="4" w:space="0"/>
              <w:bottom w:val="single" w:color="000000" w:sz="4" w:space="0"/>
              <w:right w:val="nil"/>
            </w:tcBorders>
            <w:vAlign w:val="center"/>
          </w:tcPr>
          <w:p w14:paraId="7426C371">
            <w:pPr>
              <w:widowControl/>
              <w:jc w:val="center"/>
              <w:rPr>
                <w:rFonts w:ascii="仿宋" w:hAnsi="仿宋" w:eastAsia="仿宋" w:cs="仿宋"/>
                <w:color w:val="auto"/>
                <w:sz w:val="24"/>
              </w:rPr>
            </w:pPr>
            <w:r>
              <w:rPr>
                <w:rFonts w:hint="eastAsia" w:ascii="仿宋" w:hAnsi="仿宋" w:eastAsia="仿宋" w:cs="仿宋"/>
                <w:color w:val="auto"/>
                <w:sz w:val="24"/>
              </w:rPr>
              <w:t>5</w:t>
            </w:r>
          </w:p>
        </w:tc>
        <w:tc>
          <w:tcPr>
            <w:tcW w:w="1239" w:type="pct"/>
            <w:tcBorders>
              <w:top w:val="single" w:color="000000" w:sz="4" w:space="0"/>
              <w:left w:val="single" w:color="000000" w:sz="4" w:space="0"/>
              <w:bottom w:val="single" w:color="000000" w:sz="4" w:space="0"/>
              <w:right w:val="single" w:color="000000" w:sz="4" w:space="0"/>
            </w:tcBorders>
            <w:vAlign w:val="center"/>
          </w:tcPr>
          <w:p w14:paraId="2963E023">
            <w:pPr>
              <w:widowControl/>
              <w:jc w:val="center"/>
              <w:rPr>
                <w:rFonts w:ascii="仿宋" w:hAnsi="仿宋" w:eastAsia="仿宋" w:cs="仿宋"/>
                <w:color w:val="auto"/>
                <w:sz w:val="24"/>
                <w:lang w:val="zh-CN"/>
              </w:rPr>
            </w:pPr>
            <w:r>
              <w:rPr>
                <w:rFonts w:hint="eastAsia" w:ascii="仿宋" w:hAnsi="仿宋" w:eastAsia="仿宋" w:cs="仿宋"/>
                <w:color w:val="auto"/>
                <w:sz w:val="24"/>
                <w:lang w:val="zh-CN"/>
              </w:rPr>
              <w:t>清洁绿化日常损耗用品采购服务</w:t>
            </w:r>
            <w:r>
              <w:rPr>
                <w:rFonts w:hint="eastAsia" w:ascii="仿宋" w:hAnsi="仿宋" w:eastAsia="仿宋" w:cs="仿宋"/>
                <w:color w:val="auto"/>
                <w:sz w:val="24"/>
              </w:rPr>
              <w:t>包干</w:t>
            </w:r>
          </w:p>
        </w:tc>
        <w:tc>
          <w:tcPr>
            <w:tcW w:w="2304" w:type="pct"/>
            <w:tcBorders>
              <w:top w:val="single" w:color="000000" w:sz="4" w:space="0"/>
              <w:left w:val="single" w:color="000000" w:sz="4" w:space="0"/>
              <w:bottom w:val="single" w:color="000000" w:sz="4" w:space="0"/>
              <w:right w:val="single" w:color="000000" w:sz="4" w:space="0"/>
            </w:tcBorders>
            <w:vAlign w:val="center"/>
          </w:tcPr>
          <w:p w14:paraId="74A14691">
            <w:pPr>
              <w:tabs>
                <w:tab w:val="left" w:pos="426"/>
              </w:tabs>
              <w:spacing w:line="400" w:lineRule="exact"/>
              <w:jc w:val="left"/>
              <w:rPr>
                <w:rFonts w:ascii="仿宋" w:hAnsi="仿宋" w:eastAsia="仿宋" w:cs="仿宋"/>
                <w:color w:val="auto"/>
                <w:sz w:val="24"/>
                <w:lang w:val="zh-CN"/>
              </w:rPr>
            </w:pPr>
            <w:r>
              <w:rPr>
                <w:rFonts w:hint="eastAsia" w:ascii="仿宋" w:hAnsi="仿宋" w:eastAsia="仿宋" w:cs="仿宋"/>
                <w:color w:val="auto"/>
                <w:sz w:val="24"/>
                <w:lang w:val="zh-CN"/>
              </w:rPr>
              <w:t>详见附件《清洁绿化日常损耗用品及服务清单》，乙方根据《清洁绿化日常损耗用品及服务清单》每季度提交供应计划经甲方确认后，提供用品及服务。（注：合同签订时以成交供应商报价清单作为附件</w:t>
            </w:r>
            <w:r>
              <w:rPr>
                <w:rFonts w:hint="eastAsia" w:ascii="仿宋" w:hAnsi="仿宋" w:eastAsia="仿宋" w:cs="仿宋"/>
                <w:color w:val="auto"/>
                <w:sz w:val="24"/>
              </w:rPr>
              <w:t>）</w:t>
            </w:r>
            <w:r>
              <w:rPr>
                <w:rFonts w:hint="eastAsia" w:ascii="仿宋" w:hAnsi="仿宋" w:eastAsia="仿宋" w:cs="仿宋"/>
                <w:color w:val="auto"/>
                <w:sz w:val="24"/>
                <w:highlight w:val="yellow"/>
              </w:rPr>
              <w:t>（附件3</w:t>
            </w:r>
            <w:r>
              <w:rPr>
                <w:rFonts w:hint="eastAsia" w:ascii="仿宋" w:hAnsi="仿宋" w:eastAsia="仿宋" w:cs="仿宋"/>
                <w:color w:val="auto"/>
                <w:sz w:val="24"/>
                <w:highlight w:val="yellow"/>
                <w:lang w:val="zh-CN"/>
              </w:rPr>
              <w:t>）</w:t>
            </w:r>
          </w:p>
        </w:tc>
        <w:tc>
          <w:tcPr>
            <w:tcW w:w="573" w:type="pct"/>
            <w:tcBorders>
              <w:top w:val="single" w:color="000000" w:sz="4" w:space="0"/>
              <w:left w:val="single" w:color="000000" w:sz="4" w:space="0"/>
              <w:bottom w:val="single" w:color="000000" w:sz="4" w:space="0"/>
              <w:right w:val="single" w:color="000000" w:sz="4" w:space="0"/>
            </w:tcBorders>
            <w:vAlign w:val="center"/>
          </w:tcPr>
          <w:p w14:paraId="73B69847">
            <w:pPr>
              <w:widowControl/>
              <w:jc w:val="center"/>
              <w:rPr>
                <w:rFonts w:ascii="仿宋" w:hAnsi="仿宋" w:eastAsia="仿宋" w:cs="仿宋"/>
                <w:color w:val="auto"/>
                <w:sz w:val="24"/>
              </w:rPr>
            </w:pPr>
            <w:r>
              <w:rPr>
                <w:rFonts w:hint="eastAsia" w:ascii="仿宋" w:hAnsi="仿宋" w:eastAsia="仿宋" w:cs="仿宋"/>
                <w:color w:val="auto"/>
                <w:sz w:val="24"/>
              </w:rPr>
              <w:t>批</w:t>
            </w:r>
          </w:p>
        </w:tc>
        <w:tc>
          <w:tcPr>
            <w:tcW w:w="463" w:type="pct"/>
            <w:tcBorders>
              <w:top w:val="single" w:color="000000" w:sz="4" w:space="0"/>
              <w:left w:val="single" w:color="000000" w:sz="4" w:space="0"/>
              <w:bottom w:val="single" w:color="000000" w:sz="4" w:space="0"/>
              <w:right w:val="single" w:color="000000" w:sz="4" w:space="0"/>
            </w:tcBorders>
            <w:vAlign w:val="center"/>
          </w:tcPr>
          <w:p w14:paraId="6F11EF6B">
            <w:pPr>
              <w:widowControl/>
              <w:jc w:val="center"/>
              <w:rPr>
                <w:rFonts w:ascii="仿宋" w:hAnsi="仿宋" w:eastAsia="仿宋" w:cs="仿宋"/>
                <w:color w:val="auto"/>
                <w:sz w:val="24"/>
              </w:rPr>
            </w:pPr>
            <w:r>
              <w:rPr>
                <w:rFonts w:hint="eastAsia" w:ascii="仿宋" w:hAnsi="仿宋" w:eastAsia="仿宋" w:cs="仿宋"/>
                <w:color w:val="auto"/>
                <w:sz w:val="24"/>
              </w:rPr>
              <w:t>1</w:t>
            </w:r>
          </w:p>
        </w:tc>
      </w:tr>
      <w:tr w14:paraId="730ADB59">
        <w:tblPrEx>
          <w:tblCellMar>
            <w:top w:w="0" w:type="dxa"/>
            <w:left w:w="108" w:type="dxa"/>
            <w:bottom w:w="0" w:type="dxa"/>
            <w:right w:w="108" w:type="dxa"/>
          </w:tblCellMar>
        </w:tblPrEx>
        <w:trPr>
          <w:trHeight w:val="90" w:hRule="atLeast"/>
        </w:trPr>
        <w:tc>
          <w:tcPr>
            <w:tcW w:w="419" w:type="pct"/>
            <w:tcBorders>
              <w:top w:val="single" w:color="000000" w:sz="4" w:space="0"/>
              <w:left w:val="single" w:color="000000" w:sz="4" w:space="0"/>
              <w:bottom w:val="single" w:color="000000" w:sz="4" w:space="0"/>
              <w:right w:val="nil"/>
            </w:tcBorders>
            <w:vAlign w:val="center"/>
          </w:tcPr>
          <w:p w14:paraId="5CD475AF">
            <w:pPr>
              <w:widowControl/>
              <w:jc w:val="center"/>
              <w:rPr>
                <w:rFonts w:ascii="仿宋" w:hAnsi="仿宋" w:eastAsia="仿宋" w:cs="仿宋"/>
                <w:color w:val="auto"/>
                <w:sz w:val="24"/>
              </w:rPr>
            </w:pPr>
            <w:r>
              <w:rPr>
                <w:rFonts w:hint="eastAsia" w:ascii="仿宋" w:hAnsi="仿宋" w:eastAsia="仿宋" w:cs="仿宋"/>
                <w:color w:val="auto"/>
                <w:sz w:val="24"/>
              </w:rPr>
              <w:t>6</w:t>
            </w:r>
          </w:p>
        </w:tc>
        <w:tc>
          <w:tcPr>
            <w:tcW w:w="1239" w:type="pct"/>
            <w:tcBorders>
              <w:top w:val="single" w:color="000000" w:sz="4" w:space="0"/>
              <w:left w:val="single" w:color="000000" w:sz="4" w:space="0"/>
              <w:bottom w:val="single" w:color="000000" w:sz="4" w:space="0"/>
              <w:right w:val="single" w:color="000000" w:sz="4" w:space="0"/>
            </w:tcBorders>
            <w:vAlign w:val="center"/>
          </w:tcPr>
          <w:p w14:paraId="2EC60558">
            <w:pPr>
              <w:widowControl/>
              <w:jc w:val="center"/>
              <w:rPr>
                <w:rFonts w:ascii="仿宋" w:hAnsi="仿宋" w:eastAsia="仿宋" w:cs="仿宋"/>
                <w:color w:val="auto"/>
                <w:sz w:val="24"/>
              </w:rPr>
            </w:pPr>
            <w:r>
              <w:rPr>
                <w:rFonts w:hint="eastAsia" w:ascii="仿宋" w:hAnsi="仿宋" w:eastAsia="仿宋" w:cs="仿宋"/>
                <w:color w:val="auto"/>
                <w:sz w:val="24"/>
              </w:rPr>
              <w:t>其他服务</w:t>
            </w:r>
          </w:p>
        </w:tc>
        <w:tc>
          <w:tcPr>
            <w:tcW w:w="2304" w:type="pct"/>
            <w:tcBorders>
              <w:top w:val="single" w:color="000000" w:sz="4" w:space="0"/>
              <w:left w:val="single" w:color="000000" w:sz="4" w:space="0"/>
              <w:bottom w:val="single" w:color="000000" w:sz="4" w:space="0"/>
              <w:right w:val="single" w:color="000000" w:sz="4" w:space="0"/>
            </w:tcBorders>
            <w:vAlign w:val="center"/>
          </w:tcPr>
          <w:p w14:paraId="1EB0A146">
            <w:pPr>
              <w:tabs>
                <w:tab w:val="left" w:pos="426"/>
              </w:tabs>
              <w:spacing w:line="400" w:lineRule="exact"/>
              <w:jc w:val="left"/>
              <w:rPr>
                <w:rFonts w:ascii="仿宋" w:hAnsi="仿宋" w:eastAsia="仿宋" w:cs="仿宋"/>
                <w:color w:val="auto"/>
                <w:sz w:val="24"/>
              </w:rPr>
            </w:pPr>
            <w:r>
              <w:rPr>
                <w:rFonts w:hint="eastAsia" w:ascii="仿宋" w:hAnsi="仿宋" w:eastAsia="仿宋" w:cs="仿宋"/>
                <w:color w:val="auto"/>
                <w:sz w:val="24"/>
              </w:rPr>
              <w:t>乙方承诺随时可以调动本公司人力资源（应急支援人员不少于30人） 及保洁绿化设施设备支援学校应急重大活动保障能力。</w:t>
            </w:r>
          </w:p>
        </w:tc>
        <w:tc>
          <w:tcPr>
            <w:tcW w:w="573" w:type="pct"/>
            <w:tcBorders>
              <w:top w:val="single" w:color="000000" w:sz="4" w:space="0"/>
              <w:left w:val="single" w:color="000000" w:sz="4" w:space="0"/>
              <w:bottom w:val="single" w:color="000000" w:sz="4" w:space="0"/>
              <w:right w:val="single" w:color="000000" w:sz="4" w:space="0"/>
            </w:tcBorders>
            <w:vAlign w:val="center"/>
          </w:tcPr>
          <w:p w14:paraId="1427D6C7">
            <w:pPr>
              <w:widowControl/>
              <w:jc w:val="center"/>
              <w:rPr>
                <w:rFonts w:ascii="仿宋" w:hAnsi="仿宋" w:eastAsia="仿宋" w:cs="仿宋"/>
                <w:color w:val="auto"/>
                <w:sz w:val="24"/>
              </w:rPr>
            </w:pPr>
            <w:r>
              <w:rPr>
                <w:rFonts w:hint="eastAsia" w:ascii="仿宋" w:hAnsi="仿宋" w:eastAsia="仿宋" w:cs="仿宋"/>
                <w:color w:val="auto"/>
                <w:sz w:val="24"/>
              </w:rPr>
              <w:t>项</w:t>
            </w:r>
          </w:p>
        </w:tc>
        <w:tc>
          <w:tcPr>
            <w:tcW w:w="463" w:type="pct"/>
            <w:tcBorders>
              <w:top w:val="single" w:color="000000" w:sz="4" w:space="0"/>
              <w:left w:val="single" w:color="000000" w:sz="4" w:space="0"/>
              <w:bottom w:val="single" w:color="000000" w:sz="4" w:space="0"/>
              <w:right w:val="single" w:color="000000" w:sz="4" w:space="0"/>
            </w:tcBorders>
            <w:vAlign w:val="center"/>
          </w:tcPr>
          <w:p w14:paraId="492116C1">
            <w:pPr>
              <w:widowControl/>
              <w:jc w:val="center"/>
              <w:rPr>
                <w:rFonts w:ascii="仿宋" w:hAnsi="仿宋" w:eastAsia="仿宋" w:cs="仿宋"/>
                <w:color w:val="auto"/>
                <w:sz w:val="24"/>
              </w:rPr>
            </w:pPr>
            <w:r>
              <w:rPr>
                <w:rFonts w:hint="eastAsia" w:ascii="仿宋" w:hAnsi="仿宋" w:eastAsia="仿宋" w:cs="仿宋"/>
                <w:color w:val="auto"/>
                <w:sz w:val="24"/>
              </w:rPr>
              <w:t>1</w:t>
            </w:r>
          </w:p>
        </w:tc>
      </w:tr>
    </w:tbl>
    <w:p w14:paraId="7206CF4D">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二、派驻管理人员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3340"/>
        <w:gridCol w:w="1650"/>
      </w:tblGrid>
      <w:tr w14:paraId="66496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C1C7982">
            <w:pPr>
              <w:widowControl/>
              <w:spacing w:line="520" w:lineRule="exact"/>
              <w:jc w:val="center"/>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派驻岗位</w:t>
            </w:r>
          </w:p>
        </w:tc>
        <w:tc>
          <w:tcPr>
            <w:tcW w:w="1704" w:type="dxa"/>
          </w:tcPr>
          <w:p w14:paraId="73A179B3">
            <w:pPr>
              <w:widowControl/>
              <w:spacing w:line="520" w:lineRule="exact"/>
              <w:jc w:val="center"/>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姓名</w:t>
            </w:r>
          </w:p>
        </w:tc>
        <w:tc>
          <w:tcPr>
            <w:tcW w:w="3340" w:type="dxa"/>
          </w:tcPr>
          <w:p w14:paraId="7E58D966">
            <w:pPr>
              <w:widowControl/>
              <w:spacing w:line="520" w:lineRule="exact"/>
              <w:jc w:val="center"/>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身份证号</w:t>
            </w:r>
          </w:p>
        </w:tc>
        <w:tc>
          <w:tcPr>
            <w:tcW w:w="1650" w:type="dxa"/>
          </w:tcPr>
          <w:p w14:paraId="23D1F65F">
            <w:pPr>
              <w:widowControl/>
              <w:spacing w:line="520" w:lineRule="exact"/>
              <w:jc w:val="center"/>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联系电话</w:t>
            </w:r>
          </w:p>
        </w:tc>
      </w:tr>
      <w:tr w14:paraId="6C12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6AB14BB1">
            <w:pPr>
              <w:widowControl/>
              <w:spacing w:line="520" w:lineRule="exact"/>
              <w:rPr>
                <w:rFonts w:ascii="仿宋" w:hAnsi="仿宋" w:eastAsia="仿宋" w:cs="仿宋"/>
                <w:color w:val="auto"/>
                <w:sz w:val="24"/>
                <w:shd w:val="clear" w:color="auto" w:fill="FFFFFF"/>
              </w:rPr>
            </w:pPr>
          </w:p>
        </w:tc>
        <w:tc>
          <w:tcPr>
            <w:tcW w:w="1704" w:type="dxa"/>
          </w:tcPr>
          <w:p w14:paraId="46363605">
            <w:pPr>
              <w:widowControl/>
              <w:spacing w:line="520" w:lineRule="exact"/>
              <w:rPr>
                <w:rFonts w:ascii="仿宋" w:hAnsi="仿宋" w:eastAsia="仿宋" w:cs="仿宋"/>
                <w:color w:val="auto"/>
                <w:sz w:val="24"/>
                <w:shd w:val="clear" w:color="auto" w:fill="FFFFFF"/>
              </w:rPr>
            </w:pPr>
          </w:p>
        </w:tc>
        <w:tc>
          <w:tcPr>
            <w:tcW w:w="3340" w:type="dxa"/>
          </w:tcPr>
          <w:p w14:paraId="146C0C1E">
            <w:pPr>
              <w:widowControl/>
              <w:spacing w:line="520" w:lineRule="exact"/>
              <w:rPr>
                <w:rFonts w:ascii="仿宋" w:hAnsi="仿宋" w:eastAsia="仿宋" w:cs="仿宋"/>
                <w:color w:val="auto"/>
                <w:sz w:val="24"/>
                <w:shd w:val="clear" w:color="auto" w:fill="FFFFFF"/>
              </w:rPr>
            </w:pPr>
          </w:p>
        </w:tc>
        <w:tc>
          <w:tcPr>
            <w:tcW w:w="1650" w:type="dxa"/>
          </w:tcPr>
          <w:p w14:paraId="72EDF2E6">
            <w:pPr>
              <w:widowControl/>
              <w:spacing w:line="520" w:lineRule="exact"/>
              <w:rPr>
                <w:rFonts w:ascii="仿宋" w:hAnsi="仿宋" w:eastAsia="仿宋" w:cs="仿宋"/>
                <w:color w:val="auto"/>
                <w:sz w:val="24"/>
                <w:shd w:val="clear" w:color="auto" w:fill="FFFFFF"/>
              </w:rPr>
            </w:pPr>
          </w:p>
        </w:tc>
      </w:tr>
      <w:tr w14:paraId="2FAF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7DE28E1B">
            <w:pPr>
              <w:widowControl/>
              <w:spacing w:line="520" w:lineRule="exact"/>
              <w:rPr>
                <w:rFonts w:ascii="仿宋" w:hAnsi="仿宋" w:eastAsia="仿宋" w:cs="仿宋"/>
                <w:color w:val="auto"/>
                <w:sz w:val="24"/>
                <w:shd w:val="clear" w:color="auto" w:fill="FFFFFF"/>
              </w:rPr>
            </w:pPr>
          </w:p>
        </w:tc>
        <w:tc>
          <w:tcPr>
            <w:tcW w:w="1704" w:type="dxa"/>
          </w:tcPr>
          <w:p w14:paraId="437AE8CA">
            <w:pPr>
              <w:widowControl/>
              <w:spacing w:line="520" w:lineRule="exact"/>
              <w:rPr>
                <w:rFonts w:ascii="仿宋" w:hAnsi="仿宋" w:eastAsia="仿宋" w:cs="仿宋"/>
                <w:color w:val="auto"/>
                <w:sz w:val="24"/>
                <w:shd w:val="clear" w:color="auto" w:fill="FFFFFF"/>
              </w:rPr>
            </w:pPr>
          </w:p>
        </w:tc>
        <w:tc>
          <w:tcPr>
            <w:tcW w:w="3340" w:type="dxa"/>
          </w:tcPr>
          <w:p w14:paraId="6705ECE7">
            <w:pPr>
              <w:widowControl/>
              <w:spacing w:line="520" w:lineRule="exact"/>
              <w:rPr>
                <w:rFonts w:ascii="仿宋" w:hAnsi="仿宋" w:eastAsia="仿宋" w:cs="仿宋"/>
                <w:color w:val="auto"/>
                <w:sz w:val="24"/>
                <w:shd w:val="clear" w:color="auto" w:fill="FFFFFF"/>
              </w:rPr>
            </w:pPr>
          </w:p>
        </w:tc>
        <w:tc>
          <w:tcPr>
            <w:tcW w:w="1650" w:type="dxa"/>
          </w:tcPr>
          <w:p w14:paraId="477C9B9D">
            <w:pPr>
              <w:widowControl/>
              <w:spacing w:line="520" w:lineRule="exact"/>
              <w:rPr>
                <w:rFonts w:ascii="仿宋" w:hAnsi="仿宋" w:eastAsia="仿宋" w:cs="仿宋"/>
                <w:color w:val="auto"/>
                <w:sz w:val="24"/>
                <w:shd w:val="clear" w:color="auto" w:fill="FFFFFF"/>
              </w:rPr>
            </w:pPr>
          </w:p>
        </w:tc>
      </w:tr>
      <w:tr w14:paraId="1CF6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9C054A3">
            <w:pPr>
              <w:widowControl/>
              <w:spacing w:line="520" w:lineRule="exact"/>
              <w:rPr>
                <w:rFonts w:ascii="仿宋" w:hAnsi="仿宋" w:eastAsia="仿宋" w:cs="仿宋"/>
                <w:color w:val="auto"/>
                <w:sz w:val="24"/>
                <w:shd w:val="clear" w:color="auto" w:fill="FFFFFF"/>
              </w:rPr>
            </w:pPr>
          </w:p>
        </w:tc>
        <w:tc>
          <w:tcPr>
            <w:tcW w:w="1704" w:type="dxa"/>
          </w:tcPr>
          <w:p w14:paraId="73E3B203">
            <w:pPr>
              <w:widowControl/>
              <w:spacing w:line="520" w:lineRule="exact"/>
              <w:rPr>
                <w:rFonts w:ascii="仿宋" w:hAnsi="仿宋" w:eastAsia="仿宋" w:cs="仿宋"/>
                <w:color w:val="auto"/>
                <w:sz w:val="24"/>
                <w:shd w:val="clear" w:color="auto" w:fill="FFFFFF"/>
              </w:rPr>
            </w:pPr>
          </w:p>
        </w:tc>
        <w:tc>
          <w:tcPr>
            <w:tcW w:w="3340" w:type="dxa"/>
          </w:tcPr>
          <w:p w14:paraId="2CED8ED0">
            <w:pPr>
              <w:widowControl/>
              <w:spacing w:line="520" w:lineRule="exact"/>
              <w:rPr>
                <w:rFonts w:ascii="仿宋" w:hAnsi="仿宋" w:eastAsia="仿宋" w:cs="仿宋"/>
                <w:color w:val="auto"/>
                <w:sz w:val="24"/>
                <w:shd w:val="clear" w:color="auto" w:fill="FFFFFF"/>
              </w:rPr>
            </w:pPr>
          </w:p>
        </w:tc>
        <w:tc>
          <w:tcPr>
            <w:tcW w:w="1650" w:type="dxa"/>
          </w:tcPr>
          <w:p w14:paraId="2F8DA449">
            <w:pPr>
              <w:widowControl/>
              <w:spacing w:line="520" w:lineRule="exact"/>
              <w:rPr>
                <w:rFonts w:ascii="仿宋" w:hAnsi="仿宋" w:eastAsia="仿宋" w:cs="仿宋"/>
                <w:color w:val="auto"/>
                <w:sz w:val="24"/>
                <w:shd w:val="clear" w:color="auto" w:fill="FFFFFF"/>
              </w:rPr>
            </w:pPr>
          </w:p>
        </w:tc>
      </w:tr>
    </w:tbl>
    <w:p w14:paraId="3226D392">
      <w:pPr>
        <w:widowControl/>
        <w:spacing w:line="360" w:lineRule="auto"/>
        <w:ind w:firstLine="480" w:firstLineChars="200"/>
        <w:jc w:val="left"/>
        <w:rPr>
          <w:rFonts w:ascii="仿宋" w:hAnsi="仿宋" w:eastAsia="仿宋" w:cs="仿宋"/>
          <w:b/>
          <w:bCs/>
          <w:color w:val="auto"/>
          <w:sz w:val="24"/>
          <w:shd w:val="clear" w:color="auto" w:fill="FFFFFF"/>
        </w:rPr>
      </w:pPr>
      <w:r>
        <w:rPr>
          <w:rFonts w:hint="eastAsia" w:ascii="仿宋" w:hAnsi="仿宋" w:eastAsia="仿宋" w:cs="仿宋"/>
          <w:color w:val="auto"/>
          <w:sz w:val="24"/>
          <w:shd w:val="clear" w:color="auto" w:fill="FFFFFF"/>
        </w:rPr>
        <w:t>履约期内，乙方不得擅自更换以上人员，如因特殊情况需要变动，须书面经甲方同意，所替换的人员资质须符合投标承诺要求，否则甲方有权拒绝并按违约处理。</w:t>
      </w:r>
    </w:p>
    <w:p w14:paraId="2348B49E">
      <w:pPr>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三、履约保证金</w:t>
      </w:r>
    </w:p>
    <w:p w14:paraId="28249C9C">
      <w:pPr>
        <w:widowControl/>
        <w:shd w:val="clear" w:color="auto" w:fill="FFFFFF"/>
        <w:spacing w:line="520" w:lineRule="exact"/>
        <w:ind w:firstLine="480" w:firstLineChars="200"/>
        <w:rPr>
          <w:rFonts w:ascii="仿宋" w:hAnsi="仿宋" w:eastAsia="仿宋" w:cs="仿宋"/>
          <w:color w:val="auto"/>
          <w:sz w:val="24"/>
          <w:shd w:val="clear" w:color="auto" w:fill="FFFFFF"/>
          <w:lang w:val="zh-CN"/>
        </w:rPr>
      </w:pPr>
      <w:r>
        <w:rPr>
          <w:rFonts w:hint="eastAsia" w:ascii="仿宋" w:hAnsi="仿宋" w:eastAsia="仿宋" w:cs="仿宋"/>
          <w:color w:val="auto"/>
          <w:sz w:val="24"/>
          <w:shd w:val="clear" w:color="auto" w:fill="FFFFFF"/>
          <w:lang w:val="zh-CN"/>
        </w:rPr>
        <w:t>乙方应在合同签订（成交公告发布后5个工作日内签合同）前交纳履约保证金（可自主选择以支票、汇票、本票、保函等非现金形式缴纳或提交保证金），履约保证金为成交金额的3%，服务期满一年后,采购人对供应商合同履约情况进行验收，存在的问题进行整改，如供应商不能按时整改，采购人有权从履约保证金中扣除相应的费用。验收合格，经采购人确认后,采购人将履约保证金退还成交供应商。成交供应商如未能按合同要求履约，采购人有权从履约保证金中取得补偿。</w:t>
      </w:r>
    </w:p>
    <w:p w14:paraId="03E3A8D4">
      <w:pPr>
        <w:widowControl/>
        <w:shd w:val="clear" w:color="auto" w:fill="FFFFFF"/>
        <w:spacing w:line="520" w:lineRule="exact"/>
        <w:ind w:firstLine="482" w:firstLineChars="200"/>
        <w:rPr>
          <w:rFonts w:ascii="仿宋" w:hAnsi="仿宋" w:eastAsia="仿宋" w:cs="仿宋"/>
          <w:b/>
          <w:bCs/>
          <w:color w:val="auto"/>
          <w:sz w:val="24"/>
        </w:rPr>
      </w:pPr>
      <w:r>
        <w:rPr>
          <w:rFonts w:hint="eastAsia" w:ascii="仿宋" w:hAnsi="仿宋" w:eastAsia="仿宋" w:cs="仿宋"/>
          <w:b/>
          <w:bCs/>
          <w:color w:val="auto"/>
          <w:sz w:val="24"/>
          <w:shd w:val="clear" w:color="auto" w:fill="FFFFFF"/>
        </w:rPr>
        <w:t>四、</w:t>
      </w:r>
      <w:r>
        <w:rPr>
          <w:rFonts w:hint="eastAsia" w:ascii="仿宋" w:hAnsi="仿宋" w:eastAsia="仿宋" w:cs="仿宋"/>
          <w:b/>
          <w:bCs/>
          <w:color w:val="auto"/>
          <w:sz w:val="24"/>
        </w:rPr>
        <w:t>付款方式</w:t>
      </w:r>
    </w:p>
    <w:p w14:paraId="49907658">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（一）保洁服务、绿化养护、安保服务、水电维修及食品安全管理</w:t>
      </w:r>
    </w:p>
    <w:p w14:paraId="57C3E724">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1.甲方每月根据</w:t>
      </w:r>
      <w:bookmarkStart w:id="0" w:name="_Hlk190963801"/>
      <w:r>
        <w:rPr>
          <w:rFonts w:hint="eastAsia" w:ascii="仿宋" w:hAnsi="仿宋" w:eastAsia="仿宋" w:cs="仿宋"/>
          <w:color w:val="auto"/>
          <w:sz w:val="24"/>
          <w:shd w:val="clear" w:color="auto" w:fill="FFFFFF"/>
        </w:rPr>
        <w:t>《</w:t>
      </w:r>
      <w:bookmarkEnd w:id="0"/>
      <w:r>
        <w:rPr>
          <w:rFonts w:hint="eastAsia" w:ascii="仿宋" w:hAnsi="仿宋" w:eastAsia="仿宋" w:cs="仿宋"/>
          <w:color w:val="auto"/>
          <w:sz w:val="24"/>
          <w:shd w:val="clear" w:color="auto" w:fill="FFFFFF"/>
        </w:rPr>
        <w:t>物业服务质量考核办法》</w:t>
      </w:r>
      <w:r>
        <w:rPr>
          <w:rFonts w:hint="eastAsia" w:ascii="仿宋" w:hAnsi="仿宋" w:eastAsia="仿宋" w:cs="仿宋"/>
          <w:color w:val="auto"/>
          <w:sz w:val="24"/>
          <w:highlight w:val="yellow"/>
          <w:shd w:val="clear" w:color="auto" w:fill="FFFFFF"/>
        </w:rPr>
        <w:t>（见附件4）</w:t>
      </w:r>
      <w:r>
        <w:rPr>
          <w:rFonts w:hint="eastAsia" w:ascii="仿宋" w:hAnsi="仿宋" w:eastAsia="仿宋" w:cs="仿宋"/>
          <w:color w:val="auto"/>
          <w:sz w:val="24"/>
          <w:shd w:val="clear" w:color="auto" w:fill="FFFFFF"/>
        </w:rPr>
        <w:t>对乙方进行考核，并根据乙方托管服务的成效来确定每月的委托管理费金额：</w:t>
      </w:r>
    </w:p>
    <w:p w14:paraId="16268D48">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（1）人工成本费按上岗实际人数和上岗实际时间给予费用。</w:t>
      </w:r>
    </w:p>
    <w:p w14:paraId="3E819B0C">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（2）托管服务质量月考核评分在90分以上（含90分），甲方支付全额</w:t>
      </w:r>
      <w:r>
        <w:rPr>
          <w:rFonts w:hint="eastAsia" w:ascii="仿宋" w:hAnsi="仿宋" w:eastAsia="仿宋" w:cs="仿宋"/>
          <w:color w:val="auto"/>
          <w:sz w:val="24"/>
        </w:rPr>
        <w:t>托管服务费</w:t>
      </w:r>
      <w:r>
        <w:rPr>
          <w:rFonts w:hint="eastAsia" w:ascii="仿宋" w:hAnsi="仿宋" w:eastAsia="仿宋" w:cs="仿宋"/>
          <w:color w:val="auto"/>
          <w:sz w:val="24"/>
          <w:shd w:val="clear" w:color="auto" w:fill="FFFFFF"/>
        </w:rPr>
        <w:t>给乙方；</w:t>
      </w:r>
    </w:p>
    <w:p w14:paraId="6396ED2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（3）托管服务质量月考核评分在80分（含80分）以上不满90分的，甲方支付</w:t>
      </w:r>
      <w:r>
        <w:rPr>
          <w:rFonts w:hint="eastAsia" w:ascii="仿宋" w:hAnsi="仿宋" w:eastAsia="仿宋" w:cs="仿宋"/>
          <w:color w:val="auto"/>
          <w:sz w:val="24"/>
        </w:rPr>
        <w:t>托管服务费</w:t>
      </w:r>
      <w:r>
        <w:rPr>
          <w:rFonts w:hint="eastAsia" w:ascii="仿宋" w:hAnsi="仿宋" w:eastAsia="仿宋" w:cs="仿宋"/>
          <w:color w:val="auto"/>
          <w:sz w:val="24"/>
          <w:shd w:val="clear" w:color="auto" w:fill="FFFFFF"/>
        </w:rPr>
        <w:t>的90%给乙方；</w:t>
      </w:r>
    </w:p>
    <w:p w14:paraId="494F8C64">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（4）托管服务质量月考核评分在70分（含70分）以上不满80分的，甲方支付</w:t>
      </w:r>
      <w:r>
        <w:rPr>
          <w:rFonts w:hint="eastAsia" w:ascii="仿宋" w:hAnsi="仿宋" w:eastAsia="仿宋" w:cs="仿宋"/>
          <w:color w:val="auto"/>
          <w:sz w:val="24"/>
        </w:rPr>
        <w:t>托管服务费</w:t>
      </w:r>
      <w:r>
        <w:rPr>
          <w:rFonts w:hint="eastAsia" w:ascii="仿宋" w:hAnsi="仿宋" w:eastAsia="仿宋" w:cs="仿宋"/>
          <w:color w:val="auto"/>
          <w:sz w:val="24"/>
          <w:shd w:val="clear" w:color="auto" w:fill="FFFFFF"/>
        </w:rPr>
        <w:t>的80%给乙方；</w:t>
      </w:r>
    </w:p>
    <w:p w14:paraId="061E3ADE">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（5）若托管服务质量月考核评分不满70分的，则甲方仅支付50%的</w:t>
      </w:r>
      <w:r>
        <w:rPr>
          <w:rFonts w:hint="eastAsia" w:ascii="仿宋" w:hAnsi="仿宋" w:eastAsia="仿宋" w:cs="仿宋"/>
          <w:color w:val="auto"/>
          <w:sz w:val="24"/>
        </w:rPr>
        <w:t>托管服务费</w:t>
      </w:r>
      <w:r>
        <w:rPr>
          <w:rFonts w:hint="eastAsia" w:ascii="仿宋" w:hAnsi="仿宋" w:eastAsia="仿宋" w:cs="仿宋"/>
          <w:color w:val="auto"/>
          <w:sz w:val="24"/>
          <w:shd w:val="clear" w:color="auto" w:fill="FFFFFF"/>
        </w:rPr>
        <w:t>给乙方，且甲方有权要求乙方整改；若乙方连续两个月托管服务质量月考核评分不满70分的，甲方有权解除合同，并要求乙方支付合同总金额20%的违约金。甲方有权从下个月应支付给乙方的款额中扣除相应的违约金。</w:t>
      </w:r>
    </w:p>
    <w:p w14:paraId="4E2E063C">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甲方按每月双方核定的委托管理费定期向乙方支付上月费用；每月5日前乙方向甲方提供增值税普通发票和核定考核汇总表，甲方根据对乙方托管服务的考核，在收到发票和核定考核汇总表无异议后3个工作日内支付相应的委托管理费。</w:t>
      </w:r>
    </w:p>
    <w:p w14:paraId="6152369D">
      <w:pPr>
        <w:widowControl/>
        <w:shd w:val="clear" w:color="auto" w:fill="FFFFFF"/>
        <w:spacing w:line="520" w:lineRule="exact"/>
        <w:ind w:firstLine="482" w:firstLineChars="200"/>
        <w:rPr>
          <w:rFonts w:ascii="仿宋" w:hAnsi="仿宋" w:eastAsia="仿宋" w:cs="仿宋"/>
          <w:b/>
          <w:bCs/>
          <w:color w:val="auto"/>
          <w:sz w:val="24"/>
          <w:lang w:val="zh-CN"/>
        </w:rPr>
      </w:pPr>
      <w:r>
        <w:rPr>
          <w:rFonts w:hint="eastAsia" w:ascii="仿宋" w:hAnsi="仿宋" w:eastAsia="仿宋" w:cs="仿宋"/>
          <w:b/>
          <w:bCs/>
          <w:color w:val="auto"/>
          <w:sz w:val="24"/>
        </w:rPr>
        <w:t>(二）</w:t>
      </w:r>
      <w:r>
        <w:rPr>
          <w:rFonts w:hint="eastAsia" w:ascii="仿宋" w:hAnsi="仿宋" w:eastAsia="仿宋" w:cs="仿宋"/>
          <w:b/>
          <w:bCs/>
          <w:color w:val="auto"/>
          <w:sz w:val="24"/>
          <w:lang w:val="zh-CN"/>
        </w:rPr>
        <w:t>清洁绿化日常损耗用品采购服务</w:t>
      </w:r>
      <w:r>
        <w:rPr>
          <w:rFonts w:hint="eastAsia" w:ascii="仿宋" w:hAnsi="仿宋" w:eastAsia="仿宋" w:cs="仿宋"/>
          <w:b/>
          <w:bCs/>
          <w:color w:val="auto"/>
          <w:sz w:val="24"/>
        </w:rPr>
        <w:t>包干</w:t>
      </w:r>
    </w:p>
    <w:p w14:paraId="16E654EE">
      <w:pPr>
        <w:pStyle w:val="3"/>
        <w:spacing w:line="600" w:lineRule="exact"/>
        <w:rPr>
          <w:rFonts w:ascii="仿宋" w:hAnsi="仿宋" w:eastAsia="仿宋" w:cs="仿宋"/>
          <w:color w:val="auto"/>
          <w:sz w:val="24"/>
          <w:szCs w:val="24"/>
        </w:rPr>
      </w:pPr>
      <w:r>
        <w:rPr>
          <w:rFonts w:hint="eastAsia" w:ascii="仿宋" w:hAnsi="仿宋" w:eastAsia="仿宋" w:cs="仿宋"/>
          <w:color w:val="auto"/>
          <w:sz w:val="24"/>
          <w:szCs w:val="24"/>
        </w:rPr>
        <w:t>乙方每季度提交供应计划经甲方确认后，乙方完成提供用品及服务并提交验收申请，甲方在接到验收申请之日起5个工作日内验收；验收合格，乙方向甲方提供增值税普通发票，甲方在收到发票后3个工作日内支付乙方。若经甲方验收不合格，乙方应在5个工作日内完成整改。</w:t>
      </w:r>
    </w:p>
    <w:p w14:paraId="51974FA4">
      <w:pPr>
        <w:widowControl/>
        <w:shd w:val="clear" w:color="auto" w:fill="FFFFFF"/>
        <w:spacing w:line="520" w:lineRule="exact"/>
        <w:ind w:firstLine="482" w:firstLineChars="200"/>
        <w:rPr>
          <w:rFonts w:ascii="仿宋" w:hAnsi="仿宋" w:eastAsia="仿宋" w:cs="仿宋"/>
          <w:b/>
          <w:bCs/>
          <w:color w:val="auto"/>
          <w:sz w:val="24"/>
          <w:shd w:val="clear" w:color="auto" w:fill="FFFFFF"/>
          <w:lang w:val="zh-CN"/>
        </w:rPr>
      </w:pPr>
      <w:r>
        <w:rPr>
          <w:rFonts w:hint="eastAsia" w:ascii="仿宋" w:hAnsi="仿宋" w:eastAsia="仿宋" w:cs="仿宋"/>
          <w:b/>
          <w:bCs/>
          <w:color w:val="auto"/>
          <w:sz w:val="24"/>
          <w:shd w:val="clear" w:color="auto" w:fill="FFFFFF"/>
          <w:lang w:val="zh-CN"/>
        </w:rPr>
        <w:t>（</w:t>
      </w:r>
      <w:r>
        <w:rPr>
          <w:rFonts w:hint="eastAsia" w:ascii="仿宋" w:hAnsi="仿宋" w:eastAsia="仿宋" w:cs="仿宋"/>
          <w:b/>
          <w:bCs/>
          <w:color w:val="auto"/>
          <w:sz w:val="24"/>
          <w:shd w:val="clear" w:color="auto" w:fill="FFFFFF"/>
        </w:rPr>
        <w:t>三）</w:t>
      </w:r>
      <w:r>
        <w:rPr>
          <w:rFonts w:hint="eastAsia" w:ascii="仿宋" w:hAnsi="仿宋" w:eastAsia="仿宋" w:cs="仿宋"/>
          <w:b/>
          <w:bCs/>
          <w:color w:val="auto"/>
          <w:sz w:val="24"/>
          <w:shd w:val="clear" w:color="auto" w:fill="FFFFFF"/>
          <w:lang w:val="zh-CN"/>
        </w:rPr>
        <w:t>乙方银行收款账户（</w:t>
      </w:r>
      <w:r>
        <w:rPr>
          <w:rFonts w:hint="eastAsia" w:ascii="仿宋" w:hAnsi="仿宋" w:eastAsia="仿宋" w:cs="仿宋"/>
          <w:b/>
          <w:bCs/>
          <w:color w:val="auto"/>
          <w:sz w:val="24"/>
          <w:shd w:val="clear" w:color="auto" w:fill="FFFFFF"/>
        </w:rPr>
        <w:t>必须与乙方名称一致）</w:t>
      </w:r>
      <w:r>
        <w:rPr>
          <w:rFonts w:hint="eastAsia" w:ascii="仿宋" w:hAnsi="仿宋" w:eastAsia="仿宋" w:cs="仿宋"/>
          <w:b/>
          <w:bCs/>
          <w:color w:val="auto"/>
          <w:sz w:val="24"/>
          <w:shd w:val="clear" w:color="auto" w:fill="FFFFFF"/>
          <w:lang w:val="zh-CN"/>
        </w:rPr>
        <w:t>：</w:t>
      </w:r>
    </w:p>
    <w:p w14:paraId="40A8CB0C">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户名：</w:t>
      </w:r>
    </w:p>
    <w:p w14:paraId="2E89EA97">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乙方开户行：</w:t>
      </w:r>
    </w:p>
    <w:p w14:paraId="50CCC6FD">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乙方银行账号：</w:t>
      </w:r>
    </w:p>
    <w:p w14:paraId="569B1CCA">
      <w:pPr>
        <w:widowControl/>
        <w:spacing w:line="52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（四）乙方开具的发票认证通过是付款的必要前提之一。甲方未收到合法有效的发票，有权不予支付相应款项，且不承担延迟付款的责任。</w:t>
      </w:r>
    </w:p>
    <w:p w14:paraId="052B758F">
      <w:pPr>
        <w:widowControl/>
        <w:spacing w:line="52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（五）如遇甲方寒暑假放假则付款时间相应顺延到开学后。同时，若因财政资金拨付等非甲方原因导致延迟支付的，支付时间相应顺延，甲方不承担违约责任。</w:t>
      </w:r>
    </w:p>
    <w:p w14:paraId="1CAD98D6">
      <w:pPr>
        <w:widowControl/>
        <w:shd w:val="clear" w:color="auto" w:fill="FFFFFF"/>
        <w:spacing w:line="520" w:lineRule="exact"/>
        <w:ind w:firstLine="482" w:firstLineChars="200"/>
        <w:rPr>
          <w:rFonts w:ascii="仿宋" w:hAnsi="仿宋" w:eastAsia="仿宋" w:cs="仿宋"/>
          <w:color w:val="auto"/>
          <w:sz w:val="24"/>
        </w:rPr>
      </w:pPr>
      <w:r>
        <w:rPr>
          <w:rFonts w:hint="eastAsia" w:ascii="仿宋" w:hAnsi="仿宋" w:eastAsia="仿宋" w:cs="仿宋"/>
          <w:b/>
          <w:bCs/>
          <w:color w:val="auto"/>
          <w:sz w:val="24"/>
          <w:shd w:val="clear" w:color="auto" w:fill="FFFFFF"/>
        </w:rPr>
        <w:t>五、甲乙双方的权利与义务</w:t>
      </w:r>
    </w:p>
    <w:p w14:paraId="0A6EDC1C">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（一）保洁服务、绿化养护、安保服务、水电维修及食品安全管理</w:t>
      </w:r>
    </w:p>
    <w:p w14:paraId="16901532">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1.甲方的权利和义务</w:t>
      </w:r>
    </w:p>
    <w:p w14:paraId="2D032C4F">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（1）有权依据本合同相关条款之约定，并按《物业服务质量考核办法》</w:t>
      </w:r>
      <w:r>
        <w:rPr>
          <w:rFonts w:hint="eastAsia" w:ascii="仿宋" w:hAnsi="仿宋" w:eastAsia="仿宋" w:cs="仿宋"/>
          <w:color w:val="auto"/>
          <w:sz w:val="24"/>
          <w:highlight w:val="yellow"/>
        </w:rPr>
        <w:t>（见附件4）</w:t>
      </w:r>
      <w:r>
        <w:rPr>
          <w:rFonts w:hint="eastAsia" w:ascii="仿宋" w:hAnsi="仿宋" w:eastAsia="仿宋" w:cs="仿宋"/>
          <w:color w:val="auto"/>
          <w:sz w:val="24"/>
        </w:rPr>
        <w:t>，</w:t>
      </w:r>
      <w:r>
        <w:rPr>
          <w:rFonts w:hint="eastAsia" w:ascii="仿宋" w:hAnsi="仿宋" w:eastAsia="仿宋" w:cs="仿宋"/>
          <w:color w:val="auto"/>
          <w:sz w:val="24"/>
          <w:shd w:val="clear" w:color="auto" w:fill="FFFFFF"/>
        </w:rPr>
        <w:t>每月对乙方托管服务工作质量作出评价。</w:t>
      </w:r>
    </w:p>
    <w:p w14:paraId="1FA1DB91">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（2）有权要求乙方根据约定之托管服务事项提交专题书面报告，乙方应及时提交。</w:t>
      </w:r>
    </w:p>
    <w:p w14:paraId="67FBE536">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（3）配合乙方协调项目内各部门工作关系。</w:t>
      </w:r>
    </w:p>
    <w:p w14:paraId="7E43585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（4）本合同规定之托管服务属甲、乙方商业秘密，未经甲方许可，不得将托管服务涉及的资料、图纸、数据等提供或披露给无关的第三方。</w:t>
      </w:r>
    </w:p>
    <w:p w14:paraId="0AE23ED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2.乙方的权利和义务</w:t>
      </w:r>
    </w:p>
    <w:p w14:paraId="3F57F51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（1）严格按照本合同约定向甲方提供管理服务，主动、优质地在合同期内完成管理工作事项内的各项工作内容。</w:t>
      </w:r>
    </w:p>
    <w:p w14:paraId="034F6E60">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（2）建立甲方校园物业员工工作数量和质量的考评机制，每月报送考评结果</w:t>
      </w:r>
      <w:r>
        <w:rPr>
          <w:rFonts w:hint="eastAsia" w:ascii="仿宋" w:hAnsi="仿宋" w:eastAsia="仿宋" w:cs="仿宋"/>
          <w:color w:val="auto"/>
          <w:sz w:val="24"/>
        </w:rPr>
        <w:t>。</w:t>
      </w:r>
    </w:p>
    <w:p w14:paraId="74B194FC">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（3）向甲方提供专业及针对性管理服务，健全校园物业服务工作管理制度等。</w:t>
      </w:r>
    </w:p>
    <w:p w14:paraId="68AC12C1">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（4）如甲方对乙方提供的托管服务发出书面整改通知，乙方须在甲方要求的期限（以通知为准）内完成整改。</w:t>
      </w:r>
    </w:p>
    <w:p w14:paraId="652C0CAA">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（5）乙方不得将托管服务涉及的资料、图纸、数据等提供或披露给无关的第三方，如有违反，每次向甲方支付1000元违约金，造成甲方损失超过违约金的，乙方应承担赔偿责任。</w:t>
      </w:r>
    </w:p>
    <w:p w14:paraId="14AC0EDC">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6）乙方要有足够的培训及监管,以便工作人员能胜任约定工作，甲方现有保洁绿化人员在提供服务时应遵守乙方各项规章制度及培训计划，若甲方工作人员在工作过程中违反相关规定，乙方可提出教育、批评及相应处理建议，情节严重或屡教不改者，或人员出现违法行为的，乙方有权要求甲方立即更换人员。</w:t>
      </w:r>
    </w:p>
    <w:p w14:paraId="0EF71961">
      <w:pPr>
        <w:pStyle w:val="2"/>
        <w:spacing w:before="0" w:beforeAutospacing="0" w:after="0"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（7）乙方应按照甲、乙双方审核后的薪资待遇及时发放给员工，不得随意克扣。</w:t>
      </w:r>
    </w:p>
    <w:p w14:paraId="6B57CEEB">
      <w:pPr>
        <w:widowControl/>
        <w:shd w:val="clear" w:color="auto" w:fill="FFFFFF"/>
        <w:spacing w:line="520" w:lineRule="exact"/>
        <w:ind w:firstLine="482" w:firstLineChars="200"/>
        <w:rPr>
          <w:rFonts w:ascii="仿宋" w:hAnsi="仿宋" w:eastAsia="仿宋" w:cs="仿宋"/>
          <w:b/>
          <w:bCs/>
          <w:color w:val="auto"/>
          <w:sz w:val="24"/>
          <w:lang w:val="zh-CN"/>
        </w:rPr>
      </w:pPr>
      <w:r>
        <w:rPr>
          <w:rFonts w:hint="eastAsia" w:ascii="仿宋" w:hAnsi="仿宋" w:eastAsia="仿宋" w:cs="仿宋"/>
          <w:b/>
          <w:bCs/>
          <w:color w:val="auto"/>
          <w:sz w:val="24"/>
          <w:shd w:val="clear" w:color="auto" w:fill="FFFFFF"/>
        </w:rPr>
        <w:t>（二）</w:t>
      </w:r>
      <w:r>
        <w:rPr>
          <w:rFonts w:hint="eastAsia" w:ascii="仿宋" w:hAnsi="仿宋" w:eastAsia="仿宋" w:cs="仿宋"/>
          <w:b/>
          <w:bCs/>
          <w:color w:val="auto"/>
          <w:sz w:val="24"/>
          <w:lang w:val="zh-CN"/>
        </w:rPr>
        <w:t>校园园林垃圾及废弃物品清理</w:t>
      </w:r>
    </w:p>
    <w:p w14:paraId="4948B376">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1.甲方的权利和义务</w:t>
      </w:r>
    </w:p>
    <w:p w14:paraId="051DBB93">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（1）除定期清理外，垃圾量增加的情况下甲方应及时通知乙方。</w:t>
      </w:r>
    </w:p>
    <w:p w14:paraId="2E0BDB3C">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（2）甲方为乙方工作车辆及人员进入校园提供便利。</w:t>
      </w:r>
    </w:p>
    <w:p w14:paraId="65ADB1B2">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（3）在乙方完成当月工作任务后，甲方应及时给乙方办理转账手续。</w:t>
      </w:r>
    </w:p>
    <w:p w14:paraId="593A2DDA">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（4）甲方应做好垃圾清理登记和统计工作，以备查询。</w:t>
      </w:r>
    </w:p>
    <w:p w14:paraId="187AB99D">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（5）甲方有权监督检查乙方的垃圾清运质量，有权对乙方现场清运过程中出现的不符合垃圾清运质量的现象要求立即整改；凡未清理彻底的，甲方可要求乙方立即清理彻底，乙方应予配合。</w:t>
      </w:r>
    </w:p>
    <w:p w14:paraId="59240FBE">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（6）甲方如遇检查等特殊情况，需提前24小时书面或电话通知乙方，乙方须配合甲方适当增加垃圾清运次数，乙方不再另行收费。</w:t>
      </w:r>
    </w:p>
    <w:p w14:paraId="442B345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7）建立微信工作群组，用于发布任务及监督乙方工作，乙方提交的工作成果或工作照片甲方应在12小时内确认，超过12小时未确认的，视为认可乙方工作成果或工作记录，且不再提起任何异议，若再提出异议则构成违约。</w:t>
      </w:r>
    </w:p>
    <w:p w14:paraId="0B0CC80A">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 xml:space="preserve">（8）甲方安排工作应具体细致，工作任务能书面发布的应书面发布，不能书面发布的，应使用工作群组图片或文字或电话形式发布，甲方指派固定项目负责人（姓名： </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rPr>
        <w:t>负责管理监督。</w:t>
      </w:r>
    </w:p>
    <w:p w14:paraId="527623FF">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（9）乙方在保质保量完成清运工作的情况下，甲方应于合作期满，给予乙方书面好评，包括合格供应商、优秀供应商称号等。</w:t>
      </w:r>
    </w:p>
    <w:p w14:paraId="436923DC">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2.乙方的权利和义务</w:t>
      </w:r>
    </w:p>
    <w:p w14:paraId="40050CEA">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（1）垃圾清运过程中所使用的车辆、设备及工作人员由乙方负责。</w:t>
      </w:r>
    </w:p>
    <w:p w14:paraId="22F6F98B">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（2）乙方应按相关规定合理处置垃圾，由此引起的纠纷及赔偿等责任由乙方承担。</w:t>
      </w:r>
    </w:p>
    <w:p w14:paraId="1EA2B11E">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3）乙方应按时到甲方校园清运垃圾，避免垃圾池爆满造成环境污染，在清运过程中注意保护校园环境，如有垃圾洒在校道上应及时做好地面垃圾清扫或清洗工作。若乙方没有按时清运垃圾的，甲方通知乙方后，乙方应及时派人到现场检查、督促清运到位。</w:t>
      </w:r>
    </w:p>
    <w:p w14:paraId="749FC1A5">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（4）乙方在垃圾清运过程中应遵守甲方相关管理规定，服从甲方管理，不干扰甲方正常的工作秩序。</w:t>
      </w:r>
    </w:p>
    <w:p w14:paraId="04A03BA2">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（5）乙方在垃圾清运过程中所发生的交通及人身等安全事故均由乙方承担。</w:t>
      </w:r>
    </w:p>
    <w:p w14:paraId="3B779FA3">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（6）合同期间，乙方须无条件接受甲方的监督检查和整改要求，乙方指定固定项目负责人(姓名：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rPr>
        <w:t>负责现场管理，推进项目整体实施 。</w:t>
      </w:r>
    </w:p>
    <w:p w14:paraId="75A1FB86">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7）乙方进入甲方校园必须空车，不得携带物资进入校园，更不得将不属于甲方的垃圾废弃物等丢弃甲方处，首次发现扣款1000元/次并须当天清理完毕，第二次发现除按第一次发现处理外，甲方有权单方面解除合同，且不承担任何赔偿责任。</w:t>
      </w:r>
    </w:p>
    <w:p w14:paraId="77D4181E">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（8）乙方进入甲方校园，不得在清运车内装载与甲方合同无关的其他物品，一经发现，甲方有权要求乙方支付不低1000元/次的违约金，甲方有权从应支付给乙方的款额中相应扣除。</w:t>
      </w:r>
    </w:p>
    <w:p w14:paraId="1CAD444B">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（三）</w:t>
      </w:r>
      <w:r>
        <w:rPr>
          <w:rFonts w:hint="eastAsia" w:ascii="仿宋" w:hAnsi="仿宋" w:eastAsia="仿宋" w:cs="仿宋"/>
          <w:b/>
          <w:bCs/>
          <w:color w:val="auto"/>
          <w:sz w:val="24"/>
          <w:lang w:val="zh-CN"/>
        </w:rPr>
        <w:t>其他垃圾有偿清运</w:t>
      </w:r>
    </w:p>
    <w:p w14:paraId="7F5E4A23">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1.甲方的权利和义务</w:t>
      </w:r>
    </w:p>
    <w:p w14:paraId="14683F05">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（1）甲方所使用的垃圾桶自购。</w:t>
      </w:r>
    </w:p>
    <w:p w14:paraId="11840983">
      <w:pPr>
        <w:widowControl/>
        <w:shd w:val="clear" w:color="auto" w:fill="FFFFFF"/>
        <w:spacing w:line="520" w:lineRule="exact"/>
        <w:ind w:firstLine="480" w:firstLineChars="200"/>
        <w:jc w:val="lef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（2）甲方应将垃圾桶集中安放在环卫车辆能够进出并易于操作的一个地方。</w:t>
      </w:r>
    </w:p>
    <w:p w14:paraId="60DD3D01">
      <w:pPr>
        <w:widowControl/>
        <w:shd w:val="clear" w:color="auto" w:fill="FFFFFF"/>
        <w:spacing w:line="520" w:lineRule="exact"/>
        <w:ind w:firstLine="480" w:firstLineChars="200"/>
        <w:jc w:val="lef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（3）甲方应将生活垃圾倒入垃圾桶内装好，并搞好垃圾桶周围的卫生。</w:t>
      </w:r>
    </w:p>
    <w:p w14:paraId="0320AF70">
      <w:pPr>
        <w:widowControl/>
        <w:shd w:val="clear" w:color="auto" w:fill="FFFFFF"/>
        <w:spacing w:line="520" w:lineRule="exact"/>
        <w:ind w:firstLine="480" w:firstLineChars="200"/>
        <w:jc w:val="lef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（4）甲方在倒垃圾时，禁止倒入建筑余泥（遗水泥、石块、渣土）、粪便（指人类便）、动物尸体、医院垃圾、特殊垃圾（如头发），此类垃圾乙方有权不予清运。</w:t>
      </w:r>
    </w:p>
    <w:p w14:paraId="3A634E0E">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2.乙方的权利和义务</w:t>
      </w:r>
    </w:p>
    <w:p w14:paraId="64FF5E99">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（1）乙方负责每天出车到甲方校园清运生活垃圾，做到日产日清，不造成甲方垃圾场垃圾堆积现象。</w:t>
      </w:r>
    </w:p>
    <w:p w14:paraId="236F9F26">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（2）乙方在操作过程中导致垃圾桶损坏的，应该给予赔偿。</w:t>
      </w:r>
    </w:p>
    <w:p w14:paraId="7981336B">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（3）乙方要管理好垃圾清运工作人员，遵纪守法，遵守学校的规章制度，严禁在校园内超速行驶，鸣高音喇叭，垃圾车严禁载人超高，如有违反甲方有权要求乙方限期整改，导致事故的由乙方承担全部责任。</w:t>
      </w:r>
    </w:p>
    <w:p w14:paraId="42BD5987">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（4）合同期间，乙方须无条件接受甲方的监督检查和整改要求，乙方指定固定项目负责人（姓名：  ，联系电话： ）负责现场管理，推进项目整体实施。</w:t>
      </w:r>
    </w:p>
    <w:p w14:paraId="1EF9713F">
      <w:pPr>
        <w:widowControl/>
        <w:shd w:val="clear" w:color="auto" w:fill="FFFFFF"/>
        <w:spacing w:line="520" w:lineRule="exact"/>
        <w:ind w:firstLine="482" w:firstLineChars="200"/>
        <w:rPr>
          <w:rFonts w:ascii="仿宋" w:hAnsi="仿宋" w:eastAsia="仿宋" w:cs="仿宋"/>
          <w:b/>
          <w:bCs/>
          <w:color w:val="auto"/>
          <w:sz w:val="24"/>
          <w:lang w:val="zh-CN"/>
        </w:rPr>
      </w:pPr>
      <w:r>
        <w:rPr>
          <w:rFonts w:hint="eastAsia" w:ascii="仿宋" w:hAnsi="仿宋" w:eastAsia="仿宋" w:cs="仿宋"/>
          <w:b/>
          <w:bCs/>
          <w:color w:val="auto"/>
          <w:sz w:val="24"/>
        </w:rPr>
        <w:t>(四）</w:t>
      </w:r>
      <w:r>
        <w:rPr>
          <w:rFonts w:hint="eastAsia" w:ascii="仿宋" w:hAnsi="仿宋" w:eastAsia="仿宋" w:cs="仿宋"/>
          <w:b/>
          <w:bCs/>
          <w:color w:val="auto"/>
          <w:sz w:val="24"/>
          <w:lang w:val="zh-CN"/>
        </w:rPr>
        <w:t>电梯维保</w:t>
      </w:r>
    </w:p>
    <w:p w14:paraId="1AFA253F">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1.甲方的权利和义务</w:t>
      </w:r>
    </w:p>
    <w:p w14:paraId="59FBC6BD">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按照国家规定,甲方提供的设备必须具有电梯行业主管部门颁发的有效的《电梯使用标志》，并保证上述维保设备属甲方合法财产或甲方对该等设备拥有合法的委托管理的权利。若甲方属于受托管理该等设备的情形，甲方应履行使用单位的义务并承担相应的责任。若上述设备属于共有但未办理合法委托管理手续的,则由甲方履行和承担使用单位的义务和责任。</w:t>
      </w:r>
    </w:p>
    <w:p w14:paraId="5847FA8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（2）建立健全电梯设备管理制度，对乙方的服务项目和服务质量进行监督检查和确认。</w:t>
      </w:r>
    </w:p>
    <w:p w14:paraId="2CFDF4C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（3）甲方必须严格按用户手册正确使用、管理设备及附属设施，妥善保管设备钥匙,并配备经过专业培训的设备管理人员并持证上岗，落实专门人员就乙方所提拱的《电（扶）维护保养服务单》上签字确认。</w:t>
      </w:r>
    </w:p>
    <w:p w14:paraId="528ECBDD">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如存在因违规操作或不能提供满足设备运行的机房环境、消防和卫生设施或由甲方另行聘请维修人员等人为因素造成的产品损坏或安全事故，由甲方承担全部责任。若因产品损坏需要调换配件的，甲方应向乙方另行支付维修费和配件费。</w:t>
      </w:r>
    </w:p>
    <w:p w14:paraId="1DDD9E83">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（5）甲方应提供符合设备设计正常运行的动力电源和接地系统。</w:t>
      </w:r>
    </w:p>
    <w:p w14:paraId="6E69A49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6）除乙方按照本合同提供例行维保工作和日常巡控并记录外，需对上述设备的安全附件、安全保护装置进行定期校验、检修，留有记录。如果甲方管理人员发现设备有任何异常运行情况，甲方应立即通知乙方。</w:t>
      </w:r>
    </w:p>
    <w:p w14:paraId="448473D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（7）甲方负责向乙方提供电梯技术资料。</w:t>
      </w:r>
    </w:p>
    <w:p w14:paraId="1A6C0AA9">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（8）保养时，甲方应给予乙方合理充分的停梯时间。</w:t>
      </w:r>
    </w:p>
    <w:p w14:paraId="21D6ACE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（9）为维护乙方的技术专利，所有被更换的零部由甲方核实后再交由乙方回收处理。</w:t>
      </w:r>
    </w:p>
    <w:p w14:paraId="49817C5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shd w:val="clear" w:color="auto" w:fill="FFFFFF"/>
        </w:rPr>
        <w:t>（10）若对乙方服务质量不满意，甲方有权向乙方公司投诉，热线电话：</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w:t>
      </w:r>
      <w:r>
        <w:rPr>
          <w:rFonts w:hint="eastAsia" w:ascii="仿宋" w:hAnsi="仿宋" w:eastAsia="仿宋" w:cs="仿宋"/>
          <w:color w:val="auto"/>
          <w:sz w:val="24"/>
        </w:rPr>
        <w:t>甲方指派固定项目负责人（姓名：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rPr>
        <w:t>负责管理监督。</w:t>
      </w:r>
    </w:p>
    <w:p w14:paraId="1796C5AD">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2.乙方的权利和义务</w:t>
      </w:r>
    </w:p>
    <w:p w14:paraId="567684B7">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（1）按合同约定收取维修保养服务费。</w:t>
      </w:r>
    </w:p>
    <w:p w14:paraId="74AF7E96">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在维保过程中乙方发现需更换的一般易损零件，在甲方书面同意后，乙方应及时更换；甲方须在更换后7天内，经甲方流程审核后付款到乙方账户内。一般部件，乙方需向甲方报价并获得甲方书面认可及收到付款后更换零件。</w:t>
      </w:r>
    </w:p>
    <w:p w14:paraId="13BDC54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（3）在检验合格有效期届满前一个月,乙方将积极配合甲方通过政府对设备的定期检验工作,因此产生的（年检费、限速器校验费、砝码费）由甲方自行承担。</w:t>
      </w:r>
    </w:p>
    <w:p w14:paraId="3ADBEFB7">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（4）乙方维保人员在进行维护保养或发现设备存在安全隐患时，应在现场按要求设置安全标识，做好有效防护。</w:t>
      </w:r>
    </w:p>
    <w:p w14:paraId="1C41FBB3">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（5）乙方应接受甲方对合同范围内的工作质量、进度、方法、安全、记录等监督检查。</w:t>
      </w:r>
    </w:p>
    <w:p w14:paraId="1F80D1C4">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（6）由于乙方维保不当造成产品损坏的，乙方应对甲方因此遭受的损失进行赔偿。</w:t>
      </w:r>
    </w:p>
    <w:p w14:paraId="618BF6E4">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（7）在本合同有效期内，甲方未经乙方书面同意，不得对设备进行装饰、翻新、修理或更换，否则乙方对设备的安全运行不承担任何责任。</w:t>
      </w:r>
    </w:p>
    <w:p w14:paraId="6CDED19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（8）未经乙方或其工作人员同意，任何人不得启动因存在故障或安全隐患而停止运行的设备，否则乙方对因此而造成的设备损坏或人身伤害不承担任何责任。</w:t>
      </w:r>
    </w:p>
    <w:p w14:paraId="1E447B93">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（9）对于乙方在本合同保养期内提出需要更换或维修的零件或设备，若甲方明确不同意更换或维修的，乙方对因此而造成的设备损坏或人身伤害不承担任何责任。</w:t>
      </w:r>
    </w:p>
    <w:p w14:paraId="7A6E78B0">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（10）任何因不可抗力因素(地震、火灾、水灾、雷击等)或因甲方管理不善（机房、井道渗水、盗窃等）对产品所造成的损失，乙方不承担任何责任。</w:t>
      </w:r>
    </w:p>
    <w:p w14:paraId="1DB095AB">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（11）合同期间，乙方须无条件接受甲方的监督检查和整改要求，乙方指定固定项目负责人（姓名：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r>
        <w:rPr>
          <w:rFonts w:hint="eastAsia" w:ascii="仿宋" w:hAnsi="仿宋" w:eastAsia="仿宋" w:cs="仿宋"/>
          <w:color w:val="auto"/>
          <w:sz w:val="24"/>
        </w:rPr>
        <w:t>负责现场管理，推进项目整体实施。</w:t>
      </w:r>
    </w:p>
    <w:p w14:paraId="384AFCD3">
      <w:pPr>
        <w:widowControl/>
        <w:shd w:val="clear" w:color="auto" w:fill="FFFFFF"/>
        <w:spacing w:line="520" w:lineRule="exact"/>
        <w:ind w:firstLine="482" w:firstLineChars="200"/>
        <w:rPr>
          <w:rFonts w:ascii="仿宋" w:hAnsi="仿宋" w:eastAsia="仿宋" w:cs="仿宋"/>
          <w:b/>
          <w:bCs/>
          <w:color w:val="auto"/>
          <w:sz w:val="24"/>
          <w:lang w:val="zh-CN"/>
        </w:rPr>
      </w:pPr>
      <w:r>
        <w:rPr>
          <w:rFonts w:hint="eastAsia" w:ascii="仿宋" w:hAnsi="仿宋" w:eastAsia="仿宋" w:cs="仿宋"/>
          <w:b/>
          <w:bCs/>
          <w:color w:val="auto"/>
          <w:sz w:val="24"/>
        </w:rPr>
        <w:t>(五）</w:t>
      </w:r>
      <w:r>
        <w:rPr>
          <w:rFonts w:hint="eastAsia" w:ascii="仿宋" w:hAnsi="仿宋" w:eastAsia="仿宋" w:cs="仿宋"/>
          <w:b/>
          <w:bCs/>
          <w:color w:val="auto"/>
          <w:sz w:val="24"/>
          <w:lang w:val="zh-CN"/>
        </w:rPr>
        <w:t>清洁绿化日常损耗用品采购服务</w:t>
      </w:r>
      <w:r>
        <w:rPr>
          <w:rFonts w:hint="eastAsia" w:ascii="仿宋" w:hAnsi="仿宋" w:eastAsia="仿宋" w:cs="仿宋"/>
          <w:b/>
          <w:bCs/>
          <w:color w:val="auto"/>
          <w:sz w:val="24"/>
        </w:rPr>
        <w:t>包干</w:t>
      </w:r>
    </w:p>
    <w:p w14:paraId="6C0E41CA">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1.甲方的权利和义务</w:t>
      </w:r>
    </w:p>
    <w:p w14:paraId="0DB8E23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（1）甲方有权对乙方每季度提交的供应计划审核。</w:t>
      </w:r>
    </w:p>
    <w:p w14:paraId="269CF2A6">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（2）甲方有权对乙方提供的用品及服务质量验收。</w:t>
      </w:r>
    </w:p>
    <w:p w14:paraId="5F4F606F">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2.乙方的权利和义务</w:t>
      </w:r>
    </w:p>
    <w:p w14:paraId="19D8DF20">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（1）乙方根据《清洁绿化日常损耗用品及服务清单》提供的用品及服务，应确保用品及服务质量。</w:t>
      </w:r>
    </w:p>
    <w:p w14:paraId="06696E88">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（2）乙方对《清洁绿化日常损耗用品及服务清单》所列用品及服务数量不足的，或清单中未列但实际需要的，应根据实际予以调整。</w:t>
      </w:r>
    </w:p>
    <w:p w14:paraId="42B313B8">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六、违约责任</w:t>
      </w:r>
    </w:p>
    <w:p w14:paraId="58E48143">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乙方未经甲方同意擅自更换项目</w:t>
      </w:r>
      <w:r>
        <w:rPr>
          <w:rFonts w:hint="eastAsia" w:ascii="仿宋" w:hAnsi="仿宋" w:eastAsia="仿宋" w:cs="仿宋"/>
          <w:color w:val="auto"/>
          <w:sz w:val="24"/>
          <w:shd w:val="clear" w:color="auto" w:fill="FFFFFF"/>
          <w:lang w:val="zh-CN"/>
        </w:rPr>
        <w:t>经理</w:t>
      </w:r>
      <w:r>
        <w:rPr>
          <w:rFonts w:hint="eastAsia" w:ascii="仿宋" w:hAnsi="仿宋" w:eastAsia="仿宋" w:cs="仿宋"/>
          <w:color w:val="auto"/>
          <w:sz w:val="24"/>
          <w:shd w:val="clear" w:color="auto" w:fill="FFFFFF"/>
        </w:rPr>
        <w:t>或</w:t>
      </w:r>
      <w:r>
        <w:rPr>
          <w:rFonts w:hint="eastAsia" w:ascii="仿宋" w:hAnsi="仿宋" w:eastAsia="仿宋" w:cs="仿宋"/>
          <w:color w:val="auto"/>
          <w:sz w:val="24"/>
          <w:shd w:val="clear" w:color="auto" w:fill="FFFFFF"/>
          <w:lang w:val="zh-CN"/>
        </w:rPr>
        <w:t>保洁主管、绿化主管</w:t>
      </w:r>
      <w:r>
        <w:rPr>
          <w:rFonts w:hint="eastAsia" w:ascii="仿宋" w:hAnsi="仿宋" w:eastAsia="仿宋" w:cs="仿宋"/>
          <w:color w:val="auto"/>
          <w:sz w:val="24"/>
          <w:shd w:val="clear" w:color="auto" w:fill="FFFFFF"/>
        </w:rPr>
        <w:t>，乙方需向甲方支付违约金1000元/人天，并在5个工作日内按甲方要求完成整改。</w:t>
      </w:r>
    </w:p>
    <w:p w14:paraId="7AB73A92">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（一）保洁服务、绿化养护、安保服务、水电维修及食品安全管理</w:t>
      </w:r>
    </w:p>
    <w:p w14:paraId="2C4D9A0D">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1.乙方未按合同约定期限履行义务，经甲方催告后5天内仍不履行的，甲方有权解除合同，拒付服务费用，并要求乙方承担合同总金额20%的违约金。</w:t>
      </w:r>
    </w:p>
    <w:p w14:paraId="09C23F8E">
      <w:pPr>
        <w:pStyle w:val="6"/>
        <w:shd w:val="clear" w:color="auto" w:fill="FFFFFF"/>
        <w:spacing w:before="0" w:beforeAutospacing="0" w:after="0" w:afterAutospacing="0" w:line="520" w:lineRule="exact"/>
        <w:ind w:firstLine="480" w:firstLineChars="200"/>
        <w:rPr>
          <w:rFonts w:ascii="仿宋" w:hAnsi="仿宋" w:eastAsia="仿宋" w:cs="仿宋"/>
          <w:color w:val="auto"/>
          <w:shd w:val="clear" w:color="auto" w:fill="FFFFFF"/>
        </w:rPr>
      </w:pPr>
      <w:r>
        <w:rPr>
          <w:rFonts w:hint="eastAsia" w:ascii="仿宋" w:hAnsi="仿宋" w:eastAsia="仿宋" w:cs="仿宋"/>
          <w:color w:val="auto"/>
          <w:shd w:val="clear" w:color="auto" w:fill="FFFFFF"/>
        </w:rPr>
        <w:t>2.在履行本合同期间，乙方违约的，在接到甲方书面通知之日起15日内拒绝整改或者整改仍不符合约定的，甲方可再给予乙方10日宽限期，宽限期满，乙方仍未整改或者整改后仍不符合约定的，甲方有权书面通知乙方解除本合同，并拒付服务费用，乙方应当向甲方支付合同价款总额20%的违约金，并赔偿因此给甲方造成的超过违约金的损失。</w:t>
      </w:r>
    </w:p>
    <w:p w14:paraId="14AD8B40">
      <w:pPr>
        <w:widowControl/>
        <w:shd w:val="clear" w:color="auto" w:fill="FFFFFF"/>
        <w:spacing w:line="520" w:lineRule="exact"/>
        <w:ind w:firstLine="480" w:firstLineChars="200"/>
        <w:jc w:val="left"/>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 xml:space="preserve">3.甲方无正当理由逾期支付托管费的，经乙方催告后10个工作日内仍不支付的，每逾期一日，甲方按照逾期应支付金额的万分之三支付违约金。但因遇甲方寒暑假时顺延到开学后10个工作日，因财政资金拨付导致的迟延支付不视为违约。                                                                                                                                                                                                                            </w:t>
      </w:r>
    </w:p>
    <w:p w14:paraId="425C4939">
      <w:pPr>
        <w:pStyle w:val="6"/>
        <w:shd w:val="clear" w:color="auto" w:fill="FFFFFF"/>
        <w:spacing w:before="0" w:beforeAutospacing="0" w:after="0" w:afterAutospacing="0" w:line="520" w:lineRule="exact"/>
        <w:ind w:firstLine="480" w:firstLineChars="200"/>
        <w:rPr>
          <w:rFonts w:ascii="仿宋" w:hAnsi="仿宋" w:eastAsia="仿宋" w:cs="仿宋"/>
          <w:color w:val="auto"/>
          <w:shd w:val="clear" w:color="auto" w:fill="FFFFFF"/>
        </w:rPr>
      </w:pPr>
      <w:r>
        <w:rPr>
          <w:rFonts w:hint="eastAsia" w:ascii="仿宋" w:hAnsi="仿宋" w:eastAsia="仿宋" w:cs="仿宋"/>
          <w:color w:val="auto"/>
          <w:shd w:val="clear" w:color="auto" w:fill="FFFFFF"/>
        </w:rPr>
        <w:t>4.本合同签署后，双方均应诚实遵守履行。任何一方未履行本协议项下义务，均视为违约，另一方有权书面通知违约方在合理期限内纠正违约行为，并要求违约方赔偿由此造成的一切损失及守约方为维护自身合法权益所花费的必要费用，包括但不限于公证费、保全费、差旅费、鉴定费、评估费以及律师服务费等。</w:t>
      </w:r>
    </w:p>
    <w:p w14:paraId="74B7C65D">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（二）校园园林垃圾及废弃物品清理</w:t>
      </w:r>
    </w:p>
    <w:p w14:paraId="7B1F30F5">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1.甲方未按合同约定时间付款的，每逾期1日甲方按当月应支付金额的万分之三向乙方支付违约金。</w:t>
      </w:r>
    </w:p>
    <w:p w14:paraId="7056642F">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2.乙方不能按时清理垃圾的，每延迟1天支付违约金1000元（不可抗力因素除外）；清理不彻底的，支付违约金100元/次。甲方可另安排其他公司清理，费用由乙方承担，从乙方当月垃圾清理费中扣除。</w:t>
      </w:r>
    </w:p>
    <w:p w14:paraId="6AFA5C0A">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3.乙方连续两个月未按合同约定完成工作任务的，甲方除扣除两个月的垃圾清理费外，有权解除合同，并要求乙方承担合同总金额10%的违约金。</w:t>
      </w:r>
    </w:p>
    <w:p w14:paraId="63E5C230">
      <w:pPr>
        <w:widowControl/>
        <w:shd w:val="clear" w:color="auto" w:fill="FFFFFF"/>
        <w:spacing w:line="520" w:lineRule="exact"/>
        <w:ind w:firstLine="480" w:firstLineChars="200"/>
        <w:rPr>
          <w:rFonts w:ascii="仿宋" w:hAnsi="仿宋" w:eastAsia="仿宋" w:cs="仿宋"/>
          <w:color w:val="auto"/>
          <w:sz w:val="24"/>
        </w:rPr>
      </w:pPr>
      <w:r>
        <w:rPr>
          <w:rFonts w:hint="eastAsia" w:ascii="仿宋" w:hAnsi="仿宋" w:eastAsia="仿宋" w:cs="仿宋"/>
          <w:color w:val="auto"/>
          <w:sz w:val="24"/>
        </w:rPr>
        <w:t>4.在本合同生效期间乙方不得单方面解除本合同，否则应当承担由此给甲方造成的损失。</w:t>
      </w:r>
    </w:p>
    <w:p w14:paraId="52E78D1D">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（三）其他垃圾有偿清运</w:t>
      </w:r>
    </w:p>
    <w:p w14:paraId="1D0D2C4B">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除特殊情况外（强风暴雨、甲方校内道路维修及不可抗力原因外），如乙方不按规定清运垃圾，甲方有权要求乙方按每桶费用的30%支付违约金（违约金可从甲方支付乙方的清运费中扣除），同时乙方仍按本合同的约定在第二天为甲方清理未清理的生活垃圾。</w:t>
      </w:r>
    </w:p>
    <w:p w14:paraId="154B98B6">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2.超过3个月无正当理由未按合同约定履行清运义务的，甲方有权解除合同并拒付相关费用，且有权要求乙方支付合同价款30%的违约金，并赔偿甲方因此所遭受超过违约金的损失。</w:t>
      </w:r>
    </w:p>
    <w:p w14:paraId="1E427F3F">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(四）电梯维保</w:t>
      </w:r>
    </w:p>
    <w:p w14:paraId="00C378A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1.若甲方未按本合同的付款期限和金额向乙方支付维保服务费，除本合同另有约定的外，甲方须向乙方支付逾期付款违约金, 违约金按每日为未付应付款项金额的万分之三计算。若甲方在乙方发出书面催款通知书后仍未支付款项，则乙方有权暂停服务，且免除保养责任，直到所有款项完全付清后继续向甲方提供服务。若甲方在乙方发出二次书面催款通知书后仍未支付, 则乙方有权提前解除本合同；给乙方造成损失的，甲方须赔偿损失。</w:t>
      </w:r>
    </w:p>
    <w:p w14:paraId="73D02EA1">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2.若乙方未能按照合同约定对电梯设备提供维护保养服务而造成电梯设备不能正常运行的，甲方可延迟支付维保服务费直至乙方恢复维保服务。</w:t>
      </w:r>
    </w:p>
    <w:p w14:paraId="55E04706">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3.乙方不得将本合同维保业务进行转包或违法分包；若违反本约定，则甲方有权解除合同，乙方除退还甲方已支付的款项外，还应支付合同总价款20%的违约金。造成甲方其他损失的，还应赔偿其他损失。</w:t>
      </w:r>
    </w:p>
    <w:p w14:paraId="25ACAF12">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4.除不可抗力和本合同约定事由外，任何一方如需提前终止本合同，必须提前一个月书面通知对方；经双方协商一致后达成终止合同协议，任何一方擅自终止合同方需向对方支付本合同维保服务费的20%作为违约金，最高不超过30000元。</w:t>
      </w:r>
    </w:p>
    <w:p w14:paraId="5BBC00EC">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七、安全责任</w:t>
      </w:r>
    </w:p>
    <w:p w14:paraId="337D7E1D">
      <w:pPr>
        <w:widowControl/>
        <w:shd w:val="clear" w:color="auto" w:fill="FFFFFF"/>
        <w:spacing w:line="520" w:lineRule="exact"/>
        <w:ind w:firstLine="480" w:firstLineChars="200"/>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乙方工作人员应当持有特种作业资格证书，应按规范作业，加强培训，提高人员安全意识，确保无安全事故。因不当作业造成的安全事故由乙方承担全部责任并妥善处理。</w:t>
      </w:r>
    </w:p>
    <w:p w14:paraId="629B0963">
      <w:pPr>
        <w:widowControl/>
        <w:shd w:val="clear" w:color="auto" w:fill="FFFFFF"/>
        <w:spacing w:line="520" w:lineRule="exact"/>
        <w:ind w:firstLine="482" w:firstLineChars="200"/>
        <w:outlineLvl w:val="0"/>
        <w:rPr>
          <w:rFonts w:ascii="仿宋" w:hAnsi="仿宋" w:eastAsia="仿宋" w:cs="仿宋"/>
          <w:color w:val="auto"/>
          <w:sz w:val="24"/>
        </w:rPr>
      </w:pPr>
      <w:r>
        <w:rPr>
          <w:rFonts w:hint="eastAsia" w:ascii="仿宋" w:hAnsi="仿宋" w:eastAsia="仿宋" w:cs="仿宋"/>
          <w:b/>
          <w:bCs/>
          <w:color w:val="auto"/>
          <w:sz w:val="24"/>
          <w:shd w:val="clear" w:color="auto" w:fill="FFFFFF"/>
        </w:rPr>
        <w:t>八、其他事宜</w:t>
      </w:r>
    </w:p>
    <w:p w14:paraId="5D3E0E0F">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（一）转让</w:t>
      </w:r>
    </w:p>
    <w:p w14:paraId="0E9E7BE6">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本合同应约束合同双方当事人，如双方单位发生变更，其权利和义务的承继人应确保继续履行合同，任何一方未经另一方书面同意不得将本合同之一切或部分权益或责任转让给第三方 。</w:t>
      </w:r>
    </w:p>
    <w:p w14:paraId="3438099B">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（二）通知</w:t>
      </w:r>
    </w:p>
    <w:p w14:paraId="7541DDF6">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任何与本合同有关之通知或通讯应以中文简体书写，并以传真、快递、邮寄或专人送交方式送至本合同内所注明各当事人之地址。会议通知则必须于二天前送达上述地址。</w:t>
      </w:r>
    </w:p>
    <w:p w14:paraId="2965137C">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（三）完整合同</w:t>
      </w:r>
    </w:p>
    <w:p w14:paraId="123CD656">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本合同已包括合同当事人之协议，并取代所有先前合同当事人之间关于为物业提供物业顾问管理服务的协议或沟通。若本合同任何条文于任何法律下成为无效、非法或不能执行，本合同其余的条文之有效性、合法性及可执行性并不因此而受损。</w:t>
      </w:r>
    </w:p>
    <w:p w14:paraId="5270DFD9">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（四）争议解决</w:t>
      </w:r>
    </w:p>
    <w:p w14:paraId="1733A087">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本合同双方在阐释或履行本合同时如发生争议，应首先通过友好协商解决。如果协商不能解决，双方同意向项目所在地人民法院提起诉讼。</w:t>
      </w:r>
    </w:p>
    <w:p w14:paraId="24D64E43">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（五）修改合同</w:t>
      </w:r>
    </w:p>
    <w:p w14:paraId="6027B354">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本合同之一切条文，必须经过合同当事人共同协商，在取得一致意见后，方可作出修改，删减和增加，并签订补充协议。</w:t>
      </w:r>
    </w:p>
    <w:p w14:paraId="605D1DF8">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（六）合同附件</w:t>
      </w:r>
    </w:p>
    <w:p w14:paraId="10AC93B6">
      <w:pPr>
        <w:pStyle w:val="6"/>
        <w:shd w:val="clear" w:color="auto" w:fill="FFFFFF"/>
        <w:spacing w:before="0" w:beforeAutospacing="0" w:after="0" w:afterAutospacing="0" w:line="520" w:lineRule="exact"/>
        <w:ind w:firstLine="480" w:firstLineChars="200"/>
        <w:rPr>
          <w:rFonts w:ascii="仿宋" w:hAnsi="仿宋" w:eastAsia="仿宋" w:cs="仿宋"/>
          <w:color w:val="auto"/>
        </w:rPr>
      </w:pPr>
      <w:r>
        <w:rPr>
          <w:rFonts w:hint="eastAsia" w:ascii="仿宋" w:hAnsi="仿宋" w:eastAsia="仿宋" w:cs="仿宋"/>
          <w:color w:val="auto"/>
          <w:shd w:val="clear" w:color="auto" w:fill="FFFFFF"/>
        </w:rPr>
        <w:t>本合同附件是本合同不可分割的组成部分，本合同中所定义的所有名词在本合同和其附件中具有相同意义。</w:t>
      </w:r>
    </w:p>
    <w:p w14:paraId="4480F7DD">
      <w:pPr>
        <w:widowControl/>
        <w:shd w:val="clear" w:color="auto" w:fill="FFFFFF"/>
        <w:spacing w:line="520" w:lineRule="exact"/>
        <w:ind w:firstLine="482" w:firstLineChars="200"/>
        <w:rPr>
          <w:rFonts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（七）本合同壹式陆份，甲乙双方各执叁份，均具同等效力。本合同经甲、乙、签证三方签字、盖章后，合同即生效。</w:t>
      </w:r>
    </w:p>
    <w:p w14:paraId="065A34B0">
      <w:pPr>
        <w:spacing w:line="520" w:lineRule="exact"/>
        <w:ind w:firstLine="480" w:firstLineChars="200"/>
        <w:rPr>
          <w:rFonts w:ascii="仿宋" w:hAnsi="仿宋" w:eastAsia="仿宋" w:cs="仿宋"/>
          <w:color w:val="auto"/>
          <w:sz w:val="24"/>
        </w:rPr>
      </w:pPr>
    </w:p>
    <w:tbl>
      <w:tblPr>
        <w:tblStyle w:val="7"/>
        <w:tblW w:w="0" w:type="auto"/>
        <w:tblInd w:w="0" w:type="dxa"/>
        <w:tblLayout w:type="fixed"/>
        <w:tblCellMar>
          <w:top w:w="0" w:type="dxa"/>
          <w:left w:w="108" w:type="dxa"/>
          <w:bottom w:w="0" w:type="dxa"/>
          <w:right w:w="108" w:type="dxa"/>
        </w:tblCellMar>
      </w:tblPr>
      <w:tblGrid>
        <w:gridCol w:w="4110"/>
        <w:gridCol w:w="5178"/>
      </w:tblGrid>
      <w:tr w14:paraId="3E38854D">
        <w:trPr>
          <w:trHeight w:val="90" w:hRule="atLeast"/>
        </w:trPr>
        <w:tc>
          <w:tcPr>
            <w:tcW w:w="4110" w:type="dxa"/>
            <w:noWrap/>
          </w:tcPr>
          <w:p w14:paraId="158C320E">
            <w:pPr>
              <w:spacing w:line="520" w:lineRule="exact"/>
              <w:rPr>
                <w:rFonts w:ascii="仿宋" w:hAnsi="仿宋" w:eastAsia="仿宋" w:cs="仿宋"/>
                <w:color w:val="auto"/>
                <w:sz w:val="24"/>
              </w:rPr>
            </w:pPr>
            <w:r>
              <w:rPr>
                <w:rFonts w:hint="eastAsia" w:ascii="仿宋" w:hAnsi="仿宋" w:eastAsia="仿宋" w:cs="仿宋"/>
                <w:color w:val="auto"/>
                <w:sz w:val="24"/>
              </w:rPr>
              <w:t>甲方：海南经贸职业技术学院（盖章）</w:t>
            </w:r>
          </w:p>
          <w:p w14:paraId="12DAE67F">
            <w:pPr>
              <w:spacing w:line="520" w:lineRule="exact"/>
              <w:rPr>
                <w:rFonts w:ascii="仿宋" w:hAnsi="仿宋" w:eastAsia="仿宋" w:cs="仿宋"/>
                <w:color w:val="auto"/>
                <w:sz w:val="24"/>
              </w:rPr>
            </w:pPr>
            <w:r>
              <w:rPr>
                <w:rFonts w:hint="eastAsia" w:ascii="仿宋" w:hAnsi="仿宋" w:eastAsia="仿宋" w:cs="仿宋"/>
                <w:color w:val="auto"/>
                <w:sz w:val="24"/>
              </w:rPr>
              <w:t>地址：海南省海口市美兰区桂林洋高校区</w:t>
            </w:r>
          </w:p>
          <w:p w14:paraId="57EFB056">
            <w:pPr>
              <w:spacing w:line="520" w:lineRule="exact"/>
              <w:rPr>
                <w:rFonts w:ascii="仿宋" w:hAnsi="仿宋" w:eastAsia="仿宋" w:cs="仿宋"/>
                <w:color w:val="auto"/>
                <w:sz w:val="24"/>
              </w:rPr>
            </w:pPr>
            <w:r>
              <w:rPr>
                <w:rFonts w:hint="eastAsia" w:ascii="仿宋" w:hAnsi="仿宋" w:eastAsia="仿宋" w:cs="仿宋"/>
                <w:color w:val="auto"/>
                <w:sz w:val="24"/>
              </w:rPr>
              <w:t>委托代理人：</w:t>
            </w:r>
          </w:p>
          <w:p w14:paraId="0C398260">
            <w:pPr>
              <w:spacing w:line="520" w:lineRule="exact"/>
              <w:rPr>
                <w:rFonts w:ascii="仿宋" w:hAnsi="仿宋" w:eastAsia="仿宋" w:cs="仿宋"/>
                <w:color w:val="auto"/>
                <w:sz w:val="24"/>
              </w:rPr>
            </w:pPr>
          </w:p>
          <w:p w14:paraId="0425F652">
            <w:pPr>
              <w:spacing w:line="520" w:lineRule="exact"/>
              <w:rPr>
                <w:rFonts w:ascii="仿宋" w:hAnsi="仿宋" w:eastAsia="仿宋" w:cs="仿宋"/>
                <w:color w:val="auto"/>
                <w:sz w:val="24"/>
              </w:rPr>
            </w:pPr>
          </w:p>
          <w:p w14:paraId="316BF0B6">
            <w:pPr>
              <w:spacing w:line="520" w:lineRule="exact"/>
              <w:rPr>
                <w:rFonts w:ascii="仿宋" w:hAnsi="仿宋" w:eastAsia="仿宋" w:cs="仿宋"/>
                <w:color w:val="auto"/>
                <w:sz w:val="24"/>
              </w:rPr>
            </w:pPr>
            <w:r>
              <w:rPr>
                <w:rFonts w:hint="eastAsia" w:ascii="仿宋" w:hAnsi="仿宋" w:eastAsia="仿宋" w:cs="仿宋"/>
                <w:color w:val="auto"/>
                <w:sz w:val="24"/>
              </w:rPr>
              <w:t>电话：</w:t>
            </w:r>
          </w:p>
          <w:p w14:paraId="105F908C">
            <w:pPr>
              <w:spacing w:line="520" w:lineRule="exact"/>
              <w:rPr>
                <w:rFonts w:ascii="仿宋" w:hAnsi="仿宋" w:eastAsia="仿宋" w:cs="仿宋"/>
                <w:color w:val="auto"/>
                <w:sz w:val="24"/>
              </w:rPr>
            </w:pPr>
            <w:r>
              <w:rPr>
                <w:rFonts w:hint="eastAsia" w:ascii="仿宋" w:hAnsi="仿宋" w:eastAsia="仿宋" w:cs="仿宋"/>
                <w:color w:val="auto"/>
                <w:sz w:val="24"/>
              </w:rPr>
              <w:t xml:space="preserve">     年   月   日</w:t>
            </w:r>
          </w:p>
        </w:tc>
        <w:tc>
          <w:tcPr>
            <w:tcW w:w="5178" w:type="dxa"/>
            <w:noWrap/>
          </w:tcPr>
          <w:p w14:paraId="1F13F383">
            <w:pPr>
              <w:spacing w:line="520" w:lineRule="exact"/>
              <w:rPr>
                <w:rFonts w:ascii="仿宋" w:hAnsi="仿宋" w:eastAsia="仿宋" w:cs="仿宋"/>
                <w:color w:val="auto"/>
                <w:sz w:val="24"/>
              </w:rPr>
            </w:pPr>
            <w:r>
              <w:rPr>
                <w:rFonts w:hint="eastAsia" w:ascii="仿宋" w:hAnsi="仿宋" w:eastAsia="仿宋" w:cs="仿宋"/>
                <w:color w:val="auto"/>
                <w:sz w:val="24"/>
              </w:rPr>
              <w:t>乙方：（盖章）</w:t>
            </w:r>
          </w:p>
          <w:p w14:paraId="3CFC59D2">
            <w:pPr>
              <w:spacing w:line="520" w:lineRule="exact"/>
              <w:rPr>
                <w:rFonts w:ascii="仿宋" w:hAnsi="仿宋" w:eastAsia="仿宋" w:cs="仿宋"/>
                <w:color w:val="auto"/>
                <w:sz w:val="24"/>
              </w:rPr>
            </w:pPr>
            <w:r>
              <w:rPr>
                <w:rFonts w:hint="eastAsia" w:ascii="仿宋" w:hAnsi="仿宋" w:eastAsia="仿宋" w:cs="仿宋"/>
                <w:color w:val="auto"/>
                <w:sz w:val="24"/>
              </w:rPr>
              <w:t>地址：</w:t>
            </w:r>
          </w:p>
          <w:p w14:paraId="3FF60263">
            <w:pPr>
              <w:spacing w:line="520" w:lineRule="exact"/>
              <w:rPr>
                <w:rFonts w:ascii="仿宋" w:hAnsi="仿宋" w:eastAsia="仿宋" w:cs="仿宋"/>
                <w:color w:val="auto"/>
                <w:sz w:val="24"/>
              </w:rPr>
            </w:pPr>
          </w:p>
          <w:p w14:paraId="7405F1F4">
            <w:pPr>
              <w:spacing w:line="520" w:lineRule="exact"/>
              <w:rPr>
                <w:rFonts w:ascii="仿宋" w:hAnsi="仿宋" w:eastAsia="仿宋" w:cs="仿宋"/>
                <w:color w:val="auto"/>
                <w:sz w:val="24"/>
              </w:rPr>
            </w:pPr>
            <w:r>
              <w:rPr>
                <w:rFonts w:hint="eastAsia" w:ascii="仿宋" w:hAnsi="仿宋" w:eastAsia="仿宋" w:cs="仿宋"/>
                <w:color w:val="auto"/>
                <w:sz w:val="24"/>
              </w:rPr>
              <w:t>委托代理人：</w:t>
            </w:r>
          </w:p>
          <w:p w14:paraId="047B8E63">
            <w:pPr>
              <w:spacing w:line="520" w:lineRule="exact"/>
              <w:rPr>
                <w:rFonts w:ascii="仿宋" w:hAnsi="仿宋" w:eastAsia="仿宋" w:cs="仿宋"/>
                <w:color w:val="auto"/>
                <w:sz w:val="24"/>
              </w:rPr>
            </w:pPr>
          </w:p>
          <w:p w14:paraId="547B1CBD">
            <w:pPr>
              <w:spacing w:line="520" w:lineRule="exact"/>
              <w:rPr>
                <w:rFonts w:ascii="仿宋" w:hAnsi="仿宋" w:eastAsia="仿宋" w:cs="仿宋"/>
                <w:color w:val="auto"/>
                <w:sz w:val="24"/>
              </w:rPr>
            </w:pPr>
          </w:p>
          <w:p w14:paraId="3A237D45">
            <w:pPr>
              <w:spacing w:line="520" w:lineRule="exact"/>
              <w:rPr>
                <w:rFonts w:ascii="仿宋" w:hAnsi="仿宋" w:eastAsia="仿宋" w:cs="仿宋"/>
                <w:color w:val="auto"/>
                <w:sz w:val="24"/>
              </w:rPr>
            </w:pPr>
            <w:r>
              <w:rPr>
                <w:rFonts w:hint="eastAsia" w:ascii="仿宋" w:hAnsi="仿宋" w:eastAsia="仿宋" w:cs="仿宋"/>
                <w:color w:val="auto"/>
                <w:sz w:val="24"/>
              </w:rPr>
              <w:t>电话：</w:t>
            </w:r>
          </w:p>
          <w:p w14:paraId="346D4925">
            <w:pPr>
              <w:spacing w:line="520" w:lineRule="exact"/>
              <w:rPr>
                <w:rFonts w:ascii="仿宋" w:hAnsi="仿宋" w:eastAsia="仿宋" w:cs="仿宋"/>
                <w:color w:val="auto"/>
                <w:sz w:val="24"/>
              </w:rPr>
            </w:pPr>
            <w:r>
              <w:rPr>
                <w:rFonts w:hint="eastAsia" w:ascii="仿宋" w:hAnsi="仿宋" w:eastAsia="仿宋" w:cs="仿宋"/>
                <w:color w:val="auto"/>
                <w:sz w:val="24"/>
              </w:rPr>
              <w:t xml:space="preserve">     年   月   日</w:t>
            </w:r>
          </w:p>
        </w:tc>
      </w:tr>
    </w:tbl>
    <w:p w14:paraId="4B42A664">
      <w:pPr>
        <w:spacing w:before="19" w:line="520" w:lineRule="exact"/>
        <w:jc w:val="center"/>
        <w:rPr>
          <w:rFonts w:ascii="仿宋" w:hAnsi="仿宋" w:eastAsia="仿宋" w:cs="仿宋"/>
          <w:color w:val="auto"/>
          <w:sz w:val="24"/>
        </w:rPr>
      </w:pPr>
    </w:p>
    <w:p w14:paraId="56C8EA66">
      <w:pPr>
        <w:pStyle w:val="6"/>
        <w:pageBreakBefore/>
        <w:widowControl w:val="0"/>
        <w:spacing w:before="0" w:beforeAutospacing="0" w:after="0" w:afterAutospacing="0" w:line="360" w:lineRule="auto"/>
        <w:outlineLvl w:val="0"/>
        <w:rPr>
          <w:rFonts w:ascii="仿宋" w:hAnsi="仿宋" w:eastAsia="仿宋" w:cs="仿宋"/>
          <w:b/>
          <w:color w:val="auto"/>
        </w:rPr>
      </w:pPr>
      <w:r>
        <w:rPr>
          <w:rFonts w:hint="eastAsia" w:ascii="仿宋" w:hAnsi="仿宋" w:eastAsia="仿宋" w:cs="仿宋"/>
          <w:b/>
          <w:color w:val="auto"/>
        </w:rPr>
        <w:t>附件:</w:t>
      </w:r>
    </w:p>
    <w:p w14:paraId="20ED5B73">
      <w:pPr>
        <w:pStyle w:val="6"/>
        <w:widowControl w:val="0"/>
        <w:spacing w:before="0" w:beforeAutospacing="0" w:after="0" w:afterAutospacing="0" w:line="360" w:lineRule="auto"/>
        <w:rPr>
          <w:rFonts w:ascii="仿宋" w:hAnsi="仿宋" w:eastAsia="仿宋" w:cs="仿宋"/>
          <w:bCs/>
          <w:color w:val="auto"/>
        </w:rPr>
      </w:pPr>
      <w:r>
        <w:rPr>
          <w:rFonts w:hint="eastAsia" w:ascii="仿宋" w:hAnsi="仿宋" w:eastAsia="仿宋" w:cs="仿宋"/>
          <w:bCs/>
          <w:color w:val="auto"/>
        </w:rPr>
        <w:t>1.校园物业服务托管项目（2025-2026年度）费用总表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763"/>
        <w:gridCol w:w="736"/>
        <w:gridCol w:w="955"/>
        <w:gridCol w:w="872"/>
        <w:gridCol w:w="914"/>
        <w:gridCol w:w="2310"/>
      </w:tblGrid>
      <w:tr w14:paraId="7CE55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967" w:type="dxa"/>
            <w:noWrap/>
            <w:vAlign w:val="center"/>
          </w:tcPr>
          <w:p w14:paraId="7A9E67AC">
            <w:pPr>
              <w:spacing w:line="360" w:lineRule="auto"/>
              <w:jc w:val="center"/>
              <w:rPr>
                <w:rFonts w:ascii="仿宋" w:hAnsi="仿宋" w:eastAsia="仿宋" w:cs="仿宋"/>
                <w:color w:val="auto"/>
                <w:sz w:val="24"/>
              </w:rPr>
            </w:pPr>
            <w:r>
              <w:rPr>
                <w:rFonts w:hint="eastAsia" w:ascii="仿宋" w:hAnsi="仿宋" w:eastAsia="仿宋" w:cs="仿宋"/>
                <w:color w:val="auto"/>
                <w:sz w:val="24"/>
              </w:rPr>
              <w:t>序号</w:t>
            </w:r>
          </w:p>
        </w:tc>
        <w:tc>
          <w:tcPr>
            <w:tcW w:w="1763" w:type="dxa"/>
            <w:noWrap/>
            <w:vAlign w:val="center"/>
          </w:tcPr>
          <w:p w14:paraId="70D9B4FA">
            <w:pPr>
              <w:spacing w:line="360" w:lineRule="auto"/>
              <w:jc w:val="center"/>
              <w:rPr>
                <w:rFonts w:ascii="仿宋" w:hAnsi="仿宋" w:eastAsia="仿宋" w:cs="仿宋"/>
                <w:color w:val="auto"/>
                <w:sz w:val="24"/>
              </w:rPr>
            </w:pPr>
            <w:r>
              <w:rPr>
                <w:rFonts w:hint="eastAsia" w:ascii="仿宋" w:hAnsi="仿宋" w:eastAsia="仿宋" w:cs="仿宋"/>
                <w:color w:val="auto"/>
                <w:sz w:val="24"/>
              </w:rPr>
              <w:t>标的名称</w:t>
            </w:r>
          </w:p>
        </w:tc>
        <w:tc>
          <w:tcPr>
            <w:tcW w:w="736" w:type="dxa"/>
            <w:vAlign w:val="center"/>
          </w:tcPr>
          <w:p w14:paraId="553087C2">
            <w:pPr>
              <w:spacing w:line="360" w:lineRule="auto"/>
              <w:jc w:val="center"/>
              <w:rPr>
                <w:rFonts w:ascii="仿宋" w:hAnsi="仿宋" w:eastAsia="仿宋" w:cs="仿宋"/>
                <w:color w:val="auto"/>
                <w:sz w:val="24"/>
              </w:rPr>
            </w:pPr>
            <w:r>
              <w:rPr>
                <w:rFonts w:hint="eastAsia" w:ascii="仿宋" w:hAnsi="仿宋" w:eastAsia="仿宋" w:cs="仿宋"/>
                <w:color w:val="auto"/>
                <w:sz w:val="24"/>
              </w:rPr>
              <w:t>单位</w:t>
            </w:r>
          </w:p>
        </w:tc>
        <w:tc>
          <w:tcPr>
            <w:tcW w:w="955" w:type="dxa"/>
            <w:vAlign w:val="center"/>
          </w:tcPr>
          <w:p w14:paraId="173614A4">
            <w:pPr>
              <w:spacing w:line="360" w:lineRule="auto"/>
              <w:jc w:val="center"/>
              <w:rPr>
                <w:rFonts w:ascii="仿宋" w:hAnsi="仿宋" w:eastAsia="仿宋" w:cs="仿宋"/>
                <w:color w:val="auto"/>
                <w:sz w:val="24"/>
              </w:rPr>
            </w:pPr>
            <w:r>
              <w:rPr>
                <w:rFonts w:hint="eastAsia" w:ascii="仿宋" w:hAnsi="仿宋" w:eastAsia="仿宋" w:cs="仿宋"/>
                <w:color w:val="auto"/>
                <w:sz w:val="24"/>
              </w:rPr>
              <w:t>数量</w:t>
            </w:r>
          </w:p>
        </w:tc>
        <w:tc>
          <w:tcPr>
            <w:tcW w:w="872" w:type="dxa"/>
            <w:vAlign w:val="center"/>
          </w:tcPr>
          <w:p w14:paraId="11D5FC23">
            <w:pPr>
              <w:spacing w:line="360" w:lineRule="auto"/>
              <w:jc w:val="center"/>
              <w:rPr>
                <w:rFonts w:ascii="仿宋" w:hAnsi="仿宋" w:eastAsia="仿宋" w:cs="仿宋"/>
                <w:color w:val="auto"/>
                <w:sz w:val="24"/>
              </w:rPr>
            </w:pPr>
            <w:r>
              <w:rPr>
                <w:rFonts w:hint="eastAsia" w:ascii="仿宋" w:hAnsi="仿宋" w:eastAsia="仿宋" w:cs="仿宋"/>
                <w:color w:val="auto"/>
                <w:sz w:val="24"/>
              </w:rPr>
              <w:t>单价</w:t>
            </w:r>
          </w:p>
        </w:tc>
        <w:tc>
          <w:tcPr>
            <w:tcW w:w="914" w:type="dxa"/>
            <w:vAlign w:val="center"/>
          </w:tcPr>
          <w:p w14:paraId="42139444">
            <w:pPr>
              <w:spacing w:line="360" w:lineRule="auto"/>
              <w:jc w:val="center"/>
              <w:rPr>
                <w:rFonts w:ascii="仿宋" w:hAnsi="仿宋" w:eastAsia="仿宋" w:cs="仿宋"/>
                <w:color w:val="auto"/>
                <w:sz w:val="24"/>
              </w:rPr>
            </w:pPr>
            <w:r>
              <w:rPr>
                <w:rFonts w:hint="eastAsia" w:ascii="仿宋" w:hAnsi="仿宋" w:eastAsia="仿宋" w:cs="仿宋"/>
                <w:color w:val="auto"/>
                <w:sz w:val="24"/>
              </w:rPr>
              <w:t>单项总价</w:t>
            </w:r>
          </w:p>
        </w:tc>
        <w:tc>
          <w:tcPr>
            <w:tcW w:w="2310" w:type="dxa"/>
            <w:vAlign w:val="center"/>
          </w:tcPr>
          <w:p w14:paraId="7AE6FF8F">
            <w:pPr>
              <w:spacing w:line="360" w:lineRule="auto"/>
              <w:jc w:val="center"/>
              <w:rPr>
                <w:rFonts w:ascii="仿宋" w:hAnsi="仿宋" w:eastAsia="仿宋" w:cs="仿宋"/>
                <w:color w:val="auto"/>
                <w:sz w:val="24"/>
              </w:rPr>
            </w:pPr>
            <w:r>
              <w:rPr>
                <w:rFonts w:hint="eastAsia" w:ascii="仿宋" w:hAnsi="仿宋" w:eastAsia="仿宋" w:cs="仿宋"/>
                <w:color w:val="auto"/>
                <w:sz w:val="24"/>
              </w:rPr>
              <w:t>备注</w:t>
            </w:r>
          </w:p>
        </w:tc>
      </w:tr>
      <w:tr w14:paraId="78A85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67" w:type="dxa"/>
            <w:noWrap/>
            <w:vAlign w:val="center"/>
          </w:tcPr>
          <w:p w14:paraId="53EDD9F7">
            <w:pPr>
              <w:jc w:val="center"/>
              <w:rPr>
                <w:rFonts w:ascii="仿宋" w:hAnsi="仿宋" w:eastAsia="仿宋" w:cs="仿宋"/>
                <w:color w:val="auto"/>
                <w:sz w:val="24"/>
              </w:rPr>
            </w:pPr>
            <w:r>
              <w:rPr>
                <w:rFonts w:hint="eastAsia" w:ascii="仿宋" w:hAnsi="仿宋" w:eastAsia="仿宋" w:cs="仿宋"/>
                <w:color w:val="auto"/>
                <w:sz w:val="24"/>
              </w:rPr>
              <w:t>1</w:t>
            </w:r>
          </w:p>
        </w:tc>
        <w:tc>
          <w:tcPr>
            <w:tcW w:w="1763" w:type="dxa"/>
            <w:vAlign w:val="center"/>
          </w:tcPr>
          <w:p w14:paraId="39FCF91D">
            <w:pPr>
              <w:jc w:val="center"/>
              <w:rPr>
                <w:rFonts w:ascii="仿宋" w:hAnsi="仿宋" w:eastAsia="仿宋" w:cs="仿宋"/>
                <w:color w:val="auto"/>
                <w:sz w:val="24"/>
              </w:rPr>
            </w:pPr>
            <w:r>
              <w:rPr>
                <w:rFonts w:hint="eastAsia" w:ascii="仿宋" w:hAnsi="仿宋" w:eastAsia="仿宋" w:cs="仿宋"/>
                <w:color w:val="auto"/>
                <w:sz w:val="24"/>
              </w:rPr>
              <w:t>保洁服务、绿化养护、安保服务、水电维修及食品安全管理</w:t>
            </w:r>
          </w:p>
        </w:tc>
        <w:tc>
          <w:tcPr>
            <w:tcW w:w="736" w:type="dxa"/>
            <w:vAlign w:val="center"/>
          </w:tcPr>
          <w:p w14:paraId="6A8B70B3">
            <w:pPr>
              <w:jc w:val="center"/>
              <w:rPr>
                <w:rFonts w:ascii="仿宋" w:hAnsi="仿宋" w:eastAsia="仿宋" w:cs="仿宋"/>
                <w:color w:val="auto"/>
                <w:sz w:val="24"/>
              </w:rPr>
            </w:pPr>
            <w:r>
              <w:rPr>
                <w:rFonts w:hint="eastAsia" w:ascii="仿宋" w:hAnsi="仿宋" w:eastAsia="仿宋" w:cs="仿宋"/>
                <w:color w:val="auto"/>
                <w:sz w:val="24"/>
              </w:rPr>
              <w:t>月</w:t>
            </w:r>
          </w:p>
        </w:tc>
        <w:tc>
          <w:tcPr>
            <w:tcW w:w="955" w:type="dxa"/>
            <w:vAlign w:val="center"/>
          </w:tcPr>
          <w:p w14:paraId="109CD065">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c>
          <w:tcPr>
            <w:tcW w:w="872" w:type="dxa"/>
            <w:vAlign w:val="center"/>
          </w:tcPr>
          <w:p w14:paraId="46A2DA9D">
            <w:pPr>
              <w:jc w:val="center"/>
              <w:rPr>
                <w:rFonts w:ascii="仿宋" w:hAnsi="仿宋" w:eastAsia="仿宋" w:cs="仿宋"/>
                <w:color w:val="auto"/>
                <w:sz w:val="24"/>
              </w:rPr>
            </w:pPr>
          </w:p>
        </w:tc>
        <w:tc>
          <w:tcPr>
            <w:tcW w:w="914" w:type="dxa"/>
            <w:vAlign w:val="center"/>
          </w:tcPr>
          <w:p w14:paraId="204A1C11">
            <w:pPr>
              <w:jc w:val="center"/>
              <w:rPr>
                <w:rFonts w:ascii="仿宋" w:hAnsi="仿宋" w:eastAsia="仿宋" w:cs="仿宋"/>
                <w:color w:val="auto"/>
                <w:sz w:val="24"/>
              </w:rPr>
            </w:pPr>
          </w:p>
        </w:tc>
        <w:tc>
          <w:tcPr>
            <w:tcW w:w="2310" w:type="dxa"/>
            <w:vAlign w:val="center"/>
          </w:tcPr>
          <w:p w14:paraId="7021A66B">
            <w:pPr>
              <w:jc w:val="center"/>
              <w:rPr>
                <w:rFonts w:ascii="仿宋" w:hAnsi="仿宋" w:eastAsia="仿宋" w:cs="仿宋"/>
                <w:color w:val="auto"/>
                <w:sz w:val="24"/>
              </w:rPr>
            </w:pPr>
            <w:r>
              <w:rPr>
                <w:rFonts w:hint="eastAsia" w:ascii="仿宋" w:hAnsi="仿宋" w:eastAsia="仿宋" w:cs="仿宋"/>
                <w:color w:val="auto"/>
                <w:sz w:val="24"/>
                <w:shd w:val="clear" w:color="auto" w:fill="FFFFFF"/>
              </w:rPr>
              <w:t>其中，人工成本¥</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元/月，管理费¥</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元/月，税金¥</w:t>
            </w:r>
            <w:r>
              <w:rPr>
                <w:rFonts w:hint="eastAsia" w:ascii="仿宋" w:hAnsi="仿宋" w:eastAsia="仿宋" w:cs="仿宋"/>
                <w:color w:val="auto"/>
                <w:sz w:val="24"/>
                <w:u w:val="single"/>
                <w:shd w:val="clear" w:color="auto" w:fill="FFFFFF"/>
              </w:rPr>
              <w:t xml:space="preserve">     </w:t>
            </w:r>
            <w:r>
              <w:rPr>
                <w:rFonts w:hint="eastAsia" w:ascii="仿宋" w:hAnsi="仿宋" w:eastAsia="仿宋" w:cs="仿宋"/>
                <w:color w:val="auto"/>
                <w:sz w:val="24"/>
                <w:shd w:val="clear" w:color="auto" w:fill="FFFFFF"/>
              </w:rPr>
              <w:t>元/月。此外，甲方无需再支付其他费用</w:t>
            </w:r>
          </w:p>
        </w:tc>
      </w:tr>
      <w:tr w14:paraId="780E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7" w:type="dxa"/>
            <w:noWrap/>
            <w:vAlign w:val="center"/>
          </w:tcPr>
          <w:p w14:paraId="568F7283">
            <w:pPr>
              <w:spacing w:line="360" w:lineRule="auto"/>
              <w:jc w:val="center"/>
              <w:rPr>
                <w:rFonts w:ascii="仿宋" w:hAnsi="仿宋" w:eastAsia="仿宋" w:cs="仿宋"/>
                <w:color w:val="auto"/>
                <w:sz w:val="24"/>
              </w:rPr>
            </w:pPr>
            <w:r>
              <w:rPr>
                <w:rFonts w:hint="eastAsia" w:ascii="仿宋" w:hAnsi="仿宋" w:eastAsia="仿宋" w:cs="仿宋"/>
                <w:color w:val="auto"/>
                <w:sz w:val="24"/>
              </w:rPr>
              <w:t>2</w:t>
            </w:r>
          </w:p>
        </w:tc>
        <w:tc>
          <w:tcPr>
            <w:tcW w:w="1763" w:type="dxa"/>
            <w:vAlign w:val="center"/>
          </w:tcPr>
          <w:p w14:paraId="714634DA">
            <w:pPr>
              <w:widowControl/>
              <w:jc w:val="center"/>
              <w:rPr>
                <w:rFonts w:ascii="仿宋" w:hAnsi="仿宋" w:eastAsia="仿宋" w:cs="仿宋"/>
                <w:color w:val="auto"/>
                <w:sz w:val="24"/>
              </w:rPr>
            </w:pPr>
            <w:r>
              <w:rPr>
                <w:rFonts w:hint="eastAsia" w:ascii="仿宋" w:hAnsi="仿宋" w:eastAsia="仿宋" w:cs="仿宋"/>
                <w:color w:val="auto"/>
                <w:sz w:val="24"/>
                <w:lang w:val="zh-CN"/>
              </w:rPr>
              <w:t>校园园林垃圾及废弃物品清理</w:t>
            </w:r>
          </w:p>
        </w:tc>
        <w:tc>
          <w:tcPr>
            <w:tcW w:w="736" w:type="dxa"/>
            <w:vAlign w:val="center"/>
          </w:tcPr>
          <w:p w14:paraId="612FC070">
            <w:pPr>
              <w:spacing w:line="360" w:lineRule="auto"/>
              <w:jc w:val="center"/>
              <w:rPr>
                <w:rFonts w:ascii="仿宋" w:hAnsi="仿宋" w:eastAsia="仿宋" w:cs="仿宋"/>
                <w:color w:val="auto"/>
                <w:sz w:val="24"/>
              </w:rPr>
            </w:pPr>
            <w:r>
              <w:rPr>
                <w:rFonts w:hint="eastAsia" w:ascii="仿宋" w:hAnsi="仿宋" w:eastAsia="仿宋" w:cs="仿宋"/>
                <w:color w:val="auto"/>
                <w:sz w:val="24"/>
              </w:rPr>
              <w:t>月</w:t>
            </w:r>
          </w:p>
        </w:tc>
        <w:tc>
          <w:tcPr>
            <w:tcW w:w="955" w:type="dxa"/>
            <w:vAlign w:val="center"/>
          </w:tcPr>
          <w:p w14:paraId="37DB8A0B">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c>
          <w:tcPr>
            <w:tcW w:w="872" w:type="dxa"/>
            <w:vAlign w:val="center"/>
          </w:tcPr>
          <w:p w14:paraId="02A9DBEA">
            <w:pPr>
              <w:spacing w:line="360" w:lineRule="auto"/>
              <w:jc w:val="center"/>
              <w:rPr>
                <w:rFonts w:ascii="仿宋" w:hAnsi="仿宋" w:eastAsia="仿宋" w:cs="仿宋"/>
                <w:color w:val="auto"/>
                <w:sz w:val="24"/>
              </w:rPr>
            </w:pPr>
          </w:p>
        </w:tc>
        <w:tc>
          <w:tcPr>
            <w:tcW w:w="914" w:type="dxa"/>
            <w:vAlign w:val="center"/>
          </w:tcPr>
          <w:p w14:paraId="37D8B9AF">
            <w:pPr>
              <w:spacing w:line="360" w:lineRule="auto"/>
              <w:jc w:val="center"/>
              <w:rPr>
                <w:rFonts w:ascii="仿宋" w:hAnsi="仿宋" w:eastAsia="仿宋" w:cs="仿宋"/>
                <w:color w:val="auto"/>
                <w:sz w:val="24"/>
              </w:rPr>
            </w:pPr>
          </w:p>
        </w:tc>
        <w:tc>
          <w:tcPr>
            <w:tcW w:w="2310" w:type="dxa"/>
            <w:vAlign w:val="center"/>
          </w:tcPr>
          <w:p w14:paraId="47C8875B">
            <w:pPr>
              <w:spacing w:line="360" w:lineRule="auto"/>
              <w:jc w:val="center"/>
              <w:rPr>
                <w:rFonts w:ascii="仿宋" w:hAnsi="仿宋" w:eastAsia="仿宋" w:cs="仿宋"/>
                <w:color w:val="auto"/>
                <w:sz w:val="24"/>
              </w:rPr>
            </w:pPr>
          </w:p>
        </w:tc>
      </w:tr>
      <w:tr w14:paraId="1629E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7" w:type="dxa"/>
            <w:vAlign w:val="center"/>
          </w:tcPr>
          <w:p w14:paraId="45382147">
            <w:pPr>
              <w:spacing w:line="360" w:lineRule="auto"/>
              <w:jc w:val="center"/>
              <w:rPr>
                <w:rFonts w:ascii="仿宋" w:hAnsi="仿宋" w:eastAsia="仿宋" w:cs="仿宋"/>
                <w:color w:val="auto"/>
                <w:sz w:val="24"/>
              </w:rPr>
            </w:pPr>
            <w:r>
              <w:rPr>
                <w:rFonts w:hint="eastAsia" w:ascii="仿宋" w:hAnsi="仿宋" w:eastAsia="仿宋" w:cs="仿宋"/>
                <w:color w:val="auto"/>
                <w:sz w:val="24"/>
              </w:rPr>
              <w:t>3</w:t>
            </w:r>
          </w:p>
        </w:tc>
        <w:tc>
          <w:tcPr>
            <w:tcW w:w="1763" w:type="dxa"/>
            <w:vAlign w:val="center"/>
          </w:tcPr>
          <w:p w14:paraId="219B7641">
            <w:pPr>
              <w:widowControl/>
              <w:jc w:val="center"/>
              <w:rPr>
                <w:rFonts w:ascii="仿宋" w:hAnsi="仿宋" w:eastAsia="仿宋" w:cs="仿宋"/>
                <w:color w:val="auto"/>
                <w:sz w:val="24"/>
              </w:rPr>
            </w:pPr>
            <w:r>
              <w:rPr>
                <w:rFonts w:hint="eastAsia" w:ascii="仿宋" w:hAnsi="仿宋" w:eastAsia="仿宋" w:cs="仿宋"/>
                <w:color w:val="auto"/>
                <w:sz w:val="24"/>
                <w:lang w:val="zh-CN"/>
              </w:rPr>
              <w:t>其他垃圾有偿清运</w:t>
            </w:r>
          </w:p>
        </w:tc>
        <w:tc>
          <w:tcPr>
            <w:tcW w:w="736" w:type="dxa"/>
            <w:vAlign w:val="center"/>
          </w:tcPr>
          <w:p w14:paraId="5491E2BA">
            <w:pPr>
              <w:spacing w:line="360" w:lineRule="auto"/>
              <w:jc w:val="center"/>
              <w:rPr>
                <w:rFonts w:ascii="仿宋" w:hAnsi="仿宋" w:eastAsia="仿宋" w:cs="仿宋"/>
                <w:color w:val="auto"/>
                <w:sz w:val="24"/>
              </w:rPr>
            </w:pPr>
            <w:r>
              <w:rPr>
                <w:rFonts w:hint="eastAsia" w:ascii="仿宋" w:hAnsi="仿宋" w:eastAsia="仿宋" w:cs="仿宋"/>
                <w:color w:val="auto"/>
                <w:sz w:val="24"/>
              </w:rPr>
              <w:t>月</w:t>
            </w:r>
          </w:p>
        </w:tc>
        <w:tc>
          <w:tcPr>
            <w:tcW w:w="955" w:type="dxa"/>
            <w:vAlign w:val="center"/>
          </w:tcPr>
          <w:p w14:paraId="615D1BE7">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10</w:t>
            </w:r>
          </w:p>
        </w:tc>
        <w:tc>
          <w:tcPr>
            <w:tcW w:w="872" w:type="dxa"/>
            <w:vAlign w:val="center"/>
          </w:tcPr>
          <w:p w14:paraId="54E15FAB">
            <w:pPr>
              <w:spacing w:line="360" w:lineRule="auto"/>
              <w:jc w:val="center"/>
              <w:rPr>
                <w:rFonts w:ascii="仿宋" w:hAnsi="仿宋" w:eastAsia="仿宋" w:cs="仿宋"/>
                <w:color w:val="auto"/>
                <w:sz w:val="24"/>
              </w:rPr>
            </w:pPr>
          </w:p>
        </w:tc>
        <w:tc>
          <w:tcPr>
            <w:tcW w:w="914" w:type="dxa"/>
            <w:vAlign w:val="center"/>
          </w:tcPr>
          <w:p w14:paraId="3D2E7ED9">
            <w:pPr>
              <w:spacing w:line="360" w:lineRule="auto"/>
              <w:jc w:val="center"/>
              <w:rPr>
                <w:rFonts w:ascii="仿宋" w:hAnsi="仿宋" w:eastAsia="仿宋" w:cs="仿宋"/>
                <w:color w:val="auto"/>
                <w:sz w:val="24"/>
              </w:rPr>
            </w:pPr>
          </w:p>
        </w:tc>
        <w:tc>
          <w:tcPr>
            <w:tcW w:w="2310" w:type="dxa"/>
            <w:vAlign w:val="center"/>
          </w:tcPr>
          <w:p w14:paraId="4DC66712">
            <w:pPr>
              <w:spacing w:line="360" w:lineRule="auto"/>
              <w:jc w:val="center"/>
              <w:rPr>
                <w:rFonts w:ascii="仿宋" w:hAnsi="仿宋" w:eastAsia="仿宋" w:cs="仿宋"/>
                <w:color w:val="auto"/>
                <w:sz w:val="24"/>
              </w:rPr>
            </w:pPr>
          </w:p>
        </w:tc>
      </w:tr>
      <w:tr w14:paraId="363EB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7" w:type="dxa"/>
            <w:vAlign w:val="center"/>
          </w:tcPr>
          <w:p w14:paraId="2533180B">
            <w:pPr>
              <w:spacing w:line="360" w:lineRule="auto"/>
              <w:jc w:val="center"/>
              <w:rPr>
                <w:rFonts w:ascii="仿宋" w:hAnsi="仿宋" w:eastAsia="仿宋" w:cs="仿宋"/>
                <w:color w:val="auto"/>
                <w:sz w:val="24"/>
              </w:rPr>
            </w:pPr>
            <w:r>
              <w:rPr>
                <w:rFonts w:hint="eastAsia" w:ascii="仿宋" w:hAnsi="仿宋" w:eastAsia="仿宋" w:cs="仿宋"/>
                <w:color w:val="auto"/>
                <w:sz w:val="24"/>
              </w:rPr>
              <w:t>4</w:t>
            </w:r>
          </w:p>
        </w:tc>
        <w:tc>
          <w:tcPr>
            <w:tcW w:w="1763" w:type="dxa"/>
            <w:vAlign w:val="center"/>
          </w:tcPr>
          <w:p w14:paraId="6AD2994D">
            <w:pPr>
              <w:widowControl/>
              <w:jc w:val="center"/>
              <w:rPr>
                <w:rFonts w:ascii="仿宋" w:hAnsi="仿宋" w:eastAsia="仿宋" w:cs="仿宋"/>
                <w:color w:val="auto"/>
                <w:sz w:val="24"/>
              </w:rPr>
            </w:pPr>
            <w:r>
              <w:rPr>
                <w:rFonts w:hint="eastAsia" w:ascii="仿宋" w:hAnsi="仿宋" w:eastAsia="仿宋" w:cs="仿宋"/>
                <w:color w:val="auto"/>
                <w:sz w:val="24"/>
                <w:lang w:val="zh-CN"/>
              </w:rPr>
              <w:t>电梯维保</w:t>
            </w:r>
          </w:p>
        </w:tc>
        <w:tc>
          <w:tcPr>
            <w:tcW w:w="736" w:type="dxa"/>
            <w:vAlign w:val="center"/>
          </w:tcPr>
          <w:p w14:paraId="23333FEA">
            <w:pPr>
              <w:spacing w:line="360" w:lineRule="auto"/>
              <w:jc w:val="center"/>
              <w:rPr>
                <w:rFonts w:ascii="仿宋" w:hAnsi="仿宋" w:eastAsia="仿宋" w:cs="仿宋"/>
                <w:color w:val="auto"/>
                <w:sz w:val="24"/>
              </w:rPr>
            </w:pPr>
            <w:r>
              <w:rPr>
                <w:rFonts w:hint="eastAsia" w:ascii="仿宋" w:hAnsi="仿宋" w:eastAsia="仿宋" w:cs="仿宋"/>
                <w:color w:val="auto"/>
                <w:sz w:val="24"/>
              </w:rPr>
              <w:t>月</w:t>
            </w:r>
          </w:p>
        </w:tc>
        <w:tc>
          <w:tcPr>
            <w:tcW w:w="955" w:type="dxa"/>
            <w:vAlign w:val="center"/>
          </w:tcPr>
          <w:p w14:paraId="058E58DC">
            <w:pPr>
              <w:widowControl/>
              <w:jc w:val="center"/>
              <w:rPr>
                <w:rFonts w:ascii="仿宋" w:hAnsi="仿宋" w:eastAsia="仿宋" w:cs="仿宋"/>
                <w:color w:val="auto"/>
                <w:sz w:val="24"/>
                <w:highlight w:val="yellow"/>
              </w:rPr>
            </w:pPr>
            <w:r>
              <w:rPr>
                <w:rFonts w:hint="eastAsia" w:ascii="仿宋" w:hAnsi="仿宋" w:eastAsia="仿宋" w:cs="仿宋"/>
                <w:color w:val="auto"/>
                <w:sz w:val="24"/>
                <w:highlight w:val="yellow"/>
              </w:rPr>
              <w:t>12</w:t>
            </w:r>
          </w:p>
        </w:tc>
        <w:tc>
          <w:tcPr>
            <w:tcW w:w="872" w:type="dxa"/>
            <w:vAlign w:val="center"/>
          </w:tcPr>
          <w:p w14:paraId="166C1870">
            <w:pPr>
              <w:spacing w:line="360" w:lineRule="auto"/>
              <w:jc w:val="center"/>
              <w:rPr>
                <w:rFonts w:ascii="仿宋" w:hAnsi="仿宋" w:eastAsia="仿宋" w:cs="仿宋"/>
                <w:color w:val="auto"/>
                <w:sz w:val="24"/>
              </w:rPr>
            </w:pPr>
          </w:p>
        </w:tc>
        <w:tc>
          <w:tcPr>
            <w:tcW w:w="914" w:type="dxa"/>
            <w:vAlign w:val="center"/>
          </w:tcPr>
          <w:p w14:paraId="375A4FD0">
            <w:pPr>
              <w:spacing w:line="360" w:lineRule="auto"/>
              <w:jc w:val="center"/>
              <w:rPr>
                <w:rFonts w:ascii="仿宋" w:hAnsi="仿宋" w:eastAsia="仿宋" w:cs="仿宋"/>
                <w:color w:val="auto"/>
                <w:sz w:val="24"/>
              </w:rPr>
            </w:pPr>
          </w:p>
        </w:tc>
        <w:tc>
          <w:tcPr>
            <w:tcW w:w="2310" w:type="dxa"/>
            <w:vAlign w:val="center"/>
          </w:tcPr>
          <w:p w14:paraId="7C6CEEE1">
            <w:pPr>
              <w:spacing w:line="360" w:lineRule="auto"/>
              <w:jc w:val="center"/>
              <w:rPr>
                <w:rFonts w:ascii="仿宋" w:hAnsi="仿宋" w:eastAsia="仿宋" w:cs="仿宋"/>
                <w:color w:val="auto"/>
                <w:sz w:val="24"/>
              </w:rPr>
            </w:pPr>
          </w:p>
        </w:tc>
      </w:tr>
      <w:tr w14:paraId="3E7F8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7" w:type="dxa"/>
            <w:tcBorders>
              <w:bottom w:val="single" w:color="auto" w:sz="4" w:space="0"/>
            </w:tcBorders>
            <w:vAlign w:val="center"/>
          </w:tcPr>
          <w:p w14:paraId="17C38E0A">
            <w:pPr>
              <w:spacing w:line="360" w:lineRule="auto"/>
              <w:jc w:val="center"/>
              <w:rPr>
                <w:rFonts w:ascii="仿宋" w:hAnsi="仿宋" w:eastAsia="仿宋" w:cs="仿宋"/>
                <w:color w:val="auto"/>
                <w:sz w:val="24"/>
              </w:rPr>
            </w:pPr>
            <w:r>
              <w:rPr>
                <w:rFonts w:hint="eastAsia" w:ascii="仿宋" w:hAnsi="仿宋" w:eastAsia="仿宋" w:cs="仿宋"/>
                <w:color w:val="auto"/>
                <w:sz w:val="24"/>
              </w:rPr>
              <w:t>5</w:t>
            </w:r>
          </w:p>
        </w:tc>
        <w:tc>
          <w:tcPr>
            <w:tcW w:w="1763" w:type="dxa"/>
            <w:tcBorders>
              <w:bottom w:val="single" w:color="auto" w:sz="4" w:space="0"/>
            </w:tcBorders>
            <w:vAlign w:val="center"/>
          </w:tcPr>
          <w:p w14:paraId="1BC2C04C">
            <w:pPr>
              <w:widowControl/>
              <w:jc w:val="center"/>
              <w:rPr>
                <w:rFonts w:ascii="仿宋" w:hAnsi="仿宋" w:eastAsia="仿宋" w:cs="仿宋"/>
                <w:color w:val="auto"/>
                <w:sz w:val="24"/>
              </w:rPr>
            </w:pPr>
            <w:r>
              <w:rPr>
                <w:rFonts w:hint="eastAsia" w:ascii="仿宋" w:hAnsi="仿宋" w:eastAsia="仿宋" w:cs="仿宋"/>
                <w:color w:val="auto"/>
                <w:sz w:val="24"/>
                <w:lang w:val="zh-CN"/>
              </w:rPr>
              <w:t>清洁绿化日常损耗用品采购服务</w:t>
            </w:r>
            <w:r>
              <w:rPr>
                <w:rFonts w:hint="eastAsia" w:ascii="仿宋" w:hAnsi="仿宋" w:eastAsia="仿宋" w:cs="仿宋"/>
                <w:color w:val="auto"/>
                <w:sz w:val="24"/>
              </w:rPr>
              <w:t>包干</w:t>
            </w:r>
          </w:p>
        </w:tc>
        <w:tc>
          <w:tcPr>
            <w:tcW w:w="736" w:type="dxa"/>
            <w:tcBorders>
              <w:bottom w:val="single" w:color="auto" w:sz="4" w:space="0"/>
            </w:tcBorders>
            <w:vAlign w:val="center"/>
          </w:tcPr>
          <w:p w14:paraId="6594A659">
            <w:pPr>
              <w:spacing w:line="360" w:lineRule="auto"/>
              <w:jc w:val="center"/>
              <w:rPr>
                <w:rFonts w:ascii="仿宋" w:hAnsi="仿宋" w:eastAsia="仿宋" w:cs="仿宋"/>
                <w:color w:val="auto"/>
                <w:sz w:val="24"/>
              </w:rPr>
            </w:pPr>
            <w:r>
              <w:rPr>
                <w:rFonts w:hint="eastAsia" w:ascii="仿宋" w:hAnsi="仿宋" w:eastAsia="仿宋" w:cs="仿宋"/>
                <w:color w:val="auto"/>
                <w:sz w:val="24"/>
              </w:rPr>
              <w:t>批</w:t>
            </w:r>
          </w:p>
        </w:tc>
        <w:tc>
          <w:tcPr>
            <w:tcW w:w="955" w:type="dxa"/>
            <w:tcBorders>
              <w:bottom w:val="single" w:color="auto" w:sz="4" w:space="0"/>
            </w:tcBorders>
            <w:vAlign w:val="center"/>
          </w:tcPr>
          <w:p w14:paraId="15EBC909">
            <w:pPr>
              <w:widowControl/>
              <w:jc w:val="center"/>
              <w:rPr>
                <w:rFonts w:ascii="仿宋" w:hAnsi="仿宋" w:eastAsia="仿宋" w:cs="仿宋"/>
                <w:color w:val="auto"/>
                <w:sz w:val="24"/>
              </w:rPr>
            </w:pPr>
            <w:r>
              <w:rPr>
                <w:rFonts w:hint="eastAsia" w:ascii="仿宋" w:hAnsi="仿宋" w:eastAsia="仿宋" w:cs="仿宋"/>
                <w:color w:val="auto"/>
                <w:sz w:val="24"/>
              </w:rPr>
              <w:t>1</w:t>
            </w:r>
          </w:p>
        </w:tc>
        <w:tc>
          <w:tcPr>
            <w:tcW w:w="872" w:type="dxa"/>
            <w:tcBorders>
              <w:bottom w:val="single" w:color="auto" w:sz="4" w:space="0"/>
            </w:tcBorders>
            <w:vAlign w:val="center"/>
          </w:tcPr>
          <w:p w14:paraId="7BF35D8D">
            <w:pPr>
              <w:spacing w:line="360" w:lineRule="auto"/>
              <w:jc w:val="center"/>
              <w:rPr>
                <w:rFonts w:ascii="仿宋" w:hAnsi="仿宋" w:eastAsia="仿宋" w:cs="仿宋"/>
                <w:color w:val="auto"/>
                <w:sz w:val="24"/>
              </w:rPr>
            </w:pPr>
          </w:p>
        </w:tc>
        <w:tc>
          <w:tcPr>
            <w:tcW w:w="914" w:type="dxa"/>
            <w:tcBorders>
              <w:bottom w:val="single" w:color="auto" w:sz="4" w:space="0"/>
            </w:tcBorders>
            <w:vAlign w:val="center"/>
          </w:tcPr>
          <w:p w14:paraId="32E91758">
            <w:pPr>
              <w:spacing w:line="360" w:lineRule="auto"/>
              <w:jc w:val="center"/>
              <w:rPr>
                <w:rFonts w:ascii="仿宋" w:hAnsi="仿宋" w:eastAsia="仿宋" w:cs="仿宋"/>
                <w:color w:val="auto"/>
                <w:sz w:val="24"/>
              </w:rPr>
            </w:pPr>
          </w:p>
        </w:tc>
        <w:tc>
          <w:tcPr>
            <w:tcW w:w="2310" w:type="dxa"/>
            <w:tcBorders>
              <w:bottom w:val="single" w:color="auto" w:sz="4" w:space="0"/>
            </w:tcBorders>
            <w:vAlign w:val="center"/>
          </w:tcPr>
          <w:p w14:paraId="570BAE4F">
            <w:pPr>
              <w:spacing w:line="360" w:lineRule="auto"/>
              <w:jc w:val="center"/>
              <w:rPr>
                <w:rFonts w:ascii="仿宋" w:hAnsi="仿宋" w:eastAsia="仿宋" w:cs="仿宋"/>
                <w:color w:val="auto"/>
                <w:sz w:val="24"/>
              </w:rPr>
            </w:pPr>
          </w:p>
        </w:tc>
      </w:tr>
      <w:tr w14:paraId="55A82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8517" w:type="dxa"/>
            <w:gridSpan w:val="7"/>
            <w:tcBorders>
              <w:top w:val="nil"/>
              <w:left w:val="single" w:color="auto" w:sz="4" w:space="0"/>
              <w:bottom w:val="nil"/>
              <w:right w:val="single" w:color="auto" w:sz="4" w:space="0"/>
            </w:tcBorders>
            <w:vAlign w:val="center"/>
          </w:tcPr>
          <w:p w14:paraId="5900C88B">
            <w:pPr>
              <w:spacing w:line="360" w:lineRule="auto"/>
              <w:rPr>
                <w:rFonts w:ascii="仿宋" w:hAnsi="仿宋" w:eastAsia="仿宋" w:cs="仿宋"/>
                <w:color w:val="auto"/>
                <w:sz w:val="24"/>
              </w:rPr>
            </w:pPr>
            <w:r>
              <w:rPr>
                <w:rFonts w:hint="eastAsia" w:ascii="仿宋" w:hAnsi="仿宋" w:eastAsia="仿宋" w:cs="仿宋"/>
                <w:color w:val="auto"/>
                <w:sz w:val="24"/>
              </w:rPr>
              <w:t xml:space="preserve">总计：￥      </w:t>
            </w:r>
          </w:p>
        </w:tc>
      </w:tr>
      <w:tr w14:paraId="46680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8517" w:type="dxa"/>
            <w:gridSpan w:val="7"/>
            <w:tcBorders>
              <w:top w:val="nil"/>
              <w:left w:val="single" w:color="auto" w:sz="4" w:space="0"/>
              <w:bottom w:val="single" w:color="auto" w:sz="4" w:space="0"/>
              <w:right w:val="single" w:color="auto" w:sz="4" w:space="0"/>
            </w:tcBorders>
            <w:vAlign w:val="center"/>
          </w:tcPr>
          <w:p w14:paraId="3231B05D">
            <w:pPr>
              <w:spacing w:line="360" w:lineRule="auto"/>
              <w:rPr>
                <w:rFonts w:ascii="仿宋" w:hAnsi="仿宋" w:eastAsia="仿宋" w:cs="仿宋"/>
                <w:color w:val="auto"/>
                <w:sz w:val="24"/>
              </w:rPr>
            </w:pPr>
            <w:r>
              <w:rPr>
                <w:rFonts w:hint="eastAsia" w:ascii="仿宋" w:hAnsi="仿宋" w:eastAsia="仿宋" w:cs="仿宋"/>
                <w:color w:val="auto"/>
                <w:sz w:val="24"/>
              </w:rPr>
              <w:t>人民币（大写）：          　</w:t>
            </w:r>
          </w:p>
        </w:tc>
      </w:tr>
    </w:tbl>
    <w:p w14:paraId="6356AC4B">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2 .保洁服务、绿化养护、安保服务、水电维修及食品安全管理费用明细报价表（签订合同时根据投标响应补充）</w:t>
      </w:r>
    </w:p>
    <w:p w14:paraId="45CCA1F7">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3.清洁绿化日常损耗用品及服务清单（签订合同时根据投标响应补充）</w:t>
      </w:r>
    </w:p>
    <w:p w14:paraId="5AB0A011">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4.物业服务质量考核办法（签订合同时根据招标文件需求补充）</w:t>
      </w:r>
    </w:p>
    <w:p w14:paraId="6F61D5B8">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4.1 物业服务质量考核评分表（签订合同时根据招标文件需求补充）</w:t>
      </w:r>
    </w:p>
    <w:p w14:paraId="677D82BA">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4.2员工考勤制度（签订合同时根据招标文件需求补充）</w:t>
      </w:r>
    </w:p>
    <w:p w14:paraId="7C81D720">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4.3 员工考勤记录表（签订合同时根据招标文件需求补充）</w:t>
      </w:r>
    </w:p>
    <w:p w14:paraId="6006E03E">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4.4员工考核评分表（签订合同时根据招标文件需求补充）</w:t>
      </w:r>
    </w:p>
    <w:p w14:paraId="615177A5">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5.派驻人员配置表（签订合同时根据招标文件需求补充）</w:t>
      </w:r>
    </w:p>
    <w:p w14:paraId="666BB474">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6.员工日常工作行为规范（签订合同时根据招标文件需求补充）</w:t>
      </w:r>
    </w:p>
    <w:p w14:paraId="603385A0">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7.服务标准（签订合同时根据招标文件需求补充）</w:t>
      </w:r>
    </w:p>
    <w:p w14:paraId="57A0724C">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8.</w:t>
      </w:r>
      <w:r>
        <w:rPr>
          <w:rFonts w:hint="eastAsia" w:ascii="仿宋" w:hAnsi="仿宋" w:eastAsia="仿宋" w:cs="仿宋"/>
          <w:bCs/>
          <w:color w:val="auto"/>
          <w:lang w:val="zh-CN"/>
        </w:rPr>
        <w:t>人员培训</w:t>
      </w:r>
      <w:r>
        <w:rPr>
          <w:rFonts w:hint="eastAsia" w:ascii="仿宋" w:hAnsi="仿宋" w:eastAsia="仿宋" w:cs="仿宋"/>
          <w:bCs/>
          <w:color w:val="auto"/>
        </w:rPr>
        <w:t>（签订合同时根据招标文件需求补充））</w:t>
      </w:r>
    </w:p>
    <w:p w14:paraId="09B9E16F">
      <w:pPr>
        <w:pStyle w:val="6"/>
        <w:widowControl w:val="0"/>
        <w:spacing w:before="0" w:beforeAutospacing="0" w:after="0" w:afterAutospacing="0" w:line="360" w:lineRule="auto"/>
        <w:outlineLvl w:val="0"/>
        <w:rPr>
          <w:rFonts w:ascii="仿宋" w:hAnsi="仿宋" w:eastAsia="仿宋" w:cs="仿宋"/>
          <w:bCs/>
          <w:color w:val="auto"/>
        </w:rPr>
      </w:pPr>
      <w:r>
        <w:rPr>
          <w:rFonts w:hint="eastAsia" w:ascii="仿宋" w:hAnsi="仿宋" w:eastAsia="仿宋" w:cs="仿宋"/>
          <w:bCs/>
          <w:color w:val="auto"/>
        </w:rPr>
        <w:t>9.</w:t>
      </w:r>
      <w:r>
        <w:rPr>
          <w:rFonts w:hint="eastAsia" w:ascii="仿宋" w:hAnsi="仿宋" w:eastAsia="仿宋" w:cs="仿宋"/>
          <w:bCs/>
          <w:color w:val="auto"/>
          <w:lang w:val="zh-CN"/>
        </w:rPr>
        <w:t>应急预案</w:t>
      </w:r>
      <w:r>
        <w:rPr>
          <w:rFonts w:hint="eastAsia" w:ascii="仿宋" w:hAnsi="仿宋" w:eastAsia="仿宋" w:cs="仿宋"/>
          <w:bCs/>
          <w:color w:val="auto"/>
        </w:rPr>
        <w:t>（签订合同时根据投标响应补充）</w:t>
      </w:r>
    </w:p>
    <w:p w14:paraId="4BA4C3D9">
      <w:pPr>
        <w:widowControl/>
        <w:snapToGrid w:val="0"/>
        <w:spacing w:line="460" w:lineRule="exact"/>
        <w:rPr>
          <w:rFonts w:ascii="仿宋" w:hAnsi="仿宋" w:eastAsia="仿宋" w:cs="仿宋"/>
          <w:b/>
          <w:color w:val="auto"/>
          <w:sz w:val="24"/>
        </w:rPr>
      </w:pPr>
    </w:p>
    <w:p w14:paraId="3D924D9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A2FF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D19C2D0">
                          <w:pPr>
                            <w:pStyle w:val="4"/>
                          </w:pPr>
                          <w:r>
                            <w:fldChar w:fldCharType="begin"/>
                          </w:r>
                          <w:r>
                            <w:instrText xml:space="preserve"> PAGE  \* MERGEFORMAT </w:instrText>
                          </w:r>
                          <w:r>
                            <w:fldChar w:fldCharType="separate"/>
                          </w:r>
                          <w:r>
                            <w:t>47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joinstyle="miter"/>
              <v:imagedata o:title=""/>
              <o:lock v:ext="edit"/>
              <v:textbox inset="0mm,0mm,0mm,0mm" style="mso-fit-shape-to-text:t;">
                <w:txbxContent>
                  <w:p w14:paraId="2D19C2D0">
                    <w:pPr>
                      <w:pStyle w:val="4"/>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8A44">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49F264">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14:paraId="6149F26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6D3AD">
    <w:pPr>
      <w:pStyle w:val="5"/>
      <w:pBdr>
        <w:bottom w:val="none" w:color="auto" w:sz="0" w:space="0"/>
      </w:pBdr>
      <w:ind w:right="-42"/>
      <w:jc w:val="left"/>
      <w:rPr>
        <w:rFonts w:ascii="宋体" w:hAnsi="宋体"/>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CEA4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A4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2"/>
    <w:basedOn w:val="1"/>
    <w:unhideWhenUsed/>
    <w:qFormat/>
    <w:uiPriority w:val="99"/>
    <w:pPr>
      <w:spacing w:before="100" w:beforeAutospacing="1" w:after="120" w:line="480" w:lineRule="auto"/>
    </w:p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unhideWhenUsed/>
    <w:qFormat/>
    <w:uiPriority w:val="99"/>
    <w:pPr>
      <w:widowControl/>
      <w:spacing w:before="100" w:beforeAutospacing="1" w:after="100" w:afterAutospacing="1"/>
    </w:pPr>
    <w:rPr>
      <w:sz w:val="24"/>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 w:type="character" w:customStyle="1" w:styleId="10">
    <w:name w:val="15"/>
    <w:qFormat/>
    <w:uiPriority w:val="0"/>
    <w:rPr>
      <w:rFonts w:hint="default" w:ascii="Times New Roman" w:hAnsi="Times New Roman" w:cs="Times New Roman"/>
      <w:b/>
      <w:bCs/>
    </w:rPr>
  </w:style>
  <w:style w:type="paragraph" w:customStyle="1" w:styleId="11">
    <w:name w:val="正文_0_0_4"/>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2">
    <w:name w:val="正文_43"/>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2025-06-16T07:44:41Z</dcterms:created>
  <dc:creator>AOC</dc:creator>
  <cp:lastModifiedBy>AOC</cp:lastModifiedBy>
  <dcterms:modified xsi:type="dcterms:W3CDTF">2025-06-16T07:45:11Z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2355D1F5E2924600B228995FA942A7A1_12</vt:lpwstr>
  </property>
</Properties>
</file>