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海甸校区学生宿舍粉刷、门窗、补漏、床架喷漆等暑假维修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[GXCZ-A1]20250500001[CS]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国信国际工程咨询集团股份有限公司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的委托， </w:t>
      </w:r>
      <w:r>
        <w:rPr>
          <w:rFonts w:ascii="仿宋_GB2312" w:hAnsi="仿宋_GB2312" w:cs="仿宋_GB2312" w:eastAsia="仿宋_GB2312"/>
        </w:rPr>
        <w:t>国信国际工程咨询集团股份有限公司</w:t>
      </w:r>
      <w:r>
        <w:rPr>
          <w:rFonts w:ascii="仿宋_GB2312" w:hAnsi="仿宋_GB2312" w:cs="仿宋_GB2312" w:eastAsia="仿宋_GB2312"/>
        </w:rPr>
        <w:t xml:space="preserve"> 对 </w:t>
      </w:r>
      <w:r>
        <w:rPr>
          <w:rFonts w:ascii="仿宋_GB2312" w:hAnsi="仿宋_GB2312" w:cs="仿宋_GB2312" w:eastAsia="仿宋_GB2312"/>
        </w:rPr>
        <w:t>海甸校区学生宿舍粉刷、门窗、补漏、床架喷漆等暑假维修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[GXCZ-A1]20250500001[CS]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海甸校区学生宿舍粉刷、门窗、补漏、床架喷漆等暑假维修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2,750,000.00元</w:t>
      </w:r>
      <w:r>
        <w:rPr>
          <w:rFonts w:ascii="仿宋_GB2312" w:hAnsi="仿宋_GB2312" w:cs="仿宋_GB2312" w:eastAsia="仿宋_GB2312"/>
        </w:rPr>
        <w:t>贰佰柒拾伍万元整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45日历天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1、在中华人民共和国注册的、具有独立承担民事责任的能力：（提供工商营业执照副本、税务登记证副本和组织机构代码证或“三证合一”的营业执照副本复印件加盖公章）</w:t>
      </w:r>
    </w:p>
    <w:p>
      <w:pPr>
        <w:pStyle w:val="null3"/>
        <w:jc w:val="left"/>
      </w:pPr>
      <w:r>
        <w:rPr>
          <w:rFonts w:ascii="仿宋_GB2312" w:hAnsi="仿宋_GB2312" w:cs="仿宋_GB2312" w:eastAsia="仿宋_GB2312"/>
        </w:rPr>
        <w:t>2、供应商须具备独立法人资格和有效的安全生产许可证，具备建设行政主管部门核发的建筑工程施工总承包三级（含）以上资质或建筑装饰装修工程专业承包二级（含）以上或根据《住房和城乡建设部关于印发建设工程企业资质管理制度改革方案的通知（【建市〔2020〕94 号】）换发新证具有相应资质，并在人员、设备、资金等方面具有相应的施工能力，其中，拟派项目经理（项目经理）须具备在本单位注册的建筑工程专业二级（含）以上注册建造师执业资格，要求未担任其他在施建设工程项目的项目经理：（提供营业执照、资质证书、安全生产许可证、项目经理注册证及2024年12月至今任意1个月的社保证明、项目经理无在建承诺函，出具书面承诺，格式自拟）</w:t>
      </w:r>
    </w:p>
    <w:p>
      <w:pPr>
        <w:pStyle w:val="null3"/>
        <w:jc w:val="left"/>
      </w:pPr>
      <w:r>
        <w:rPr>
          <w:rFonts w:ascii="仿宋_GB2312" w:hAnsi="仿宋_GB2312" w:cs="仿宋_GB2312" w:eastAsia="仿宋_GB2312"/>
        </w:rPr>
        <w:t>3、供应商应在海南省住房和城乡建设厅的海南省房屋建筑工程全过程监管信息平台完成《海南省建筑企业诚信档案手册》登记，并填报本项目的关键岗位人员。：（以上证件提供复印件加盖公章）；</w:t>
      </w:r>
    </w:p>
    <w:p>
      <w:pPr>
        <w:pStyle w:val="null3"/>
        <w:jc w:val="left"/>
      </w:pPr>
      <w:r>
        <w:rPr>
          <w:rFonts w:ascii="仿宋_GB2312" w:hAnsi="仿宋_GB2312" w:cs="仿宋_GB2312" w:eastAsia="仿宋_GB2312"/>
        </w:rPr>
        <w:t>4、供应商必须为未被列入中国执行信息公开（http://zxgk.court.gov.cn/shixin/）的 “失信被执行 人”、信用中国网站(https://www.creditchina.gov.cn/) 的“重大税收违法失信主体”和“政府采购严重违法失信名单”、中国政府采购网(http://www.ccgp.gov.cn/)的“政府采购严重违法失信行为记录名单”：【提供承诺函并加盖公章（格式自拟），将由采购人或采购代理机构于本项目响应截止日在“信用中国”网站、“中国政府采购网”网站等渠道对供应商进行信用记录查询】。</w:t>
      </w:r>
    </w:p>
    <w:p>
      <w:pPr>
        <w:pStyle w:val="null3"/>
        <w:jc w:val="left"/>
      </w:pPr>
      <w:r>
        <w:rPr>
          <w:rFonts w:ascii="仿宋_GB2312" w:hAnsi="仿宋_GB2312" w:cs="仿宋_GB2312" w:eastAsia="仿宋_GB2312"/>
        </w:rPr>
        <w:t>5、信誉要求：（1）、磋商资格没有被取消、暂停（2）、没有处于被责令停业、财产被接管、冻结、破产状态；（3）、在最近三年内没有骗取中标行为或严重违约行为或重大工程质量问题的：（提供承诺函并加盖公章（格式自拟））；</w:t>
      </w:r>
    </w:p>
    <w:p>
      <w:pPr>
        <w:pStyle w:val="null3"/>
        <w:jc w:val="left"/>
      </w:pPr>
      <w:r>
        <w:rPr>
          <w:rFonts w:ascii="仿宋_GB2312" w:hAnsi="仿宋_GB2312" w:cs="仿宋_GB2312" w:eastAsia="仿宋_GB2312"/>
        </w:rPr>
        <w:t>6、单位负责人为同一人或者存在直接控股、管理关系的不同供应商，不得参加同一合同项下的政府采购活动；为本项目提供整体设计、规范编制或者项目管理、监理、检测等服务的供应商，不得再参加本项目的采购活动：（提供承诺函并加盖公章（格式自拟））</w:t>
      </w:r>
    </w:p>
    <w:p>
      <w:pPr>
        <w:pStyle w:val="null3"/>
        <w:jc w:val="left"/>
      </w:pPr>
      <w:r>
        <w:rPr>
          <w:rFonts w:ascii="仿宋_GB2312" w:hAnsi="仿宋_GB2312" w:cs="仿宋_GB2312" w:eastAsia="仿宋_GB2312"/>
        </w:rPr>
        <w:t>7、参加政府采购活动前三年内，没有环保类行政处罚记录：（提供声明函并加盖公章（格式自拟）</w:t>
      </w:r>
    </w:p>
    <w:p>
      <w:pPr>
        <w:pStyle w:val="null3"/>
        <w:jc w:val="left"/>
      </w:pPr>
      <w:r>
        <w:rPr>
          <w:rFonts w:ascii="仿宋_GB2312" w:hAnsi="仿宋_GB2312" w:cs="仿宋_GB2312" w:eastAsia="仿宋_GB2312"/>
        </w:rPr>
        <w:t>8、本项目不接受联合体报价：（提供承诺函并加盖公章（格式自拟））；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2、投标人须在海南政府采购网(https://ccgp-hainan.gov.cn/)中的海南省政府采购电子化交易管理系统平台进行注册并完善信息，然后下载参与投标项目电子招标文件（文件集）及其他文件； 3、电子标:必须使用投标工具（下载专区下载）制作电子版的投标文件， 并使用数字证书（https://www.yuque.com/haonan123/bzzx /ugmn1f）进行签字和加密，投标截止时间前，必须登录系统上传加密的电子投标文件；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5、注意事项：电子标采用全程电子化操作，供应商应详细阅读海南政府采购网的通知《海南省财政厅关于进一步推进政府采购全流程电子化的通知》，供应商使用交易系统遇到问题请拨打以下热线电话： 热线一：0898-66220881 热线二：0898-66220882； 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570228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姜雪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66251770</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国信国际工程咨询集团股份有限公司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海南省海口市美兰区国兴大道国沣城(三期)星河荟广场3A12房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10044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陆工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0898-65306331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代理服务费收费标准：代理服务费参照中华人民共和国国家计划委员会[计价格［2002］1980号]收费标准，以中选金额为计算基数的70%收取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一）评标委员会认为投标人的报价明显低于其他通过符合性审查投标人的报价，有可能影响产品质量或者不能诚信履约的，将要求其在评标现场接到通知后规定时间内提供书面说明，必要时提交相关证明材料。投标人不能证明其报价合理性的，评标委员会将其作为无效投标处理。投标人对不可竞争费用进行竞争报价或漏报，视为不符合招标文件报价要求。评标委员会成员对需要共同认定的事项存在争议的，应当按照少数服从多数的原则作出结论。持不同意见的评标委员会成员应当在评标报告上签署不同意见及理由，否则视为同意评标报告。 （二）本项目中要求提供的有关证书、文件等证明材料均以复印件加盖公章为准，如涉及的证书、证件正在办理延期、换证、变更和年审等无法提供的，应提供相关部门办理事项的证明材料。 （三）根据《海南大学免税进口科教用品管理办法（试行）》（海大办[2022]3号）要求：中标后（1）进口仪器设备的外贸代理服务机构必须由采购人从已遴选的名册中确定，中标人不能自行委托。（2）投标价格中包含应付给外贸代理服务机构的外贸代理服务费。 （四）成交供应商如有违背下列情形之一的，责令限期改正，情节严重的，列入不良行为记录名单，在1至3年内禁止参加采购活动并承担法律责任和违约责任： （1）成交后无正当理由不与采购人签订合同的，不履行招标项目合同，承担法律责任和违约责任，包括承担诉讼费、律师费、顺延标价差额、误工损失等； （2）未按照采购文件确定的事项签订合同或者以欺骗的方法与采购人另行订立背离合同实质性内容的协议的； （3）拒绝履行合同义务的； （4）违反国家法律、行政法规、部门规章和其他政府采购政策规定的。 （五）擅自修改工程量清单的，予以废标； （六）拟派项目管理机构人员要求：项目负责人（项目经理）1人；技术负责人1人（建筑工程相关专业中级（含）以上的技术职称）；施工员1人；质量员1人；专职安全生产管理人员1人；资料员1人（可由项目部其他岗位人员兼任）；劳资专管员1人（提供任命书）； 证明材料：以上人员须提供相应证书及在本单位缴纳的社会保险证明材料（提供承诺函） （七）成交供应商在公示期结束后领取中标通知书前需提交纸质版投标文件 3 份（纸质版投标文件内容须与电子版投标文件内容完全一致）。纸质版投标文件在封面及骑缝处加盖投标人单位公章。 （八）投标报价文件由投标人自行编制的，应当由本单位的一级或二级造价工程师使用本单位实名的计价软件编制，签字并加盖执业专用章。投标人委托工程造价咨询企业编制的，应在投标文件中提供加盖双方单位公章的委托书，并在已标价工程量清单上加盖负责编制的工程造价咨询企业公章以及负责审核的一级注册造价师执业印章。工程造价咨询机构在同一招标项目中，只可以接受招标人或一个投标人的委托并编制招标控制价或投标报价，不得为同一招标项目的两个或者两个以上投标人编制投标报价，亦不得既为招标人编制招标控制价同时又为投标人编制投标报价，否则其编制的招标控制价和投标报价无效并视为存在相互串通投标行为。 （九）报价总价封面已经有“编制人员签字及盖章”的地方，只须在总价封面签字及盖章（含电子章）即可，工程量清单内容里“规费、税金项目计价表”和“总价措施项目清单与计表”的“编制人（造价人员）”以及“复核人（造价工程师）”可不再签字或盖章。 （十）签字和（或）盖章要求： （1） 电子标盖章要求：使用 CA 锁在投标文件制作工具中逐页加盖单位公章。 （2）电子标签字以下四种形式之一均有效：（2.1）投标文件制作工具中加盖签名章或签字章；（2.2）投标文件制作工具中使用“手写签名”签字；（2.3）投标文件打印为文本签字后扫描上传；（2.4）投标文件打印为文本盖签名章或签字章后扫描上传。 （3）电子系统中所涉及签章均可以是加盖单位公章。由委托代理人签字的，投标文件应附有法定代表人授权书。因投标人原因导致无法读取电子版投标文件，视为无效投标。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联系电话：0898-65306331</w:t>
      </w:r>
    </w:p>
    <w:p>
      <w:pPr>
        <w:pStyle w:val="null3"/>
        <w:jc w:val="left"/>
      </w:pPr>
      <w:r>
        <w:rPr>
          <w:rFonts w:ascii="仿宋_GB2312" w:hAnsi="仿宋_GB2312" w:cs="仿宋_GB2312" w:eastAsia="仿宋_GB2312"/>
        </w:rPr>
        <w:t>地址：海南省海口市美兰区国兴大道国沣城(三期)星河荟广场3A12房</w:t>
      </w:r>
    </w:p>
    <w:p>
      <w:pPr>
        <w:pStyle w:val="null3"/>
        <w:jc w:val="left"/>
      </w:pPr>
      <w:r>
        <w:rPr>
          <w:rFonts w:ascii="仿宋_GB2312" w:hAnsi="仿宋_GB2312" w:cs="仿宋_GB2312" w:eastAsia="仿宋_GB2312"/>
        </w:rPr>
        <w:t>邮编：10044</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0"/>
        </w:rPr>
        <w:t>本工程</w:t>
      </w:r>
      <w:r>
        <w:rPr>
          <w:rFonts w:ascii="仿宋_GB2312" w:hAnsi="仿宋_GB2312" w:cs="仿宋_GB2312" w:eastAsia="仿宋_GB2312"/>
          <w:sz w:val="30"/>
        </w:rPr>
        <w:t>为</w:t>
      </w:r>
      <w:r>
        <w:rPr>
          <w:rFonts w:ascii="仿宋_GB2312" w:hAnsi="仿宋_GB2312" w:cs="仿宋_GB2312" w:eastAsia="仿宋_GB2312"/>
          <w:sz w:val="30"/>
        </w:rPr>
        <w:t>2025年海甸校区学生宿舍粉刷、门窗、补漏、床架喷漆等暑假维修，主要改造内容：1、涂料铲除8614㎡，喷刷内墙乳胶漆两面30902㎡，喷刷天棚乳胶漆两面12168㎡；2.木门刷漆355.6㎡，金属门除锈、刷漆31.5㎡；3.拆除重新安装半玻铝合金门507.93㎡，拆除重新安装木制门295.4㎡；4.屋面、楼面涂刷防水涂料851.59㎡，铺贴地板砖570.86㎡等防水维修；5.拆除、恢复及刷漆铁架床、连体书柜、书桌1500套</w:t>
      </w:r>
      <w:r>
        <w:rPr>
          <w:rFonts w:ascii="仿宋_GB2312" w:hAnsi="仿宋_GB2312" w:cs="仿宋_GB2312" w:eastAsia="仿宋_GB2312"/>
          <w:sz w:val="30"/>
        </w:rPr>
        <w:t>。</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2,750,000.00</w:t>
      </w:r>
    </w:p>
    <w:p>
      <w:pPr>
        <w:pStyle w:val="null3"/>
        <w:jc w:val="left"/>
      </w:pPr>
      <w:r>
        <w:rPr>
          <w:rFonts w:ascii="仿宋_GB2312" w:hAnsi="仿宋_GB2312" w:cs="仿宋_GB2312" w:eastAsia="仿宋_GB2312"/>
        </w:rPr>
        <w:t>采购包最高限价（元）: 2,750,000.00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B08010000-房屋修缮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B08010000-房屋修缮</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最高限价：2552587.64元，报价超过最高限价的，按无效投标处理。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标的名称：B08010000-房屋修缮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一、建</w:t>
            </w:r>
            <w:r>
              <w:rPr>
                <w:rFonts w:ascii="仿宋_GB2312" w:hAnsi="仿宋_GB2312" w:cs="仿宋_GB2312" w:eastAsia="仿宋_GB2312"/>
                <w:sz w:val="21"/>
              </w:rPr>
              <w:t>设单位名称：海南大学</w:t>
            </w:r>
          </w:p>
          <w:p>
            <w:pPr>
              <w:pStyle w:val="null3"/>
              <w:jc w:val="left"/>
            </w:pPr>
            <w:r>
              <w:rPr>
                <w:rFonts w:ascii="仿宋_GB2312" w:hAnsi="仿宋_GB2312" w:cs="仿宋_GB2312" w:eastAsia="仿宋_GB2312"/>
                <w:sz w:val="21"/>
              </w:rPr>
              <w:t>二、建设工程名称：2025年海甸校区学生宿舍粉刷、门窗、补漏、床架喷漆等暑假维修</w:t>
            </w:r>
          </w:p>
          <w:p>
            <w:pPr>
              <w:pStyle w:val="null3"/>
              <w:jc w:val="left"/>
            </w:pPr>
            <w:r>
              <w:rPr>
                <w:rFonts w:ascii="仿宋_GB2312" w:hAnsi="仿宋_GB2312" w:cs="仿宋_GB2312" w:eastAsia="仿宋_GB2312"/>
                <w:sz w:val="21"/>
              </w:rPr>
              <w:t>三、建设地点：海南大学内</w:t>
            </w:r>
          </w:p>
          <w:p>
            <w:pPr>
              <w:pStyle w:val="null3"/>
              <w:jc w:val="left"/>
            </w:pPr>
            <w:r>
              <w:rPr>
                <w:rFonts w:ascii="仿宋_GB2312" w:hAnsi="仿宋_GB2312" w:cs="仿宋_GB2312" w:eastAsia="仿宋_GB2312"/>
                <w:sz w:val="21"/>
              </w:rPr>
              <w:t>四、工程概况</w:t>
            </w:r>
          </w:p>
          <w:p>
            <w:pPr>
              <w:pStyle w:val="null3"/>
              <w:jc w:val="left"/>
            </w:pPr>
            <w:r>
              <w:rPr>
                <w:rFonts w:ascii="仿宋_GB2312" w:hAnsi="仿宋_GB2312" w:cs="仿宋_GB2312" w:eastAsia="仿宋_GB2312"/>
                <w:sz w:val="21"/>
              </w:rPr>
              <w:t>本工程为2025年海甸校区学生宿舍粉刷、门窗、补漏、床架喷漆等暑假维修，主要改造内容：1、涂料铲除8614㎡，喷刷内墙乳胶漆两面30902㎡，喷刷天棚乳胶漆两面12168㎡；2.木门刷漆355.6㎡，金属门除锈、刷漆31.5㎡；3.拆除重新安装半玻铝合金门507.93㎡，拆除重新安装木制门295.4㎡；4.屋面、楼面涂刷防水涂料851.59㎡，铺贴地板砖570.86㎡等防水维修；5.拆除、恢复及刷漆铁架床、连体书柜、书桌1500套。</w:t>
            </w:r>
            <w:r>
              <w:rPr>
                <w:rFonts w:ascii="仿宋_GB2312" w:hAnsi="仿宋_GB2312" w:cs="仿宋_GB2312" w:eastAsia="仿宋_GB2312"/>
                <w:sz w:val="21"/>
              </w:rPr>
              <w:t>（具体工程内容详见工程量清单）。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最高限价：2552587.64元，报价超过最高限价的，按无效投标处理。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响应文件内容和格式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在中华人民共和国注册的、具有独立承担民事责任的能力</w:t>
            </w:r>
          </w:p>
        </w:tc>
        <w:tc>
          <w:tcPr>
            <w:tcW w:type="dxa" w:w="3322"/>
          </w:tcPr>
          <w:p>
            <w:pPr>
              <w:pStyle w:val="null3"/>
              <w:jc w:val="left"/>
            </w:pPr>
            <w:r>
              <w:rPr>
                <w:rFonts w:ascii="仿宋_GB2312" w:hAnsi="仿宋_GB2312" w:cs="仿宋_GB2312" w:eastAsia="仿宋_GB2312"/>
              </w:rPr>
              <w:t>（提供工商营业执照副本、税务登记证副本和组织机构代码证或“三证合一”的营业执照副本复印件加盖公章）</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须具备独立法人资格和有效的安全生产许可证，具备建设行政主管部门核发的建筑工程施工总承包三级（含）以上资质或建筑装饰装修工程专业承包二级（含）以上或根据《住房和城乡建设部关于印发建设工程企业资质管理制度改革方案的通知（【建市〔2020〕94 号】）换发新证具有相应资质，并在人员、设备、资金等方面具有相应的施工能力，其中，拟派项目经理（项目经理）须具备在本单位注册的建筑工程专业二级（含）以上注册建造师执业资格，要求未担任其他在施建设工程项目的项目经理</w:t>
            </w:r>
          </w:p>
        </w:tc>
        <w:tc>
          <w:tcPr>
            <w:tcW w:type="dxa" w:w="3322"/>
          </w:tcPr>
          <w:p>
            <w:pPr>
              <w:pStyle w:val="null3"/>
              <w:jc w:val="left"/>
            </w:pPr>
            <w:r>
              <w:rPr>
                <w:rFonts w:ascii="仿宋_GB2312" w:hAnsi="仿宋_GB2312" w:cs="仿宋_GB2312" w:eastAsia="仿宋_GB2312"/>
              </w:rPr>
              <w:t>（提供营业执照、资质证书、安全生产许可证、项目经理注册证及2024年12月至今任意1个月的社保证明、项目经理无在建承诺函，出具书面承诺，格式自拟）</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供应商应在海南省住房和城乡建设厅的海南省房屋建筑工程全过程监管信息平台完成《海南省建筑企业诚信档案手册》登记，并填报本项目的关键岗位人员。</w:t>
            </w:r>
          </w:p>
        </w:tc>
        <w:tc>
          <w:tcPr>
            <w:tcW w:type="dxa" w:w="3322"/>
          </w:tcPr>
          <w:p>
            <w:pPr>
              <w:pStyle w:val="null3"/>
              <w:jc w:val="left"/>
            </w:pPr>
            <w:r>
              <w:rPr>
                <w:rFonts w:ascii="仿宋_GB2312" w:hAnsi="仿宋_GB2312" w:cs="仿宋_GB2312" w:eastAsia="仿宋_GB2312"/>
              </w:rPr>
              <w:t>（以上证件提供复印件加盖公章）；</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供应商必须为未被列入中国执行信息公开（http://zxgk.court.gov.cn/shixin/）的 “失信被执行 人”、信用中国网站(https://www.creditchina.gov.cn/) 的“重大税收违法失信主体”和“政府采购严重违法失信名单”、中国政府采购网(http://www.ccgp.gov.cn/)的“政府采购严重违法失信行为记录名单”</w:t>
            </w:r>
          </w:p>
        </w:tc>
        <w:tc>
          <w:tcPr>
            <w:tcW w:type="dxa" w:w="3322"/>
          </w:tcPr>
          <w:p>
            <w:pPr>
              <w:pStyle w:val="null3"/>
              <w:jc w:val="left"/>
            </w:pPr>
            <w:r>
              <w:rPr>
                <w:rFonts w:ascii="仿宋_GB2312" w:hAnsi="仿宋_GB2312" w:cs="仿宋_GB2312" w:eastAsia="仿宋_GB2312"/>
              </w:rPr>
              <w:t>【提供承诺函并加盖公章（格式自拟），将由采购人或采购代理机构于本项目响应截止日在“信用中国”网站、“中国政府采购网”网站等渠道对供应商进行信用记录查询】。</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信誉要求：（1）、磋商资格没有被取消、暂停（2）、没有处于被责令停业、财产被接管、冻结、破产状态；（3）、在最近三年内没有骗取中标行为或严重违约行为或重大工程质量问题的</w:t>
            </w:r>
          </w:p>
        </w:tc>
        <w:tc>
          <w:tcPr>
            <w:tcW w:type="dxa" w:w="3322"/>
          </w:tcPr>
          <w:p>
            <w:pPr>
              <w:pStyle w:val="null3"/>
              <w:jc w:val="left"/>
            </w:pPr>
            <w:r>
              <w:rPr>
                <w:rFonts w:ascii="仿宋_GB2312" w:hAnsi="仿宋_GB2312" w:cs="仿宋_GB2312" w:eastAsia="仿宋_GB2312"/>
              </w:rPr>
              <w:t>（提供承诺函并加盖公章（格式自拟））；</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本项目的采购活动</w:t>
            </w:r>
          </w:p>
        </w:tc>
        <w:tc>
          <w:tcPr>
            <w:tcW w:type="dxa" w:w="3322"/>
          </w:tcPr>
          <w:p>
            <w:pPr>
              <w:pStyle w:val="null3"/>
              <w:jc w:val="left"/>
            </w:pPr>
            <w:r>
              <w:rPr>
                <w:rFonts w:ascii="仿宋_GB2312" w:hAnsi="仿宋_GB2312" w:cs="仿宋_GB2312" w:eastAsia="仿宋_GB2312"/>
              </w:rPr>
              <w:t>（提供承诺函并加盖公章（格式自拟））</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参加政府采购活动前三年内，没有环保类行政处罚记录</w:t>
            </w:r>
          </w:p>
        </w:tc>
        <w:tc>
          <w:tcPr>
            <w:tcW w:type="dxa" w:w="3322"/>
          </w:tcPr>
          <w:p>
            <w:pPr>
              <w:pStyle w:val="null3"/>
              <w:jc w:val="left"/>
            </w:pPr>
            <w:r>
              <w:rPr>
                <w:rFonts w:ascii="仿宋_GB2312" w:hAnsi="仿宋_GB2312" w:cs="仿宋_GB2312" w:eastAsia="仿宋_GB2312"/>
              </w:rPr>
              <w:t>（提供声明函并加盖公章（格式自拟）</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本项目不接受联合体报价</w:t>
            </w:r>
          </w:p>
        </w:tc>
        <w:tc>
          <w:tcPr>
            <w:tcW w:type="dxa" w:w="3322"/>
          </w:tcPr>
          <w:p>
            <w:pPr>
              <w:pStyle w:val="null3"/>
              <w:jc w:val="left"/>
            </w:pPr>
            <w:r>
              <w:rPr>
                <w:rFonts w:ascii="仿宋_GB2312" w:hAnsi="仿宋_GB2312" w:cs="仿宋_GB2312" w:eastAsia="仿宋_GB2312"/>
              </w:rPr>
              <w:t>（提供承诺函并加盖公章（格式自拟））；</w:t>
            </w:r>
          </w:p>
        </w:tc>
        <w:tc>
          <w:tcPr>
            <w:tcW w:type="dxa" w:w="1661"/>
          </w:tcPr>
          <w:p>
            <w:pPr>
              <w:pStyle w:val="null3"/>
              <w:jc w:val="left"/>
            </w:pPr>
            <w:r>
              <w:rPr>
                <w:rFonts w:ascii="仿宋_GB2312" w:hAnsi="仿宋_GB2312" w:cs="仿宋_GB2312" w:eastAsia="仿宋_GB2312"/>
              </w:rPr>
              <w:t>响应文件内容和格式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响应文件内容和格式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响应文件内容和格式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文明施工、环境保护管理体系方案</w:t>
            </w:r>
          </w:p>
        </w:tc>
        <w:tc>
          <w:tcPr>
            <w:tcW w:type="dxa" w:w="2492"/>
          </w:tcPr>
          <w:p>
            <w:pPr>
              <w:pStyle w:val="null3"/>
              <w:jc w:val="left"/>
            </w:pPr>
            <w:r>
              <w:rPr>
                <w:rFonts w:ascii="仿宋_GB2312" w:hAnsi="仿宋_GB2312" w:cs="仿宋_GB2312" w:eastAsia="仿宋_GB2312"/>
              </w:rPr>
              <w:t>投标人根据项目实际情况提供文明施工、环境保护管理体系方案，评委小组根据投标人提供的方案进行评比赋分，方案应包含但不限于：（1）部门职责；（2）工作制度；（3）管理控制措施；（4）环境保护措施；提供上述1-4小项，各小项内容齐全无缺陷。每小项得1分（各小项独立评分），满分4分；方案每存在一处缺陷扣0.2分，扣完为止。（缺陷是指：表述不完整性，与采购需求毫无关联；内容不适用 本项目特性；缺乏可操作性；内容缺少关键节点；套用其他项目内容；对同一问题前后表述矛盾；存在逻辑漏洞、科学原理或常识错误；涉及的规范及标准错误；不利于本项目目标的实现；现有技术条件下不可能出现的情形等任意一种情形）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响应文件内容和格式</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工程进度计划与措施方案</w:t>
            </w:r>
          </w:p>
        </w:tc>
        <w:tc>
          <w:tcPr>
            <w:tcW w:type="dxa" w:w="2492"/>
          </w:tcPr>
          <w:p>
            <w:pPr>
              <w:pStyle w:val="null3"/>
              <w:jc w:val="left"/>
            </w:pPr>
            <w:r>
              <w:rPr>
                <w:rFonts w:ascii="仿宋_GB2312" w:hAnsi="仿宋_GB2312" w:cs="仿宋_GB2312" w:eastAsia="仿宋_GB2312"/>
              </w:rPr>
              <w:t>投标人根据项目实际情况提供工程进度计划与措施方案，评委小组根据投标人提供的方案进行评比赋分，方案应包含但不限于：（1）进度控制措施；（2）进度计划图表；（3）进度风险评估与应对；（4）进度计划编制依据；提供上述1-4小项，各小项内容齐全无缺陷。每小项得1分（各小项独立评分），满分4分；方案每存在一处缺陷扣0.2分，扣完为止。（缺陷是指：表述不完整性，与采购需求毫无关联；内容不适用 本项目特性；缺乏可操作性；内容缺少关键节点；套用其他项目内容；对同一问题前后表述矛盾；存在逻辑漏洞、科学原理或常识错误；涉及的规范及标准错误；不利于本项目目标的实现；现有技术条件下不可能出现的情形等任意一种情形）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响应文件内容和格式</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投标人根据项目实际情况提供应急方案，评委小组根据投标人提供的方案进行评比赋分，方案应包含但不限于：（1）应急组织机构及职责；（2）风险评估与预警；（3）应急资源保障；（4）后期处置；提供上述1-4小项，各小项内容齐全无缺陷。每小项得1分（各小项独立评分），满分4分；方案每存在一处缺陷扣0.2分，扣完为止。（缺陷是指：表述不完整性，与采购需求毫无关联；内容不适用 本项目特性；缺乏可操作性；内容缺少关键节点；套用其他项目内容；对同一问题前后表述矛盾；存在逻辑漏洞、科学原理或常识错误；涉及的规范及标准错误；不利于本项目目标的实现；现有技术条件下不可能出现的情形等任意一种情形）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响应文件内容和格式</w:t>
            </w:r>
          </w:p>
        </w:tc>
      </w:tr>
      <w:tr>
        <w:tc>
          <w:tcPr>
            <w:tcW w:type="dxa" w:w="831"/>
            <w:vMerge/>
          </w:tcPr>
          <w:p/>
        </w:tc>
        <w:tc>
          <w:tcPr>
            <w:tcW w:type="dxa" w:w="1661"/>
          </w:tcPr>
          <w:p>
            <w:pPr>
              <w:pStyle w:val="null3"/>
              <w:jc w:val="left"/>
            </w:pPr>
            <w:r>
              <w:rPr>
                <w:rFonts w:ascii="仿宋_GB2312" w:hAnsi="仿宋_GB2312" w:cs="仿宋_GB2312" w:eastAsia="仿宋_GB2312"/>
              </w:rPr>
              <w:t>安全管理体系方案</w:t>
            </w:r>
          </w:p>
        </w:tc>
        <w:tc>
          <w:tcPr>
            <w:tcW w:type="dxa" w:w="2492"/>
          </w:tcPr>
          <w:p>
            <w:pPr>
              <w:pStyle w:val="null3"/>
              <w:jc w:val="left"/>
            </w:pPr>
            <w:r>
              <w:rPr>
                <w:rFonts w:ascii="仿宋_GB2312" w:hAnsi="仿宋_GB2312" w:cs="仿宋_GB2312" w:eastAsia="仿宋_GB2312"/>
              </w:rPr>
              <w:t>投标人根据项目实际情况提供安全管理体系方案，评委小组根据投标人提供的方案进行评比赋分，方案应包含但不限于：（1）安全检查和审核；（2）风险管理；（3）安全教育培训；（4）安全操作规程；提供上述1-4小项，各小项内容齐全无缺陷。每小项得1分（各小项独立评分），满分4分；方案每存在一处缺陷扣0.2分，扣完为止。（缺陷是指：表述不完整性，与采购需求毫无关联；内容不适用 本项目特性；缺乏可操作性；内容缺少关键节点；套用其他项目内容；对同一问题前后表述矛盾；存在逻辑漏洞、科学原理或常识错误；涉及的规范及标准错误；不利于本项目目标的实现；现有技术条件下不可能出现的情形等任意一种情形）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响应文件内容和格式</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质量管理体系与措施方案</w:t>
            </w:r>
          </w:p>
        </w:tc>
        <w:tc>
          <w:tcPr>
            <w:tcW w:type="dxa" w:w="2492"/>
          </w:tcPr>
          <w:p>
            <w:pPr>
              <w:pStyle w:val="null3"/>
              <w:jc w:val="left"/>
            </w:pPr>
            <w:r>
              <w:rPr>
                <w:rFonts w:ascii="仿宋_GB2312" w:hAnsi="仿宋_GB2312" w:cs="仿宋_GB2312" w:eastAsia="仿宋_GB2312"/>
              </w:rPr>
              <w:t>投标人根据项目实际情况提供质量管理体系与措施方案，评委小组根据投标人提供的方案进行评比赋分，方案应包含但不限于：（1）质量管理制度和流程；（2）资源管理；（3）联络协调系统；（4）质量方针和目标提供上述1-4小项，各小项内容齐全无缺陷。每小项得1分（各小项独立评分），满分4分；方案每存在一处缺陷扣0.2分，扣完为止。（缺陷是指：表述不完整性，与采购需求毫无关联；内容不适用 本项目特性；缺乏可操作性；内容缺少关键节点；套用其他项目内容；对同一问题前后表述矛盾；存在逻辑漏洞、科学原理或常识错误；涉及的规范及标准错误；不利于本项目目标的实现；现有技术条件下不可能出现的情形等任意一种情形）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响应文件内容和格式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2020年6月以来（以合同签订日期为准），投标供应商承接过同类项目业绩，每提供一个得6分，满分30分。 证明材料：提供合同关键页（首页、内容节选1页、签署页）复印件加盖公章。证明材料:提供合同复印件加盖公章，以合同签订时间为准。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响应文件内容和格式</w:t>
            </w:r>
          </w:p>
        </w:tc>
      </w:tr>
      <w:tr>
        <w:tc>
          <w:tcPr>
            <w:tcW w:type="dxa" w:w="831"/>
            <w:vMerge/>
          </w:tcPr>
          <w:p/>
        </w:tc>
        <w:tc>
          <w:tcPr>
            <w:tcW w:type="dxa" w:w="1661"/>
          </w:tcPr>
          <w:p>
            <w:pPr>
              <w:pStyle w:val="null3"/>
              <w:jc w:val="left"/>
            </w:pPr>
            <w:r>
              <w:rPr>
                <w:rFonts w:ascii="仿宋_GB2312" w:hAnsi="仿宋_GB2312" w:cs="仿宋_GB2312" w:eastAsia="仿宋_GB2312"/>
              </w:rPr>
              <w:t>项目经理</w:t>
            </w:r>
          </w:p>
        </w:tc>
        <w:tc>
          <w:tcPr>
            <w:tcW w:type="dxa" w:w="2492"/>
          </w:tcPr>
          <w:p>
            <w:pPr>
              <w:pStyle w:val="null3"/>
              <w:jc w:val="left"/>
            </w:pPr>
            <w:r>
              <w:rPr>
                <w:rFonts w:ascii="仿宋_GB2312" w:hAnsi="仿宋_GB2312" w:cs="仿宋_GB2312" w:eastAsia="仿宋_GB2312"/>
              </w:rPr>
              <w:t>拟派项目经理具有工程类中级职称证书得7分，高级及以上职称证书得10分，满分10分；证明材料：提供身份证、职称证书复印件加盖公章，否则不得分;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响应文件内容和格式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详见附件：采购与招标中心-《100-500万工程合同》 (2).docx2025.6.5下午下载）.docx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[GXCZ-A1]20250500001[CS]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海甸校区学生宿舍粉刷、门窗、补漏、床架喷漆等暑假维修</w:t>
      </w:r>
    </w:p>
    <w:p>
      <w:pPr>
        <w:pStyle w:val="null3"/>
        <w:jc w:val="left"/>
      </w:pPr>
      <w:r>
        <w:rPr>
          <w:rFonts w:ascii="仿宋_GB2312" w:hAnsi="仿宋_GB2312" w:cs="仿宋_GB2312" w:eastAsia="仿宋_GB2312"/>
        </w:rPr>
        <w:t>采购包：</w:t>
      </w:r>
      <w:r>
        <w:rPr>
          <w:rFonts w:ascii="仿宋_GB2312" w:hAnsi="仿宋_GB2312" w:cs="仿宋_GB2312" w:eastAsia="仿宋_GB2312"/>
        </w:rPr>
        <w:t>海甸校区学生宿舍粉刷、门窗、补漏、床架喷漆等暑假维修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B08010000-房屋修缮</w:t>
            </w:r>
          </w:p>
        </w:tc>
        <w:tc>
          <w:tcPr>
            <w:tcW w:type="dxa" w:w="1038"/>
          </w:tcPr>
          <w:p>
            <w:pPr>
              <w:pStyle w:val="null3"/>
              <w:jc w:val="left"/>
            </w:pPr>
            <w:r>
              <w:rPr>
                <w:rFonts w:ascii="仿宋_GB2312" w:hAnsi="仿宋_GB2312" w:cs="仿宋_GB2312" w:eastAsia="仿宋_GB2312"/>
              </w:rPr>
              <w:t xml:space="preserve"> 1.00批</w:t>
            </w:r>
          </w:p>
        </w:tc>
        <w:tc>
          <w:tcPr>
            <w:tcW w:type="dxa" w:w="1038"/>
          </w:tcPr>
          <w:p>
            <w:pPr>
              <w:pStyle w:val="null3"/>
              <w:jc w:val="left"/>
            </w:pPr>
            <w:r>
              <w:rPr>
                <w:rFonts w:ascii="仿宋_GB2312" w:hAnsi="仿宋_GB2312" w:cs="仿宋_GB2312" w:eastAsia="仿宋_GB2312"/>
              </w:rPr>
              <w:t xml:space="preserve"> 2750000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详见附件：响应文件内容和格式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