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C6C49">
      <w:pPr>
        <w:keepNext w:val="0"/>
        <w:keepLines w:val="0"/>
        <w:pageBreakBefore w:val="0"/>
        <w:widowControl/>
        <w:kinsoku/>
        <w:wordWrap/>
        <w:overflowPunct/>
        <w:topLinePunct w:val="0"/>
        <w:autoSpaceDE/>
        <w:autoSpaceDN/>
        <w:bidi w:val="0"/>
        <w:adjustRightInd/>
        <w:snapToGrid/>
        <w:spacing w:line="560" w:lineRule="exact"/>
        <w:ind w:firstLine="880" w:firstLineChars="200"/>
        <w:jc w:val="center"/>
        <w:textAlignment w:val="auto"/>
        <w:rPr>
          <w:rFonts w:hint="eastAsia" w:ascii="仿宋" w:hAnsi="仿宋" w:eastAsia="仿宋" w:cs="仿宋"/>
          <w:b w:val="0"/>
          <w:bCs w:val="0"/>
          <w:color w:val="auto"/>
          <w:kern w:val="2"/>
          <w:sz w:val="28"/>
          <w:szCs w:val="28"/>
          <w:lang w:val="en-US" w:bidi="ar-SA"/>
        </w:rPr>
      </w:pPr>
      <w:r>
        <w:rPr>
          <w:rFonts w:hint="eastAsia" w:ascii="方正小标宋简体" w:hAnsi="方正小标宋简体" w:eastAsia="方正小标宋简体" w:cs="方正小标宋简体"/>
          <w:b w:val="0"/>
          <w:bCs w:val="0"/>
          <w:color w:val="auto"/>
          <w:kern w:val="2"/>
          <w:sz w:val="44"/>
          <w:szCs w:val="44"/>
          <w:lang w:val="en-US" w:eastAsia="zh-CN" w:bidi="ar-SA"/>
        </w:rPr>
        <w:t>中央芭蕾舞团经典芭蕾舞剧《红色娘子军》海南驻场演出合同</w:t>
      </w:r>
    </w:p>
    <w:p w14:paraId="002E5736">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2"/>
          <w:sz w:val="28"/>
          <w:szCs w:val="28"/>
          <w:lang w:val="en-US" w:bidi="ar-SA"/>
        </w:rPr>
      </w:pPr>
    </w:p>
    <w:p w14:paraId="3321FCBD">
      <w:pPr>
        <w:pStyle w:val="9"/>
        <w:keepNext w:val="0"/>
        <w:keepLines w:val="0"/>
        <w:pageBreakBefore w:val="0"/>
        <w:numPr>
          <w:ilvl w:val="0"/>
          <w:numId w:val="0"/>
        </w:numPr>
        <w:tabs>
          <w:tab w:val="left" w:pos="640"/>
        </w:tabs>
        <w:kinsoku/>
        <w:wordWrap/>
        <w:overflowPunct/>
        <w:topLinePunct w:val="0"/>
        <w:autoSpaceDE/>
        <w:autoSpaceDN/>
        <w:bidi w:val="0"/>
        <w:adjustRightInd/>
        <w:snapToGrid/>
        <w:spacing w:line="560" w:lineRule="exact"/>
        <w:ind w:left="0" w:leftChars="0" w:firstLine="639" w:firstLineChars="201"/>
        <w:jc w:val="left"/>
        <w:textAlignment w:val="auto"/>
        <w:rPr>
          <w:rFonts w:hint="eastAsia" w:ascii="仿宋_GB2312" w:hAnsi="仿宋_GB2312" w:eastAsia="仿宋_GB2312" w:cs="仿宋_GB2312"/>
          <w:color w:val="auto"/>
          <w:spacing w:val="-1"/>
          <w:sz w:val="32"/>
          <w:szCs w:val="32"/>
          <w:lang w:val="en-US"/>
        </w:rPr>
      </w:pPr>
      <w:r>
        <w:rPr>
          <w:rFonts w:hint="eastAsia" w:ascii="仿宋_GB2312" w:hAnsi="仿宋_GB2312" w:eastAsia="仿宋_GB2312" w:cs="仿宋_GB2312"/>
          <w:color w:val="auto"/>
          <w:spacing w:val="-1"/>
          <w:sz w:val="32"/>
          <w:szCs w:val="32"/>
          <w:lang w:val="en-US"/>
        </w:rPr>
        <w:t>甲方</w:t>
      </w:r>
      <w:r>
        <w:rPr>
          <w:rFonts w:hint="eastAsia" w:ascii="仿宋_GB2312" w:hAnsi="仿宋_GB2312" w:eastAsia="仿宋_GB2312" w:cs="仿宋_GB2312"/>
          <w:color w:val="auto"/>
          <w:spacing w:val="-1"/>
          <w:sz w:val="32"/>
          <w:szCs w:val="32"/>
          <w:lang w:val="en-US" w:eastAsia="zh-CN"/>
        </w:rPr>
        <w:t>（委托方）：</w:t>
      </w:r>
      <w:r>
        <w:rPr>
          <w:rFonts w:hint="eastAsia" w:ascii="仿宋_GB2312" w:hAnsi="仿宋_GB2312" w:eastAsia="仿宋_GB2312" w:cs="仿宋_GB2312"/>
          <w:color w:val="auto"/>
          <w:spacing w:val="-1"/>
          <w:sz w:val="32"/>
          <w:szCs w:val="32"/>
        </w:rPr>
        <w:t>海南省旅游和文化广电体育厅</w:t>
      </w:r>
    </w:p>
    <w:p w14:paraId="67C7636E">
      <w:pPr>
        <w:pStyle w:val="9"/>
        <w:keepNext w:val="0"/>
        <w:keepLines w:val="0"/>
        <w:pageBreakBefore w:val="0"/>
        <w:numPr>
          <w:ilvl w:val="0"/>
          <w:numId w:val="0"/>
        </w:numPr>
        <w:tabs>
          <w:tab w:val="left" w:pos="640"/>
        </w:tabs>
        <w:kinsoku/>
        <w:wordWrap/>
        <w:overflowPunct/>
        <w:topLinePunct w:val="0"/>
        <w:autoSpaceDE/>
        <w:autoSpaceDN/>
        <w:bidi w:val="0"/>
        <w:adjustRightInd/>
        <w:snapToGrid/>
        <w:spacing w:line="560" w:lineRule="exact"/>
        <w:ind w:left="0" w:leftChars="0" w:firstLine="639" w:firstLineChars="201"/>
        <w:jc w:val="left"/>
        <w:textAlignment w:val="auto"/>
        <w:rPr>
          <w:rFonts w:hint="eastAsia" w:hAnsi="仿宋_GB2312" w:cs="仿宋_GB2312"/>
          <w:color w:val="auto"/>
          <w:spacing w:val="-1"/>
          <w:sz w:val="32"/>
          <w:szCs w:val="32"/>
          <w:lang w:val="en-US" w:eastAsia="zh-CN"/>
        </w:rPr>
      </w:pPr>
      <w:r>
        <w:rPr>
          <w:rFonts w:hint="eastAsia" w:ascii="仿宋_GB2312" w:hAnsi="仿宋_GB2312" w:eastAsia="仿宋_GB2312" w:cs="仿宋_GB2312"/>
          <w:color w:val="auto"/>
          <w:spacing w:val="-1"/>
          <w:sz w:val="32"/>
          <w:szCs w:val="32"/>
        </w:rPr>
        <w:t>乙方</w:t>
      </w:r>
      <w:r>
        <w:rPr>
          <w:rFonts w:hint="eastAsia" w:ascii="仿宋_GB2312" w:hAnsi="仿宋_GB2312" w:eastAsia="仿宋_GB2312" w:cs="仿宋_GB2312"/>
          <w:color w:val="auto"/>
          <w:spacing w:val="-1"/>
          <w:sz w:val="32"/>
          <w:szCs w:val="32"/>
          <w:lang w:eastAsia="zh-CN"/>
        </w:rPr>
        <w:t>（受托方）</w:t>
      </w:r>
      <w:r>
        <w:rPr>
          <w:rFonts w:hint="eastAsia" w:ascii="仿宋_GB2312" w:hAnsi="仿宋_GB2312" w:eastAsia="仿宋_GB2312" w:cs="仿宋_GB2312"/>
          <w:color w:val="auto"/>
          <w:spacing w:val="-1"/>
          <w:sz w:val="32"/>
          <w:szCs w:val="32"/>
        </w:rPr>
        <w:t>：</w:t>
      </w:r>
      <w:r>
        <w:rPr>
          <w:rFonts w:hint="eastAsia" w:hAnsi="仿宋_GB2312" w:cs="仿宋_GB2312"/>
          <w:color w:val="auto"/>
          <w:spacing w:val="-1"/>
          <w:sz w:val="32"/>
          <w:szCs w:val="32"/>
          <w:lang w:val="en-US" w:eastAsia="zh-CN"/>
        </w:rPr>
        <w:t>中央芭蕾舞团</w:t>
      </w:r>
    </w:p>
    <w:p w14:paraId="2D46354E">
      <w:pPr>
        <w:pStyle w:val="9"/>
        <w:keepNext w:val="0"/>
        <w:keepLines w:val="0"/>
        <w:pageBreakBefore w:val="0"/>
        <w:numPr>
          <w:ilvl w:val="0"/>
          <w:numId w:val="0"/>
        </w:numPr>
        <w:tabs>
          <w:tab w:val="left" w:pos="640"/>
        </w:tabs>
        <w:kinsoku/>
        <w:wordWrap/>
        <w:overflowPunct/>
        <w:topLinePunct w:val="0"/>
        <w:autoSpaceDE/>
        <w:autoSpaceDN/>
        <w:bidi w:val="0"/>
        <w:adjustRightInd/>
        <w:snapToGrid/>
        <w:spacing w:line="560" w:lineRule="exact"/>
        <w:ind w:left="0" w:leftChars="0" w:firstLine="639" w:firstLineChars="201"/>
        <w:jc w:val="left"/>
        <w:textAlignment w:val="auto"/>
        <w:rPr>
          <w:rFonts w:hint="eastAsia" w:ascii="仿宋_GB2312" w:hAnsi="仿宋_GB2312" w:eastAsia="仿宋_GB2312" w:cs="仿宋_GB2312"/>
          <w:color w:val="auto"/>
          <w:spacing w:val="-1"/>
          <w:sz w:val="32"/>
          <w:szCs w:val="32"/>
        </w:rPr>
      </w:pPr>
      <w:r>
        <w:rPr>
          <w:rFonts w:hint="eastAsia" w:ascii="仿宋_GB2312" w:hAnsi="仿宋_GB2312" w:eastAsia="仿宋_GB2312" w:cs="仿宋_GB2312"/>
          <w:color w:val="auto"/>
          <w:spacing w:val="-1"/>
          <w:sz w:val="32"/>
          <w:szCs w:val="32"/>
        </w:rPr>
        <w:t>根据《中华人民共和国民法典》等相关法律、法规，以及海南省旅游和文化广电体育厅</w:t>
      </w:r>
      <w:r>
        <w:rPr>
          <w:rFonts w:hint="eastAsia" w:hAnsi="仿宋_GB2312" w:cs="仿宋_GB2312"/>
          <w:color w:val="auto"/>
          <w:spacing w:val="-1"/>
          <w:sz w:val="32"/>
          <w:szCs w:val="32"/>
          <w:lang w:eastAsia="zh-CN"/>
        </w:rPr>
        <w:t>中央芭蕾舞团</w:t>
      </w:r>
      <w:r>
        <w:rPr>
          <w:rFonts w:hint="eastAsia" w:ascii="仿宋_GB2312" w:hAnsi="仿宋_GB2312" w:eastAsia="仿宋_GB2312" w:cs="仿宋_GB2312"/>
          <w:color w:val="auto"/>
          <w:spacing w:val="-1"/>
          <w:sz w:val="32"/>
          <w:szCs w:val="32"/>
        </w:rPr>
        <w:t>经典芭蕾舞剧《红色娘子军》海南驻场演出</w:t>
      </w:r>
      <w:r>
        <w:rPr>
          <w:rFonts w:hint="eastAsia" w:ascii="仿宋_GB2312" w:hAnsi="仿宋_GB2312" w:eastAsia="仿宋_GB2312" w:cs="仿宋_GB2312"/>
          <w:b w:val="0"/>
          <w:bCs w:val="0"/>
          <w:color w:val="auto"/>
          <w:sz w:val="32"/>
          <w:szCs w:val="32"/>
        </w:rPr>
        <w:t>单一来源采购结果及单一来源文件的要求</w:t>
      </w:r>
      <w:r>
        <w:rPr>
          <w:rFonts w:hint="eastAsia" w:ascii="仿宋_GB2312" w:hAnsi="仿宋_GB2312" w:eastAsia="仿宋_GB2312" w:cs="仿宋_GB2312"/>
          <w:color w:val="auto"/>
          <w:spacing w:val="-1"/>
          <w:sz w:val="32"/>
          <w:szCs w:val="32"/>
        </w:rPr>
        <w:t>，经甲乙双方协商一致，达成以下协议:</w:t>
      </w:r>
    </w:p>
    <w:p w14:paraId="659D84C6">
      <w:pPr>
        <w:pStyle w:val="9"/>
        <w:keepNext w:val="0"/>
        <w:keepLines w:val="0"/>
        <w:pageBreakBefore w:val="0"/>
        <w:numPr>
          <w:ilvl w:val="0"/>
          <w:numId w:val="0"/>
        </w:numPr>
        <w:tabs>
          <w:tab w:val="left" w:pos="640"/>
        </w:tabs>
        <w:kinsoku/>
        <w:wordWrap/>
        <w:overflowPunct/>
        <w:topLinePunct w:val="0"/>
        <w:autoSpaceDE/>
        <w:autoSpaceDN/>
        <w:bidi w:val="0"/>
        <w:adjustRightInd/>
        <w:snapToGrid/>
        <w:spacing w:line="560" w:lineRule="exact"/>
        <w:ind w:left="0" w:leftChars="0" w:firstLine="639" w:firstLineChars="201"/>
        <w:jc w:val="left"/>
        <w:textAlignment w:val="auto"/>
        <w:rPr>
          <w:rFonts w:hint="eastAsia" w:ascii="黑体" w:hAnsi="黑体" w:eastAsia="黑体" w:cs="黑体"/>
          <w:b w:val="0"/>
          <w:bCs w:val="0"/>
          <w:color w:val="auto"/>
          <w:spacing w:val="-1"/>
          <w:sz w:val="32"/>
          <w:szCs w:val="32"/>
        </w:rPr>
      </w:pPr>
      <w:r>
        <w:rPr>
          <w:rFonts w:hint="eastAsia" w:ascii="黑体" w:hAnsi="黑体" w:eastAsia="黑体" w:cs="黑体"/>
          <w:b w:val="0"/>
          <w:bCs w:val="0"/>
          <w:color w:val="auto"/>
          <w:spacing w:val="-1"/>
          <w:sz w:val="32"/>
          <w:szCs w:val="32"/>
          <w:lang w:eastAsia="zh-CN"/>
        </w:rPr>
        <w:t>一、</w:t>
      </w:r>
      <w:r>
        <w:rPr>
          <w:rFonts w:hint="eastAsia" w:ascii="黑体" w:hAnsi="黑体" w:eastAsia="黑体" w:cs="黑体"/>
          <w:b w:val="0"/>
          <w:bCs w:val="0"/>
          <w:color w:val="auto"/>
          <w:spacing w:val="-1"/>
          <w:sz w:val="32"/>
          <w:szCs w:val="32"/>
        </w:rPr>
        <w:t>合同概况</w:t>
      </w:r>
    </w:p>
    <w:p w14:paraId="4D70C0F4">
      <w:pPr>
        <w:pStyle w:val="9"/>
        <w:keepNext w:val="0"/>
        <w:keepLines w:val="0"/>
        <w:pageBreakBefore w:val="0"/>
        <w:numPr>
          <w:ilvl w:val="0"/>
          <w:numId w:val="0"/>
        </w:numPr>
        <w:tabs>
          <w:tab w:val="left" w:pos="640"/>
        </w:tabs>
        <w:kinsoku/>
        <w:wordWrap/>
        <w:overflowPunct/>
        <w:topLinePunct w:val="0"/>
        <w:autoSpaceDE/>
        <w:autoSpaceDN/>
        <w:bidi w:val="0"/>
        <w:adjustRightInd/>
        <w:snapToGrid/>
        <w:spacing w:line="560" w:lineRule="exact"/>
        <w:ind w:left="0" w:leftChars="0" w:firstLine="639" w:firstLineChars="201"/>
        <w:jc w:val="left"/>
        <w:textAlignment w:val="auto"/>
        <w:rPr>
          <w:rFonts w:hint="eastAsia" w:ascii="仿宋_GB2312" w:hAnsi="仿宋_GB2312" w:eastAsia="仿宋_GB2312" w:cs="仿宋_GB2312"/>
          <w:color w:val="auto"/>
          <w:spacing w:val="-1"/>
          <w:sz w:val="32"/>
          <w:szCs w:val="32"/>
        </w:rPr>
      </w:pPr>
      <w:r>
        <w:rPr>
          <w:rFonts w:hint="eastAsia" w:hAnsi="仿宋_GB2312" w:cs="仿宋_GB2312"/>
          <w:color w:val="auto"/>
          <w:spacing w:val="-1"/>
          <w:sz w:val="32"/>
          <w:szCs w:val="32"/>
          <w:lang w:val="en-US" w:eastAsia="zh-CN"/>
        </w:rPr>
        <w:t>（一）</w:t>
      </w:r>
      <w:r>
        <w:rPr>
          <w:rFonts w:hint="eastAsia" w:ascii="仿宋_GB2312" w:hAnsi="仿宋_GB2312" w:eastAsia="仿宋_GB2312" w:cs="仿宋_GB2312"/>
          <w:color w:val="auto"/>
          <w:spacing w:val="-1"/>
          <w:sz w:val="32"/>
          <w:szCs w:val="32"/>
          <w:lang w:val="en-US"/>
        </w:rPr>
        <w:t>服务</w:t>
      </w:r>
      <w:r>
        <w:rPr>
          <w:rFonts w:hint="eastAsia" w:hAnsi="仿宋_GB2312" w:cs="仿宋_GB2312"/>
          <w:color w:val="auto"/>
          <w:spacing w:val="-1"/>
          <w:sz w:val="32"/>
          <w:szCs w:val="32"/>
          <w:lang w:val="en-US" w:eastAsia="zh-CN"/>
        </w:rPr>
        <w:t>项目</w:t>
      </w:r>
      <w:r>
        <w:rPr>
          <w:rFonts w:hint="eastAsia" w:ascii="仿宋_GB2312" w:hAnsi="仿宋_GB2312" w:eastAsia="仿宋_GB2312" w:cs="仿宋_GB2312"/>
          <w:color w:val="auto"/>
          <w:spacing w:val="-1"/>
          <w:sz w:val="32"/>
          <w:szCs w:val="32"/>
        </w:rPr>
        <w:t>：</w:t>
      </w:r>
      <w:r>
        <w:rPr>
          <w:rFonts w:hint="eastAsia" w:hAnsi="仿宋_GB2312" w:cs="仿宋_GB2312"/>
          <w:color w:val="auto"/>
          <w:spacing w:val="-1"/>
          <w:sz w:val="32"/>
          <w:szCs w:val="32"/>
          <w:lang w:eastAsia="zh-CN"/>
        </w:rPr>
        <w:t>中央芭蕾舞团</w:t>
      </w:r>
      <w:r>
        <w:rPr>
          <w:rFonts w:hint="eastAsia" w:ascii="仿宋_GB2312" w:hAnsi="仿宋_GB2312" w:eastAsia="仿宋_GB2312" w:cs="仿宋_GB2312"/>
          <w:color w:val="auto"/>
          <w:spacing w:val="-1"/>
          <w:sz w:val="32"/>
          <w:szCs w:val="32"/>
        </w:rPr>
        <w:t>经典芭蕾舞剧《红色娘子军》海南驻场演出</w:t>
      </w:r>
    </w:p>
    <w:p w14:paraId="46D23CE2">
      <w:pPr>
        <w:pStyle w:val="9"/>
        <w:keepNext w:val="0"/>
        <w:keepLines w:val="0"/>
        <w:pageBreakBefore w:val="0"/>
        <w:numPr>
          <w:ilvl w:val="0"/>
          <w:numId w:val="0"/>
        </w:numPr>
        <w:tabs>
          <w:tab w:val="left" w:pos="640"/>
        </w:tabs>
        <w:kinsoku/>
        <w:wordWrap/>
        <w:overflowPunct/>
        <w:topLinePunct w:val="0"/>
        <w:autoSpaceDE/>
        <w:autoSpaceDN/>
        <w:bidi w:val="0"/>
        <w:adjustRightInd/>
        <w:snapToGrid/>
        <w:spacing w:line="560" w:lineRule="exact"/>
        <w:ind w:left="0" w:leftChars="0" w:firstLine="639" w:firstLineChars="201"/>
        <w:jc w:val="left"/>
        <w:textAlignment w:val="auto"/>
        <w:rPr>
          <w:rFonts w:hint="default" w:hAnsi="仿宋_GB2312" w:cs="仿宋_GB2312"/>
          <w:color w:val="auto"/>
          <w:spacing w:val="-1"/>
          <w:sz w:val="32"/>
          <w:szCs w:val="32"/>
          <w:lang w:val="en-US" w:eastAsia="zh-CN"/>
        </w:rPr>
      </w:pPr>
      <w:r>
        <w:rPr>
          <w:rFonts w:hint="eastAsia" w:hAnsi="仿宋_GB2312" w:cs="仿宋_GB2312"/>
          <w:color w:val="auto"/>
          <w:spacing w:val="-1"/>
          <w:sz w:val="32"/>
          <w:szCs w:val="32"/>
          <w:lang w:val="en-US" w:eastAsia="zh-CN"/>
        </w:rPr>
        <w:t>（二）演出场次：20场</w:t>
      </w:r>
    </w:p>
    <w:p w14:paraId="6DC48FB7">
      <w:pPr>
        <w:pStyle w:val="9"/>
        <w:keepNext w:val="0"/>
        <w:keepLines w:val="0"/>
        <w:pageBreakBefore w:val="0"/>
        <w:numPr>
          <w:ilvl w:val="0"/>
          <w:numId w:val="0"/>
        </w:numPr>
        <w:tabs>
          <w:tab w:val="left" w:pos="640"/>
        </w:tabs>
        <w:kinsoku/>
        <w:wordWrap/>
        <w:overflowPunct/>
        <w:topLinePunct w:val="0"/>
        <w:autoSpaceDE/>
        <w:autoSpaceDN/>
        <w:bidi w:val="0"/>
        <w:adjustRightInd/>
        <w:snapToGrid/>
        <w:spacing w:line="560" w:lineRule="exact"/>
        <w:ind w:left="0" w:leftChars="0" w:firstLine="639" w:firstLineChars="201"/>
        <w:jc w:val="left"/>
        <w:textAlignment w:val="auto"/>
        <w:rPr>
          <w:rFonts w:hint="eastAsia" w:hAnsi="仿宋_GB2312" w:cs="仿宋_GB2312"/>
          <w:color w:val="auto"/>
          <w:spacing w:val="-1"/>
          <w:sz w:val="32"/>
          <w:szCs w:val="32"/>
          <w:lang w:val="en-US" w:eastAsia="zh-CN"/>
        </w:rPr>
      </w:pPr>
      <w:r>
        <w:rPr>
          <w:rFonts w:hint="eastAsia" w:hAnsi="仿宋_GB2312" w:cs="仿宋_GB2312"/>
          <w:color w:val="auto"/>
          <w:spacing w:val="-1"/>
          <w:sz w:val="32"/>
          <w:szCs w:val="32"/>
          <w:lang w:val="en-US" w:eastAsia="zh-CN"/>
        </w:rPr>
        <w:t>（三）演出地点：</w:t>
      </w:r>
      <w:r>
        <w:rPr>
          <w:rFonts w:hint="eastAsia" w:ascii="仿宋_GB2312" w:hAnsi="仿宋_GB2312" w:eastAsia="仿宋_GB2312" w:cs="仿宋_GB2312"/>
          <w:color w:val="auto"/>
          <w:spacing w:val="-1"/>
          <w:sz w:val="32"/>
          <w:szCs w:val="32"/>
          <w:lang w:val="en-US" w:eastAsia="zh-CN"/>
        </w:rPr>
        <w:t>海南省</w:t>
      </w:r>
      <w:r>
        <w:rPr>
          <w:rFonts w:hint="eastAsia" w:hAnsi="仿宋_GB2312" w:cs="仿宋_GB2312"/>
          <w:color w:val="auto"/>
          <w:spacing w:val="-1"/>
          <w:sz w:val="32"/>
          <w:szCs w:val="32"/>
          <w:lang w:val="en-US" w:eastAsia="zh-CN"/>
        </w:rPr>
        <w:t>境内</w:t>
      </w:r>
    </w:p>
    <w:p w14:paraId="2D5EB71C">
      <w:pPr>
        <w:pStyle w:val="9"/>
        <w:keepNext w:val="0"/>
        <w:keepLines w:val="0"/>
        <w:pageBreakBefore w:val="0"/>
        <w:numPr>
          <w:ilvl w:val="0"/>
          <w:numId w:val="0"/>
        </w:numPr>
        <w:tabs>
          <w:tab w:val="left" w:pos="640"/>
        </w:tabs>
        <w:kinsoku/>
        <w:wordWrap/>
        <w:overflowPunct/>
        <w:topLinePunct w:val="0"/>
        <w:autoSpaceDE/>
        <w:autoSpaceDN/>
        <w:bidi w:val="0"/>
        <w:adjustRightInd/>
        <w:snapToGrid/>
        <w:spacing w:line="560" w:lineRule="exact"/>
        <w:ind w:left="0" w:leftChars="0" w:firstLine="639" w:firstLineChars="201"/>
        <w:jc w:val="left"/>
        <w:textAlignment w:val="auto"/>
        <w:rPr>
          <w:rFonts w:hint="eastAsia" w:hAnsi="仿宋_GB2312" w:cs="仿宋_GB2312"/>
          <w:color w:val="auto"/>
          <w:spacing w:val="-1"/>
          <w:sz w:val="32"/>
          <w:szCs w:val="32"/>
          <w:lang w:val="en-US" w:eastAsia="zh-CN"/>
        </w:rPr>
      </w:pPr>
      <w:r>
        <w:rPr>
          <w:rFonts w:hint="eastAsia" w:hAnsi="仿宋_GB2312" w:cs="仿宋_GB2312"/>
          <w:color w:val="auto"/>
          <w:spacing w:val="-1"/>
          <w:sz w:val="32"/>
          <w:szCs w:val="32"/>
          <w:lang w:val="en-US" w:eastAsia="zh-CN"/>
        </w:rPr>
        <w:t>（四）演出单位：中央芭蕾舞团</w:t>
      </w:r>
    </w:p>
    <w:p w14:paraId="6212B3DD">
      <w:pPr>
        <w:pStyle w:val="9"/>
        <w:keepNext w:val="0"/>
        <w:keepLines w:val="0"/>
        <w:pageBreakBefore w:val="0"/>
        <w:numPr>
          <w:ilvl w:val="0"/>
          <w:numId w:val="0"/>
        </w:numPr>
        <w:tabs>
          <w:tab w:val="left" w:pos="640"/>
        </w:tabs>
        <w:kinsoku/>
        <w:wordWrap/>
        <w:overflowPunct/>
        <w:topLinePunct w:val="0"/>
        <w:autoSpaceDE/>
        <w:autoSpaceDN/>
        <w:bidi w:val="0"/>
        <w:adjustRightInd/>
        <w:snapToGrid/>
        <w:spacing w:line="560" w:lineRule="exact"/>
        <w:ind w:left="0" w:leftChars="0" w:firstLine="639" w:firstLineChars="201"/>
        <w:jc w:val="left"/>
        <w:textAlignment w:val="auto"/>
        <w:rPr>
          <w:rFonts w:hint="default" w:ascii="仿宋_GB2312" w:hAnsi="仿宋_GB2312" w:eastAsia="仿宋_GB2312" w:cs="仿宋_GB2312"/>
          <w:color w:val="auto"/>
          <w:spacing w:val="-1"/>
          <w:sz w:val="32"/>
          <w:szCs w:val="32"/>
          <w:lang w:val="en-US" w:eastAsia="zh-CN"/>
        </w:rPr>
      </w:pPr>
      <w:r>
        <w:rPr>
          <w:rFonts w:hint="eastAsia" w:hAnsi="仿宋_GB2312" w:cs="仿宋_GB2312"/>
          <w:color w:val="auto"/>
          <w:spacing w:val="-1"/>
          <w:sz w:val="32"/>
          <w:szCs w:val="32"/>
          <w:lang w:val="en-US" w:eastAsia="zh-CN"/>
        </w:rPr>
        <w:t>（五）演出时间：2025年6月-11月</w:t>
      </w:r>
    </w:p>
    <w:p w14:paraId="1909C244">
      <w:pPr>
        <w:pStyle w:val="9"/>
        <w:keepNext w:val="0"/>
        <w:keepLines w:val="0"/>
        <w:pageBreakBefore w:val="0"/>
        <w:numPr>
          <w:ilvl w:val="0"/>
          <w:numId w:val="0"/>
        </w:numPr>
        <w:tabs>
          <w:tab w:val="left" w:pos="640"/>
        </w:tabs>
        <w:kinsoku/>
        <w:wordWrap/>
        <w:overflowPunct/>
        <w:topLinePunct w:val="0"/>
        <w:autoSpaceDE/>
        <w:autoSpaceDN/>
        <w:bidi w:val="0"/>
        <w:adjustRightInd/>
        <w:snapToGrid/>
        <w:spacing w:line="560" w:lineRule="exact"/>
        <w:ind w:left="0" w:leftChars="0" w:firstLine="639" w:firstLineChars="201"/>
        <w:jc w:val="left"/>
        <w:textAlignment w:val="auto"/>
        <w:rPr>
          <w:rFonts w:hint="eastAsia" w:ascii="黑体" w:hAnsi="黑体" w:eastAsia="黑体" w:cs="黑体"/>
          <w:b w:val="0"/>
          <w:bCs w:val="0"/>
          <w:color w:val="auto"/>
          <w:spacing w:val="-1"/>
          <w:sz w:val="32"/>
          <w:szCs w:val="32"/>
        </w:rPr>
      </w:pPr>
      <w:r>
        <w:rPr>
          <w:rFonts w:hint="eastAsia" w:ascii="黑体" w:hAnsi="黑体" w:eastAsia="黑体" w:cs="黑体"/>
          <w:b w:val="0"/>
          <w:bCs w:val="0"/>
          <w:color w:val="auto"/>
          <w:spacing w:val="-1"/>
          <w:sz w:val="32"/>
          <w:szCs w:val="32"/>
          <w:lang w:eastAsia="zh-CN"/>
        </w:rPr>
        <w:t>二、</w:t>
      </w:r>
      <w:r>
        <w:rPr>
          <w:rFonts w:hint="eastAsia" w:ascii="黑体" w:hAnsi="黑体" w:eastAsia="黑体" w:cs="黑体"/>
          <w:b w:val="0"/>
          <w:bCs w:val="0"/>
          <w:color w:val="auto"/>
          <w:spacing w:val="-1"/>
          <w:sz w:val="32"/>
          <w:szCs w:val="32"/>
        </w:rPr>
        <w:t>合同期限</w:t>
      </w:r>
    </w:p>
    <w:p w14:paraId="558C25E8">
      <w:pPr>
        <w:pStyle w:val="4"/>
        <w:ind w:firstLine="636" w:firstLineChars="200"/>
        <w:rPr>
          <w:rFonts w:hint="eastAsia" w:ascii="仿宋_GB2312" w:hAnsi="仿宋_GB2312" w:eastAsia="仿宋_GB2312" w:cs="仿宋_GB2312"/>
          <w:color w:val="auto"/>
          <w:spacing w:val="-1"/>
          <w:sz w:val="32"/>
          <w:szCs w:val="32"/>
        </w:rPr>
      </w:pPr>
      <w:r>
        <w:rPr>
          <w:rFonts w:hint="eastAsia" w:ascii="仿宋_GB2312" w:hAnsi="仿宋_GB2312" w:eastAsia="仿宋_GB2312" w:cs="仿宋_GB2312"/>
          <w:color w:val="auto"/>
          <w:spacing w:val="-1"/>
          <w:sz w:val="32"/>
          <w:szCs w:val="32"/>
        </w:rPr>
        <w:t>自本合同签订之日起</w:t>
      </w:r>
      <w:r>
        <w:rPr>
          <w:rFonts w:hint="eastAsia" w:ascii="仿宋_GB2312" w:hAnsi="仿宋_GB2312" w:eastAsia="仿宋_GB2312" w:cs="仿宋_GB2312"/>
          <w:color w:val="auto"/>
          <w:spacing w:val="-1"/>
          <w:sz w:val="32"/>
          <w:szCs w:val="32"/>
          <w:lang w:eastAsia="zh-CN"/>
        </w:rPr>
        <w:t>至</w:t>
      </w:r>
      <w:r>
        <w:rPr>
          <w:rFonts w:hint="eastAsia"/>
          <w:color w:val="auto"/>
          <w:lang w:val="en-US" w:eastAsia="zh-CN"/>
        </w:rPr>
        <w:t>合同履行完毕为止</w:t>
      </w:r>
      <w:r>
        <w:rPr>
          <w:rFonts w:hint="eastAsia" w:ascii="仿宋_GB2312" w:hAnsi="仿宋_GB2312" w:eastAsia="仿宋_GB2312" w:cs="仿宋_GB2312"/>
          <w:color w:val="auto"/>
          <w:spacing w:val="-1"/>
          <w:sz w:val="32"/>
          <w:szCs w:val="32"/>
        </w:rPr>
        <w:t>。</w:t>
      </w:r>
    </w:p>
    <w:p w14:paraId="364C3673">
      <w:pPr>
        <w:pStyle w:val="9"/>
        <w:keepNext w:val="0"/>
        <w:keepLines w:val="0"/>
        <w:pageBreakBefore w:val="0"/>
        <w:numPr>
          <w:ilvl w:val="0"/>
          <w:numId w:val="1"/>
        </w:numPr>
        <w:tabs>
          <w:tab w:val="left" w:pos="640"/>
        </w:tabs>
        <w:kinsoku/>
        <w:wordWrap/>
        <w:overflowPunct/>
        <w:topLinePunct w:val="0"/>
        <w:autoSpaceDE/>
        <w:autoSpaceDN/>
        <w:bidi w:val="0"/>
        <w:adjustRightInd/>
        <w:snapToGrid/>
        <w:spacing w:line="560" w:lineRule="exact"/>
        <w:ind w:left="0" w:leftChars="0" w:firstLine="639" w:firstLineChars="201"/>
        <w:jc w:val="left"/>
        <w:textAlignment w:val="auto"/>
        <w:rPr>
          <w:rFonts w:hint="eastAsia" w:ascii="黑体" w:hAnsi="黑体" w:eastAsia="黑体" w:cs="黑体"/>
          <w:b w:val="0"/>
          <w:bCs w:val="0"/>
          <w:color w:val="auto"/>
          <w:spacing w:val="-1"/>
          <w:sz w:val="32"/>
          <w:szCs w:val="32"/>
          <w:lang w:eastAsia="zh-CN"/>
        </w:rPr>
      </w:pPr>
      <w:r>
        <w:rPr>
          <w:rFonts w:hint="eastAsia" w:ascii="黑体" w:hAnsi="黑体" w:eastAsia="黑体" w:cs="黑体"/>
          <w:b w:val="0"/>
          <w:bCs w:val="0"/>
          <w:color w:val="auto"/>
          <w:spacing w:val="-1"/>
          <w:sz w:val="32"/>
          <w:szCs w:val="32"/>
          <w:lang w:eastAsia="zh-CN"/>
        </w:rPr>
        <w:t>合同支付</w:t>
      </w:r>
    </w:p>
    <w:p w14:paraId="19DF31BF">
      <w:pPr>
        <w:keepNext w:val="0"/>
        <w:keepLines w:val="0"/>
        <w:pageBreakBefore w:val="0"/>
        <w:widowControl w:val="0"/>
        <w:kinsoku/>
        <w:wordWrap/>
        <w:overflowPunct/>
        <w:topLinePunct w:val="0"/>
        <w:autoSpaceDE/>
        <w:autoSpaceDN/>
        <w:bidi w:val="0"/>
        <w:adjustRightInd/>
        <w:snapToGrid/>
        <w:spacing w:line="560" w:lineRule="exact"/>
        <w:ind w:firstLine="636" w:firstLineChars="200"/>
        <w:jc w:val="left"/>
        <w:textAlignment w:val="auto"/>
        <w:rPr>
          <w:rFonts w:hint="eastAsia" w:hAnsi="仿宋_GB2312" w:cs="仿宋_GB2312"/>
          <w:color w:val="auto"/>
          <w:spacing w:val="-1"/>
          <w:sz w:val="32"/>
          <w:szCs w:val="32"/>
          <w:lang w:val="en-US" w:eastAsia="zh-CN"/>
        </w:rPr>
      </w:pPr>
      <w:r>
        <w:rPr>
          <w:rFonts w:hint="eastAsia" w:hAnsi="仿宋_GB2312" w:cs="仿宋_GB2312"/>
          <w:color w:val="auto"/>
          <w:spacing w:val="-1"/>
          <w:sz w:val="32"/>
          <w:szCs w:val="32"/>
          <w:lang w:val="en-US" w:eastAsia="zh-CN"/>
        </w:rPr>
        <w:t>合同总额为人民币</w:t>
      </w:r>
      <w:r>
        <w:rPr>
          <w:rFonts w:hint="eastAsia" w:hAnsi="仿宋_GB2312" w:cs="仿宋_GB2312"/>
          <w:color w:val="auto"/>
          <w:spacing w:val="-1"/>
          <w:sz w:val="32"/>
          <w:szCs w:val="32"/>
          <w:u w:val="single"/>
          <w:lang w:val="en-US" w:eastAsia="zh-CN"/>
        </w:rPr>
        <w:t xml:space="preserve">           </w:t>
      </w:r>
      <w:r>
        <w:rPr>
          <w:rFonts w:hint="eastAsia" w:hAnsi="仿宋_GB2312" w:cs="仿宋_GB2312"/>
          <w:color w:val="auto"/>
          <w:spacing w:val="-1"/>
          <w:sz w:val="32"/>
          <w:szCs w:val="32"/>
          <w:lang w:val="en-US" w:eastAsia="zh-CN"/>
        </w:rPr>
        <w:t>（</w:t>
      </w:r>
      <w:r>
        <w:rPr>
          <w:rFonts w:hint="default" w:ascii="Arial" w:hAnsi="Arial" w:cs="Arial"/>
          <w:color w:val="auto"/>
          <w:spacing w:val="-1"/>
          <w:sz w:val="32"/>
          <w:szCs w:val="32"/>
          <w:lang w:val="en-US" w:eastAsia="zh-CN"/>
        </w:rPr>
        <w:t>￥</w:t>
      </w:r>
      <w:r>
        <w:rPr>
          <w:rFonts w:hint="eastAsia" w:hAnsi="仿宋_GB2312" w:cs="仿宋_GB2312"/>
          <w:color w:val="auto"/>
          <w:spacing w:val="-1"/>
          <w:sz w:val="32"/>
          <w:szCs w:val="32"/>
          <w:lang w:val="en-US" w:eastAsia="zh-CN"/>
        </w:rPr>
        <w:t xml:space="preserve">       元），该金额为合同总价（含税），</w:t>
      </w:r>
      <w:r>
        <w:rPr>
          <w:rFonts w:hint="eastAsia" w:ascii="仿宋_GB2312" w:hAnsi="仿宋_GB2312" w:eastAsia="仿宋_GB2312" w:cs="仿宋_GB2312"/>
          <w:color w:val="auto"/>
          <w:sz w:val="32"/>
          <w:szCs w:val="32"/>
        </w:rPr>
        <w:t>用于</w:t>
      </w:r>
      <w:r>
        <w:rPr>
          <w:rFonts w:hint="eastAsia" w:ascii="仿宋_GB2312" w:hAnsi="仿宋_GB2312" w:eastAsia="仿宋_GB2312" w:cs="仿宋_GB2312"/>
          <w:color w:val="auto"/>
          <w:sz w:val="32"/>
          <w:szCs w:val="32"/>
          <w:lang w:eastAsia="zh-CN"/>
        </w:rPr>
        <w:t>中央芭蕾舞团经典</w:t>
      </w:r>
      <w:r>
        <w:rPr>
          <w:rFonts w:hint="eastAsia" w:ascii="仿宋_GB2312" w:hAnsi="仿宋_GB2312" w:eastAsia="仿宋_GB2312" w:cs="仿宋_GB2312"/>
          <w:color w:val="auto"/>
          <w:sz w:val="32"/>
          <w:szCs w:val="32"/>
          <w:lang w:val="en-US" w:eastAsia="zh-CN"/>
        </w:rPr>
        <w:t>芭蕾舞剧《红色娘子军》20</w:t>
      </w:r>
      <w:r>
        <w:rPr>
          <w:rFonts w:hint="eastAsia" w:ascii="仿宋_GB2312" w:hAnsi="仿宋_GB2312" w:eastAsia="仿宋_GB2312" w:cs="仿宋_GB2312"/>
          <w:color w:val="auto"/>
          <w:sz w:val="32"/>
          <w:szCs w:val="32"/>
          <w:lang w:val="en" w:eastAsia="zh-CN"/>
        </w:rPr>
        <w:t>场</w:t>
      </w:r>
      <w:r>
        <w:rPr>
          <w:rFonts w:hint="eastAsia" w:ascii="仿宋_GB2312" w:hAnsi="仿宋_GB2312" w:eastAsia="仿宋_GB2312" w:cs="仿宋_GB2312"/>
          <w:color w:val="auto"/>
          <w:sz w:val="32"/>
          <w:szCs w:val="32"/>
        </w:rPr>
        <w:t>演出费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每场</w:t>
      </w:r>
      <w:r>
        <w:rPr>
          <w:rFonts w:hint="eastAsia" w:hAnsi="仿宋_GB2312" w:cs="仿宋_GB2312"/>
          <w:color w:val="auto"/>
          <w:sz w:val="32"/>
          <w:szCs w:val="32"/>
          <w:u w:val="single"/>
          <w:lang w:val="en-US" w:eastAsia="zh-CN"/>
        </w:rPr>
        <w:t xml:space="preserve">       元</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大写金额：人民币</w:t>
      </w:r>
      <w:r>
        <w:rPr>
          <w:rFonts w:hint="eastAsia" w:hAnsi="仿宋_GB2312" w:cs="仿宋_GB2312"/>
          <w:color w:val="auto"/>
          <w:spacing w:val="-1"/>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甲方无须再向</w:t>
      </w:r>
      <w:r>
        <w:rPr>
          <w:rFonts w:hint="eastAsia" w:ascii="仿宋_GB2312" w:hAnsi="仿宋_GB2312" w:eastAsia="仿宋_GB2312" w:cs="仿宋_GB2312"/>
          <w:color w:val="auto"/>
          <w:sz w:val="32"/>
          <w:szCs w:val="32"/>
          <w:lang w:eastAsia="zh-CN"/>
        </w:rPr>
        <w:t>乙方</w:t>
      </w:r>
      <w:r>
        <w:rPr>
          <w:rFonts w:hint="eastAsia" w:ascii="仿宋_GB2312" w:hAnsi="仿宋_GB2312" w:eastAsia="仿宋_GB2312" w:cs="仿宋_GB2312"/>
          <w:color w:val="auto"/>
          <w:sz w:val="32"/>
          <w:szCs w:val="32"/>
        </w:rPr>
        <w:t>支付任何其他费用。</w:t>
      </w:r>
      <w:r>
        <w:rPr>
          <w:rFonts w:hint="eastAsia" w:ascii="仿宋_GB2312" w:hAnsi="仿宋_GB2312" w:eastAsia="仿宋_GB2312" w:cs="仿宋_GB2312"/>
          <w:b w:val="0"/>
          <w:bCs w:val="0"/>
          <w:i w:val="0"/>
          <w:caps w:val="0"/>
          <w:color w:val="auto"/>
          <w:spacing w:val="0"/>
          <w:kern w:val="2"/>
          <w:sz w:val="32"/>
          <w:szCs w:val="32"/>
          <w:shd w:val="clear" w:color="auto" w:fill="auto"/>
          <w:lang w:val="en-US" w:eastAsia="zh-CN" w:bidi="ar"/>
        </w:rPr>
        <w:t>项目验收时乙方须提供项目验收证明材料，甲方逐一核对服务条款内容及数量的佐证材料后，予以验收</w:t>
      </w:r>
      <w:r>
        <w:rPr>
          <w:rFonts w:hint="eastAsia" w:hAnsi="仿宋_GB2312" w:cs="仿宋_GB2312"/>
          <w:b w:val="0"/>
          <w:bCs w:val="0"/>
          <w:i w:val="0"/>
          <w:caps w:val="0"/>
          <w:color w:val="auto"/>
          <w:spacing w:val="0"/>
          <w:kern w:val="2"/>
          <w:sz w:val="32"/>
          <w:szCs w:val="32"/>
          <w:shd w:val="clear" w:color="auto" w:fill="auto"/>
          <w:lang w:val="en-US" w:eastAsia="zh-CN" w:bidi="ar"/>
        </w:rPr>
        <w:t>。</w:t>
      </w:r>
    </w:p>
    <w:p w14:paraId="7764814D">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bCs w:val="0"/>
          <w:color w:val="auto"/>
          <w:sz w:val="32"/>
          <w:szCs w:val="32"/>
          <w:highlight w:val="none"/>
          <w:u w:val="none"/>
        </w:rPr>
        <w:t>本合同签订后，</w:t>
      </w:r>
      <w:r>
        <w:rPr>
          <w:rFonts w:hint="eastAsia" w:ascii="仿宋_GB2312" w:hAnsi="仿宋_GB2312" w:eastAsia="仿宋_GB2312" w:cs="仿宋_GB2312"/>
          <w:bCs w:val="0"/>
          <w:color w:val="auto"/>
          <w:sz w:val="32"/>
          <w:szCs w:val="32"/>
          <w:highlight w:val="none"/>
          <w:u w:val="none"/>
          <w:lang w:val="en-US" w:eastAsia="zh-CN"/>
        </w:rPr>
        <w:t>乙方向甲方</w:t>
      </w:r>
      <w:r>
        <w:rPr>
          <w:rFonts w:hint="eastAsia" w:ascii="仿宋_GB2312" w:hAnsi="仿宋_GB2312" w:eastAsia="仿宋_GB2312" w:cs="仿宋_GB2312"/>
          <w:color w:val="auto"/>
          <w:sz w:val="32"/>
          <w:szCs w:val="32"/>
        </w:rPr>
        <w:t>开具合法、有效的等额发票</w:t>
      </w:r>
      <w:r>
        <w:rPr>
          <w:rFonts w:hint="eastAsia" w:ascii="仿宋_GB2312" w:hAnsi="仿宋_GB2312" w:eastAsia="仿宋_GB2312" w:cs="仿宋_GB2312"/>
          <w:bCs w:val="0"/>
          <w:color w:val="auto"/>
          <w:sz w:val="32"/>
          <w:szCs w:val="32"/>
          <w:highlight w:val="none"/>
          <w:u w:val="none"/>
        </w:rPr>
        <w:t>，</w:t>
      </w:r>
      <w:r>
        <w:rPr>
          <w:rFonts w:hint="eastAsia" w:ascii="仿宋_GB2312" w:hAnsi="仿宋_GB2312" w:eastAsia="仿宋_GB2312" w:cs="仿宋_GB2312"/>
          <w:bCs w:val="0"/>
          <w:color w:val="auto"/>
          <w:sz w:val="32"/>
          <w:szCs w:val="32"/>
          <w:highlight w:val="none"/>
          <w:u w:val="none"/>
          <w:lang w:val="en-US" w:eastAsia="zh-CN"/>
        </w:rPr>
        <w:t>甲方收到发票</w:t>
      </w:r>
      <w:r>
        <w:rPr>
          <w:rFonts w:hint="eastAsia" w:hAnsi="仿宋_GB2312" w:cs="仿宋_GB2312"/>
          <w:bCs w:val="0"/>
          <w:color w:val="auto"/>
          <w:sz w:val="32"/>
          <w:szCs w:val="32"/>
          <w:highlight w:val="none"/>
          <w:u w:val="none"/>
          <w:lang w:val="en-US" w:eastAsia="zh-CN"/>
        </w:rPr>
        <w:t>后</w:t>
      </w:r>
      <w:r>
        <w:rPr>
          <w:rFonts w:hint="eastAsia" w:ascii="仿宋_GB2312" w:hAnsi="仿宋_GB2312" w:eastAsia="仿宋_GB2312" w:cs="仿宋_GB2312"/>
          <w:bCs w:val="0"/>
          <w:color w:val="auto"/>
          <w:sz w:val="32"/>
          <w:szCs w:val="32"/>
          <w:highlight w:val="none"/>
          <w:u w:val="none"/>
        </w:rPr>
        <w:t>向乙方支付演出费</w:t>
      </w:r>
      <w:r>
        <w:rPr>
          <w:rFonts w:hint="eastAsia" w:ascii="仿宋_GB2312" w:hAnsi="仿宋_GB2312" w:eastAsia="仿宋_GB2312" w:cs="仿宋_GB2312"/>
          <w:bCs w:val="0"/>
          <w:color w:val="auto"/>
          <w:sz w:val="32"/>
          <w:szCs w:val="32"/>
          <w:highlight w:val="none"/>
          <w:u w:val="none"/>
          <w:lang w:val="en-US" w:eastAsia="zh-CN"/>
        </w:rPr>
        <w:t>50</w:t>
      </w:r>
      <w:r>
        <w:rPr>
          <w:rFonts w:hint="eastAsia" w:ascii="仿宋_GB2312" w:hAnsi="仿宋_GB2312" w:eastAsia="仿宋_GB2312" w:cs="仿宋_GB2312"/>
          <w:bCs w:val="0"/>
          <w:color w:val="auto"/>
          <w:sz w:val="32"/>
          <w:szCs w:val="32"/>
          <w:highlight w:val="none"/>
          <w:u w:val="none"/>
        </w:rPr>
        <w:t>%的首款</w:t>
      </w:r>
      <w:r>
        <w:rPr>
          <w:rFonts w:hint="eastAsia" w:ascii="仿宋_GB2312" w:hAnsi="仿宋_GB2312" w:eastAsia="仿宋_GB2312" w:cs="仿宋_GB2312"/>
          <w:bCs w:val="0"/>
          <w:color w:val="auto"/>
          <w:sz w:val="32"/>
          <w:szCs w:val="32"/>
          <w:highlight w:val="none"/>
          <w:u w:val="none"/>
          <w:lang w:eastAsia="zh-CN"/>
        </w:rPr>
        <w:t>，</w:t>
      </w:r>
      <w:r>
        <w:rPr>
          <w:rFonts w:hint="eastAsia" w:ascii="仿宋_GB2312" w:hAnsi="仿宋_GB2312" w:eastAsia="仿宋_GB2312" w:cs="仿宋_GB2312"/>
          <w:bCs w:val="0"/>
          <w:color w:val="auto"/>
          <w:sz w:val="32"/>
          <w:szCs w:val="32"/>
          <w:highlight w:val="none"/>
          <w:u w:val="none"/>
        </w:rPr>
        <w:t>即¥</w:t>
      </w:r>
      <w:r>
        <w:rPr>
          <w:rFonts w:hint="eastAsia" w:ascii="仿宋_GB2312" w:hAnsi="仿宋_GB2312" w:eastAsia="仿宋_GB2312" w:cs="仿宋_GB2312"/>
          <w:bCs w:val="0"/>
          <w:color w:val="auto"/>
          <w:sz w:val="32"/>
          <w:szCs w:val="32"/>
          <w:highlight w:val="none"/>
          <w:u w:val="single"/>
        </w:rPr>
        <w:t xml:space="preserve"> </w:t>
      </w:r>
      <w:r>
        <w:rPr>
          <w:rFonts w:hint="eastAsia" w:hAnsi="仿宋_GB2312" w:cs="仿宋_GB2312"/>
          <w:bCs w:val="0"/>
          <w:color w:val="auto"/>
          <w:sz w:val="32"/>
          <w:szCs w:val="32"/>
          <w:highlight w:val="none"/>
          <w:u w:val="single"/>
          <w:lang w:val="en-US" w:eastAsia="zh-CN"/>
        </w:rPr>
        <w:t xml:space="preserve">     元 </w:t>
      </w:r>
      <w:r>
        <w:rPr>
          <w:rFonts w:hint="eastAsia" w:ascii="仿宋_GB2312" w:hAnsi="仿宋_GB2312" w:eastAsia="仿宋_GB2312" w:cs="仿宋_GB2312"/>
          <w:bCs w:val="0"/>
          <w:color w:val="auto"/>
          <w:sz w:val="32"/>
          <w:szCs w:val="32"/>
          <w:highlight w:val="none"/>
          <w:u w:val="none"/>
        </w:rPr>
        <w:t>（大写：</w:t>
      </w:r>
      <w:r>
        <w:rPr>
          <w:rFonts w:hint="eastAsia" w:hAnsi="仿宋_GB2312" w:cs="仿宋_GB2312"/>
          <w:bCs w:val="0"/>
          <w:color w:val="auto"/>
          <w:sz w:val="32"/>
          <w:szCs w:val="32"/>
          <w:highlight w:val="none"/>
          <w:u w:val="single"/>
          <w:lang w:val="en-US" w:eastAsia="zh-CN"/>
        </w:rPr>
        <w:t xml:space="preserve">        </w:t>
      </w:r>
      <w:r>
        <w:rPr>
          <w:rFonts w:hint="eastAsia" w:ascii="仿宋_GB2312" w:hAnsi="仿宋_GB2312" w:eastAsia="仿宋_GB2312" w:cs="仿宋_GB2312"/>
          <w:bCs w:val="0"/>
          <w:color w:val="auto"/>
          <w:sz w:val="32"/>
          <w:szCs w:val="32"/>
          <w:highlight w:val="none"/>
          <w:u w:val="none"/>
        </w:rPr>
        <w:t>）</w:t>
      </w:r>
      <w:r>
        <w:rPr>
          <w:rFonts w:hint="eastAsia" w:ascii="仿宋_GB2312" w:hAnsi="仿宋_GB2312" w:eastAsia="仿宋_GB2312" w:cs="仿宋_GB2312"/>
          <w:bCs w:val="0"/>
          <w:color w:val="auto"/>
          <w:sz w:val="32"/>
          <w:szCs w:val="32"/>
          <w:highlight w:val="none"/>
          <w:u w:val="none"/>
          <w:lang w:eastAsia="zh-CN"/>
        </w:rPr>
        <w:t>。</w:t>
      </w:r>
      <w:r>
        <w:rPr>
          <w:rFonts w:hint="eastAsia" w:hAnsi="仿宋_GB2312" w:cs="仿宋_GB2312"/>
          <w:bCs w:val="0"/>
          <w:color w:val="auto"/>
          <w:sz w:val="32"/>
          <w:szCs w:val="32"/>
          <w:highlight w:val="none"/>
          <w:u w:val="none"/>
          <w:lang w:val="en-US" w:eastAsia="zh-CN"/>
        </w:rPr>
        <w:t>6月份</w:t>
      </w:r>
      <w:r>
        <w:rPr>
          <w:rFonts w:hint="eastAsia" w:ascii="仿宋_GB2312" w:hAnsi="仿宋_GB2312" w:eastAsia="仿宋_GB2312" w:cs="仿宋_GB2312"/>
          <w:color w:val="auto"/>
          <w:sz w:val="32"/>
          <w:szCs w:val="32"/>
        </w:rPr>
        <w:t>演出</w:t>
      </w:r>
      <w:r>
        <w:rPr>
          <w:rFonts w:hint="eastAsia" w:hAnsi="仿宋_GB2312" w:cs="仿宋_GB2312"/>
          <w:color w:val="auto"/>
          <w:sz w:val="32"/>
          <w:szCs w:val="32"/>
          <w:lang w:val="en-US" w:eastAsia="zh-CN"/>
        </w:rPr>
        <w:t>5场</w:t>
      </w:r>
      <w:r>
        <w:rPr>
          <w:rFonts w:hint="eastAsia" w:ascii="仿宋_GB2312" w:hAnsi="仿宋_GB2312" w:eastAsia="仿宋_GB2312" w:cs="仿宋_GB2312"/>
          <w:color w:val="auto"/>
          <w:sz w:val="32"/>
          <w:szCs w:val="32"/>
        </w:rPr>
        <w:t>完成后，乙方提供</w:t>
      </w:r>
      <w:r>
        <w:rPr>
          <w:rFonts w:hint="eastAsia" w:hAnsi="仿宋_GB2312" w:cs="仿宋_GB2312"/>
          <w:color w:val="auto"/>
          <w:sz w:val="32"/>
          <w:szCs w:val="32"/>
          <w:lang w:val="en-US" w:eastAsia="zh-CN"/>
        </w:rPr>
        <w:t>5场</w:t>
      </w:r>
      <w:r>
        <w:rPr>
          <w:rFonts w:hint="eastAsia" w:ascii="仿宋_GB2312" w:hAnsi="仿宋_GB2312" w:eastAsia="仿宋_GB2312" w:cs="仿宋_GB2312"/>
          <w:color w:val="auto"/>
          <w:sz w:val="32"/>
          <w:szCs w:val="32"/>
        </w:rPr>
        <w:t>演出</w:t>
      </w:r>
      <w:r>
        <w:rPr>
          <w:rFonts w:hint="eastAsia" w:hAnsi="仿宋_GB2312" w:cs="仿宋_GB2312"/>
          <w:color w:val="auto"/>
          <w:sz w:val="32"/>
          <w:szCs w:val="32"/>
          <w:lang w:val="en-US" w:eastAsia="zh-CN"/>
        </w:rPr>
        <w:t>的中期验收报告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经甲方验收合格后，乙方向甲方开具合法、有效的等额发票，甲方</w:t>
      </w:r>
      <w:r>
        <w:rPr>
          <w:rFonts w:hint="eastAsia" w:ascii="仿宋_GB2312" w:hAnsi="仿宋_GB2312" w:eastAsia="仿宋_GB2312" w:cs="仿宋_GB2312"/>
          <w:color w:val="auto"/>
          <w:sz w:val="32"/>
          <w:szCs w:val="32"/>
          <w:lang w:eastAsia="zh-CN"/>
        </w:rPr>
        <w:t>向</w:t>
      </w:r>
      <w:r>
        <w:rPr>
          <w:rFonts w:hint="eastAsia" w:ascii="仿宋_GB2312" w:hAnsi="仿宋_GB2312" w:eastAsia="仿宋_GB2312" w:cs="仿宋_GB2312"/>
          <w:color w:val="auto"/>
          <w:sz w:val="32"/>
          <w:szCs w:val="32"/>
        </w:rPr>
        <w:t>乙方</w:t>
      </w:r>
      <w:r>
        <w:rPr>
          <w:rFonts w:hint="eastAsia" w:ascii="仿宋_GB2312" w:hAnsi="仿宋_GB2312" w:eastAsia="仿宋_GB2312" w:cs="仿宋_GB2312"/>
          <w:color w:val="auto"/>
          <w:sz w:val="32"/>
          <w:szCs w:val="32"/>
          <w:lang w:eastAsia="zh-CN"/>
        </w:rPr>
        <w:t>支付</w:t>
      </w:r>
      <w:r>
        <w:rPr>
          <w:rFonts w:hint="eastAsia" w:ascii="仿宋_GB2312" w:hAnsi="仿宋_GB2312" w:eastAsia="仿宋_GB2312" w:cs="仿宋_GB2312"/>
          <w:bCs w:val="0"/>
          <w:color w:val="auto"/>
          <w:sz w:val="32"/>
          <w:szCs w:val="32"/>
          <w:highlight w:val="none"/>
          <w:u w:val="none"/>
        </w:rPr>
        <w:t>演出费</w:t>
      </w:r>
      <w:r>
        <w:rPr>
          <w:rFonts w:hint="eastAsia" w:hAnsi="仿宋_GB2312" w:cs="仿宋_GB2312"/>
          <w:bCs w:val="0"/>
          <w:color w:val="auto"/>
          <w:sz w:val="32"/>
          <w:szCs w:val="32"/>
          <w:highlight w:val="none"/>
          <w:u w:val="none"/>
          <w:lang w:val="en-US" w:eastAsia="zh-CN"/>
        </w:rPr>
        <w:t>25</w:t>
      </w:r>
      <w:r>
        <w:rPr>
          <w:rFonts w:hint="eastAsia" w:ascii="仿宋_GB2312" w:hAnsi="仿宋_GB2312" w:eastAsia="仿宋_GB2312" w:cs="仿宋_GB2312"/>
          <w:bCs w:val="0"/>
          <w:color w:val="auto"/>
          <w:sz w:val="32"/>
          <w:szCs w:val="32"/>
          <w:highlight w:val="none"/>
          <w:u w:val="none"/>
        </w:rPr>
        <w:t>%</w:t>
      </w:r>
      <w:r>
        <w:rPr>
          <w:rFonts w:hint="eastAsia" w:ascii="仿宋_GB2312" w:hAnsi="仿宋_GB2312" w:eastAsia="仿宋_GB2312" w:cs="仿宋_GB2312"/>
          <w:bCs w:val="0"/>
          <w:color w:val="auto"/>
          <w:sz w:val="32"/>
          <w:szCs w:val="32"/>
          <w:highlight w:val="none"/>
          <w:u w:val="none"/>
        </w:rPr>
        <w:t>的</w:t>
      </w:r>
      <w:r>
        <w:rPr>
          <w:rFonts w:hint="eastAsia" w:hAnsi="仿宋_GB2312" w:cs="仿宋_GB2312"/>
          <w:bCs w:val="0"/>
          <w:color w:val="auto"/>
          <w:sz w:val="32"/>
          <w:szCs w:val="32"/>
          <w:highlight w:val="none"/>
          <w:u w:val="none"/>
          <w:lang w:val="en-US" w:eastAsia="zh-CN"/>
        </w:rPr>
        <w:t>中期</w:t>
      </w:r>
      <w:r>
        <w:rPr>
          <w:rFonts w:hint="eastAsia" w:ascii="仿宋_GB2312" w:hAnsi="仿宋_GB2312" w:eastAsia="仿宋_GB2312" w:cs="仿宋_GB2312"/>
          <w:bCs w:val="0"/>
          <w:color w:val="auto"/>
          <w:sz w:val="32"/>
          <w:szCs w:val="32"/>
          <w:highlight w:val="none"/>
          <w:u w:val="none"/>
          <w:lang w:val="en-US" w:eastAsia="zh-CN"/>
        </w:rPr>
        <w:t>款，</w:t>
      </w:r>
      <w:r>
        <w:rPr>
          <w:rFonts w:hint="eastAsia" w:ascii="仿宋_GB2312" w:hAnsi="仿宋_GB2312" w:eastAsia="仿宋_GB2312" w:cs="仿宋_GB2312"/>
          <w:bCs w:val="0"/>
          <w:color w:val="auto"/>
          <w:sz w:val="32"/>
          <w:szCs w:val="32"/>
          <w:highlight w:val="none"/>
          <w:u w:val="none"/>
        </w:rPr>
        <w:t>即¥</w:t>
      </w:r>
      <w:r>
        <w:rPr>
          <w:rFonts w:hint="eastAsia" w:ascii="仿宋_GB2312" w:hAnsi="仿宋_GB2312" w:eastAsia="仿宋_GB2312" w:cs="仿宋_GB2312"/>
          <w:bCs w:val="0"/>
          <w:color w:val="auto"/>
          <w:sz w:val="32"/>
          <w:szCs w:val="32"/>
          <w:highlight w:val="none"/>
          <w:u w:val="single"/>
        </w:rPr>
        <w:t xml:space="preserve"> </w:t>
      </w:r>
      <w:r>
        <w:rPr>
          <w:rFonts w:hint="eastAsia" w:hAnsi="仿宋_GB2312" w:cs="仿宋_GB2312"/>
          <w:bCs w:val="0"/>
          <w:color w:val="auto"/>
          <w:sz w:val="32"/>
          <w:szCs w:val="32"/>
          <w:highlight w:val="none"/>
          <w:u w:val="single"/>
          <w:lang w:val="en-US" w:eastAsia="zh-CN"/>
        </w:rPr>
        <w:t xml:space="preserve">         元</w:t>
      </w:r>
      <w:r>
        <w:rPr>
          <w:rFonts w:hint="eastAsia" w:ascii="仿宋_GB2312" w:hAnsi="仿宋_GB2312" w:eastAsia="仿宋_GB2312" w:cs="仿宋_GB2312"/>
          <w:bCs w:val="0"/>
          <w:color w:val="auto"/>
          <w:sz w:val="32"/>
          <w:szCs w:val="32"/>
          <w:highlight w:val="none"/>
          <w:u w:val="none"/>
        </w:rPr>
        <w:t>（大写：</w:t>
      </w:r>
      <w:r>
        <w:rPr>
          <w:rFonts w:hint="eastAsia" w:hAnsi="仿宋_GB2312" w:cs="仿宋_GB2312"/>
          <w:bCs w:val="0"/>
          <w:color w:val="auto"/>
          <w:sz w:val="32"/>
          <w:szCs w:val="32"/>
          <w:highlight w:val="none"/>
          <w:u w:val="single"/>
          <w:lang w:val="en-US" w:eastAsia="zh-CN"/>
        </w:rPr>
        <w:t xml:space="preserve">          </w:t>
      </w:r>
      <w:r>
        <w:rPr>
          <w:rFonts w:hint="eastAsia" w:ascii="仿宋_GB2312" w:hAnsi="仿宋_GB2312" w:eastAsia="仿宋_GB2312" w:cs="仿宋_GB2312"/>
          <w:bCs w:val="0"/>
          <w:color w:val="auto"/>
          <w:sz w:val="32"/>
          <w:szCs w:val="32"/>
          <w:highlight w:val="none"/>
          <w:u w:val="none"/>
        </w:rPr>
        <w:t>）</w:t>
      </w:r>
      <w:r>
        <w:rPr>
          <w:rFonts w:hint="eastAsia" w:ascii="仿宋_GB2312" w:hAnsi="仿宋_GB2312" w:eastAsia="仿宋_GB2312" w:cs="仿宋_GB2312"/>
          <w:color w:val="auto"/>
          <w:sz w:val="32"/>
          <w:szCs w:val="32"/>
          <w:lang w:eastAsia="zh-CN"/>
        </w:rPr>
        <w:t>。</w:t>
      </w:r>
      <w:r>
        <w:rPr>
          <w:rFonts w:hint="eastAsia" w:hAnsi="仿宋_GB2312" w:cs="仿宋_GB2312"/>
          <w:color w:val="auto"/>
          <w:sz w:val="32"/>
          <w:szCs w:val="32"/>
          <w:lang w:val="en-US" w:eastAsia="zh-CN"/>
        </w:rPr>
        <w:t>11月份演出举办完成后，乙方提供20场演出的演出总结、购买服务内容及数量相关验收证明材料，经甲方验收合格后，乙方向甲方开具合法、有效的等额发票，甲方向乙方支付演出费</w:t>
      </w:r>
      <w:r>
        <w:rPr>
          <w:rFonts w:hint="eastAsia" w:hAnsi="仿宋_GB2312" w:cs="仿宋_GB2312"/>
          <w:color w:val="auto"/>
          <w:sz w:val="32"/>
          <w:szCs w:val="32"/>
          <w:lang w:val="en-US" w:eastAsia="zh-CN"/>
        </w:rPr>
        <w:t>25%</w:t>
      </w:r>
      <w:r>
        <w:rPr>
          <w:rFonts w:hint="eastAsia" w:hAnsi="仿宋_GB2312" w:cs="仿宋_GB2312"/>
          <w:color w:val="auto"/>
          <w:sz w:val="32"/>
          <w:szCs w:val="32"/>
          <w:lang w:val="en-US" w:eastAsia="zh-CN"/>
        </w:rPr>
        <w:t>的尾款，</w:t>
      </w:r>
      <w:r>
        <w:rPr>
          <w:rFonts w:hint="eastAsia" w:hAnsi="仿宋_GB2312" w:cs="仿宋_GB2312"/>
          <w:color w:val="auto"/>
          <w:sz w:val="32"/>
          <w:szCs w:val="32"/>
          <w:lang w:val="en-US" w:eastAsia="zh-CN"/>
        </w:rPr>
        <w:t>即</w:t>
      </w:r>
      <w:r>
        <w:rPr>
          <w:rFonts w:hint="eastAsia" w:hAnsi="仿宋_GB2312" w:cs="仿宋_GB2312"/>
          <w:color w:val="auto"/>
          <w:sz w:val="32"/>
          <w:szCs w:val="32"/>
          <w:u w:val="none"/>
          <w:lang w:val="en-US" w:eastAsia="zh-CN"/>
        </w:rPr>
        <w:t xml:space="preserve">¥ </w:t>
      </w:r>
      <w:r>
        <w:rPr>
          <w:rFonts w:hint="eastAsia" w:hAnsi="仿宋_GB2312" w:cs="仿宋_GB2312"/>
          <w:color w:val="auto"/>
          <w:sz w:val="32"/>
          <w:szCs w:val="32"/>
          <w:u w:val="single"/>
          <w:lang w:val="en-US" w:eastAsia="zh-CN"/>
        </w:rPr>
        <w:t xml:space="preserve">         元</w:t>
      </w:r>
      <w:r>
        <w:rPr>
          <w:rFonts w:hint="eastAsia" w:hAnsi="仿宋_GB2312" w:cs="仿宋_GB2312"/>
          <w:color w:val="auto"/>
          <w:sz w:val="32"/>
          <w:szCs w:val="32"/>
          <w:lang w:val="en-US" w:eastAsia="zh-CN"/>
        </w:rPr>
        <w:t>（大写：</w:t>
      </w:r>
      <w:r>
        <w:rPr>
          <w:rFonts w:hint="eastAsia" w:hAnsi="仿宋_GB2312" w:cs="仿宋_GB2312"/>
          <w:color w:val="auto"/>
          <w:sz w:val="32"/>
          <w:szCs w:val="32"/>
          <w:u w:val="single"/>
          <w:lang w:val="en-US" w:eastAsia="zh-CN"/>
        </w:rPr>
        <w:t xml:space="preserve">           </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因财政支付原因导致甲方延迟付款，不视为甲方违约。若因突发事件等不可抗力原因未成功举办，导致乙方产生的演出前期费用，乙方不能要求甲方给予支持</w:t>
      </w:r>
      <w:r>
        <w:rPr>
          <w:rFonts w:hint="eastAsia" w:ascii="仿宋_GB2312" w:hAnsi="仿宋_GB2312" w:eastAsia="仿宋_GB2312" w:cs="仿宋_GB2312"/>
          <w:color w:val="auto"/>
          <w:sz w:val="32"/>
          <w:szCs w:val="32"/>
          <w:lang w:eastAsia="zh"/>
        </w:rPr>
        <w:t>,</w:t>
      </w:r>
      <w:r>
        <w:rPr>
          <w:rFonts w:hint="eastAsia" w:ascii="仿宋_GB2312" w:hAnsi="仿宋_GB2312" w:eastAsia="仿宋_GB2312" w:cs="仿宋_GB2312"/>
          <w:b w:val="0"/>
          <w:bCs w:val="0"/>
          <w:color w:val="auto"/>
          <w:kern w:val="2"/>
          <w:sz w:val="32"/>
          <w:szCs w:val="32"/>
          <w:lang w:val="en-US" w:eastAsia="zh-CN" w:bidi="ar"/>
        </w:rPr>
        <w:t>同时乙方须将甲方已支付的</w:t>
      </w:r>
      <w:r>
        <w:rPr>
          <w:rFonts w:hint="eastAsia" w:ascii="仿宋_GB2312" w:hAnsi="仿宋_GB2312" w:eastAsia="仿宋_GB2312" w:cs="仿宋_GB2312"/>
          <w:b w:val="0"/>
          <w:bCs w:val="0"/>
          <w:color w:val="auto"/>
          <w:kern w:val="2"/>
          <w:sz w:val="32"/>
          <w:szCs w:val="32"/>
          <w:lang w:val="en-US" w:eastAsia="zh" w:bidi="ar"/>
        </w:rPr>
        <w:t>合同</w:t>
      </w:r>
      <w:r>
        <w:rPr>
          <w:rFonts w:hint="eastAsia" w:ascii="仿宋_GB2312" w:hAnsi="仿宋_GB2312" w:eastAsia="仿宋_GB2312" w:cs="仿宋_GB2312"/>
          <w:b w:val="0"/>
          <w:bCs w:val="0"/>
          <w:color w:val="auto"/>
          <w:kern w:val="2"/>
          <w:sz w:val="32"/>
          <w:szCs w:val="32"/>
          <w:lang w:val="en-US" w:eastAsia="zh-CN" w:bidi="ar"/>
        </w:rPr>
        <w:t>首款退回甲方指定银行账户</w:t>
      </w:r>
      <w:r>
        <w:rPr>
          <w:rFonts w:hint="eastAsia" w:ascii="仿宋_GB2312" w:hAnsi="仿宋_GB2312" w:eastAsia="仿宋_GB2312" w:cs="仿宋_GB2312"/>
          <w:color w:val="auto"/>
          <w:kern w:val="2"/>
          <w:sz w:val="32"/>
          <w:szCs w:val="32"/>
          <w:lang w:val="en-US" w:eastAsia="zh-CN" w:bidi="ar"/>
        </w:rPr>
        <w:t>。</w:t>
      </w:r>
    </w:p>
    <w:p w14:paraId="61C0292C">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 w:hAnsi="仿宋" w:eastAsia="仿宋" w:cs="仿宋"/>
          <w:color w:val="auto"/>
          <w:sz w:val="32"/>
          <w:szCs w:val="32"/>
        </w:rPr>
      </w:pPr>
      <w:r>
        <w:rPr>
          <w:rFonts w:hint="eastAsia" w:ascii="仿宋_GB2312" w:hAnsi="仿宋_GB2312" w:eastAsia="仿宋_GB2312" w:cs="仿宋_GB2312"/>
          <w:color w:val="auto"/>
          <w:sz w:val="32"/>
          <w:szCs w:val="32"/>
        </w:rPr>
        <w:t>乙方银行账户信息</w:t>
      </w:r>
      <w:r>
        <w:rPr>
          <w:rFonts w:hint="eastAsia" w:ascii="仿宋_GB2312" w:hAnsi="仿宋_GB2312" w:eastAsia="仿宋_GB2312" w:cs="仿宋_GB2312"/>
          <w:color w:val="auto"/>
          <w:sz w:val="32"/>
          <w:szCs w:val="32"/>
          <w:lang w:val="en-US" w:bidi="ar-SA"/>
        </w:rPr>
        <mc:AlternateContent>
          <mc:Choice Requires="wps">
            <w:drawing>
              <wp:anchor distT="0" distB="0" distL="114300" distR="114300" simplePos="0" relativeHeight="251659264" behindDoc="1" locked="0" layoutInCell="1" allowOverlap="1">
                <wp:simplePos x="0" y="0"/>
                <wp:positionH relativeFrom="page">
                  <wp:posOffset>6362700</wp:posOffset>
                </wp:positionH>
                <wp:positionV relativeFrom="paragraph">
                  <wp:posOffset>167005</wp:posOffset>
                </wp:positionV>
                <wp:extent cx="50165" cy="0"/>
                <wp:effectExtent l="0" t="5080" r="0" b="4445"/>
                <wp:wrapNone/>
                <wp:docPr id="1" name="直线 3"/>
                <wp:cNvGraphicFramePr/>
                <a:graphic xmlns:a="http://schemas.openxmlformats.org/drawingml/2006/main">
                  <a:graphicData uri="http://schemas.microsoft.com/office/word/2010/wordprocessingShape">
                    <wps:wsp>
                      <wps:cNvCnPr/>
                      <wps:spPr>
                        <a:xfrm>
                          <a:off x="0" y="0"/>
                          <a:ext cx="50165" cy="0"/>
                        </a:xfrm>
                        <a:prstGeom prst="line">
                          <a:avLst/>
                        </a:prstGeom>
                        <a:ln w="7620" cap="flat" cmpd="sng">
                          <a:solidFill>
                            <a:srgbClr val="000000"/>
                          </a:solidFill>
                          <a:prstDash val="solid"/>
                          <a:headEnd type="none" w="med" len="med"/>
                          <a:tailEnd type="none" w="med" len="med"/>
                        </a:ln>
                        <a:effectLst/>
                      </wps:spPr>
                      <wps:bodyPr/>
                    </wps:wsp>
                  </a:graphicData>
                </a:graphic>
              </wp:anchor>
            </w:drawing>
          </mc:Choice>
          <mc:Fallback>
            <w:pict>
              <v:line id="直线 3" o:spid="_x0000_s1026" o:spt="20" style="position:absolute;left:0pt;margin-left:501pt;margin-top:13.15pt;height:0pt;width:3.95pt;mso-position-horizontal-relative:page;z-index:-251657216;mso-width-relative:page;mso-height-relative:page;" filled="f" stroked="t" coordsize="21600,21600" o:gfxdata="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E107LWAAAACwEA&#10;AA8AAAAAAAAAAQAgAAAAIgAAAGRycy9kb3ducmV2LnhtbFBLAQIUABQAAAAIAIdO4kD6aiuQ4wEA&#10;ANsDAAAOAAAAAAAAAAEAIAAAACUBAABkcnMvZTJvRG9jLnhtbFBLBQYAAAAABgAGAFkBAAB6BQAA&#10;AAA=&#10;">
                <v:fill on="f" focussize="0,0"/>
                <v:stroke weight="0.6pt" color="#000000" joinstyle="round"/>
                <v:imagedata o:title=""/>
                <o:lock v:ext="edit" aspectratio="f"/>
              </v:line>
            </w:pict>
          </mc:Fallback>
        </mc:AlternateContent>
      </w:r>
      <w:r>
        <w:rPr>
          <w:rFonts w:hint="eastAsia" w:ascii="仿宋" w:hAnsi="仿宋" w:eastAsia="仿宋" w:cs="仿宋"/>
          <w:color w:val="auto"/>
          <w:sz w:val="32"/>
          <w:szCs w:val="32"/>
        </w:rPr>
        <w:t xml:space="preserve">： </w:t>
      </w:r>
    </w:p>
    <w:p w14:paraId="46D0AD6A">
      <w:pPr>
        <w:pStyle w:val="5"/>
        <w:keepNext w:val="0"/>
        <w:keepLines w:val="0"/>
        <w:pageBreakBefore w:val="0"/>
        <w:numPr>
          <w:ilvl w:val="0"/>
          <w:numId w:val="0"/>
        </w:numPr>
        <w:kinsoku/>
        <w:wordWrap/>
        <w:overflowPunct/>
        <w:topLinePunct w:val="0"/>
        <w:autoSpaceDE/>
        <w:autoSpaceDN/>
        <w:bidi w:val="0"/>
        <w:adjustRightInd/>
        <w:snapToGrid/>
        <w:spacing w:line="560" w:lineRule="exact"/>
        <w:ind w:left="640" w:leftChars="200" w:firstLine="0" w:firstLineChars="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户名：</w:t>
      </w:r>
      <w:r>
        <w:rPr>
          <w:rFonts w:hint="eastAsia" w:ascii="仿宋" w:hAnsi="仿宋" w:eastAsia="仿宋" w:cs="仿宋"/>
          <w:color w:val="auto"/>
          <w:sz w:val="32"/>
          <w:szCs w:val="32"/>
          <w:lang w:val="en-US" w:eastAsia="zh-CN"/>
        </w:rPr>
        <w:t xml:space="preserve"> </w:t>
      </w:r>
      <w:bookmarkStart w:id="0" w:name="_GoBack"/>
      <w:bookmarkEnd w:id="0"/>
    </w:p>
    <w:p w14:paraId="366C5A02">
      <w:pPr>
        <w:pStyle w:val="5"/>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开户行：</w:t>
      </w:r>
      <w:r>
        <w:rPr>
          <w:rFonts w:hint="eastAsia" w:ascii="仿宋" w:hAnsi="仿宋" w:eastAsia="仿宋" w:cs="仿宋"/>
          <w:color w:val="auto"/>
          <w:sz w:val="32"/>
          <w:szCs w:val="32"/>
          <w:lang w:val="en-US" w:eastAsia="zh-CN"/>
        </w:rPr>
        <w:t xml:space="preserve"> </w:t>
      </w:r>
    </w:p>
    <w:p w14:paraId="34923967">
      <w:pPr>
        <w:pStyle w:val="5"/>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银行账号：</w:t>
      </w:r>
    </w:p>
    <w:p w14:paraId="2E49C8F9">
      <w:pPr>
        <w:pStyle w:val="3"/>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eastAsia="zh-CN"/>
        </w:rPr>
        <w:t>四、</w:t>
      </w:r>
      <w:r>
        <w:rPr>
          <w:rFonts w:hint="eastAsia" w:ascii="黑体" w:hAnsi="黑体" w:eastAsia="黑体" w:cs="黑体"/>
          <w:b w:val="0"/>
          <w:bCs w:val="0"/>
          <w:color w:val="auto"/>
          <w:sz w:val="32"/>
          <w:szCs w:val="32"/>
        </w:rPr>
        <w:t>甲方权利与义务</w:t>
      </w:r>
    </w:p>
    <w:p w14:paraId="5D03517D">
      <w:pPr>
        <w:keepNext w:val="0"/>
        <w:keepLines w:val="0"/>
        <w:pageBreakBefore w:val="0"/>
        <w:tabs>
          <w:tab w:val="left" w:pos="6885"/>
        </w:tabs>
        <w:kinsoku/>
        <w:wordWrap/>
        <w:overflowPunct/>
        <w:topLinePunct w:val="0"/>
        <w:autoSpaceDE/>
        <w:autoSpaceDN/>
        <w:bidi w:val="0"/>
        <w:adjustRightInd/>
        <w:snapToGrid/>
        <w:spacing w:line="560" w:lineRule="exact"/>
        <w:ind w:firstLine="562"/>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1.甲方有权审核演出相关方案。未经甲方书面认可，乙方不得随意更改演出时间、地点、形式、节目内容等。</w:t>
      </w:r>
    </w:p>
    <w:p w14:paraId="16F71F58">
      <w:pPr>
        <w:keepNext w:val="0"/>
        <w:keepLines w:val="0"/>
        <w:pageBreakBefore w:val="0"/>
        <w:tabs>
          <w:tab w:val="left" w:pos="6885"/>
        </w:tabs>
        <w:kinsoku/>
        <w:wordWrap/>
        <w:overflowPunct/>
        <w:topLinePunct w:val="0"/>
        <w:autoSpaceDE/>
        <w:autoSpaceDN/>
        <w:bidi w:val="0"/>
        <w:adjustRightInd/>
        <w:snapToGrid/>
        <w:spacing w:line="560" w:lineRule="exact"/>
        <w:ind w:firstLine="562"/>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2.甲方有权在合同履行过程中，对乙方及演出团的履行情况提供指导并提出整改意见等，乙方未按合同约定及甲方要求履行，甲方有权要求乙方整改，乙方拒绝整改或整改仍不符合约定的，甲方有权解除本协议。</w:t>
      </w:r>
    </w:p>
    <w:p w14:paraId="34D53762">
      <w:pPr>
        <w:keepNext w:val="0"/>
        <w:keepLines w:val="0"/>
        <w:pageBreakBefore w:val="0"/>
        <w:tabs>
          <w:tab w:val="left" w:pos="6885"/>
        </w:tabs>
        <w:kinsoku/>
        <w:wordWrap/>
        <w:overflowPunct/>
        <w:topLinePunct w:val="0"/>
        <w:autoSpaceDE/>
        <w:autoSpaceDN/>
        <w:bidi w:val="0"/>
        <w:adjustRightInd/>
        <w:snapToGrid/>
        <w:spacing w:line="560" w:lineRule="exact"/>
        <w:ind w:left="0" w:leftChars="0" w:firstLine="562" w:firstLineChars="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w:t>
      </w:r>
      <w:r>
        <w:rPr>
          <w:rFonts w:hint="eastAsia" w:hAnsi="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val="en-US" w:eastAsia="zh-CN"/>
        </w:rPr>
        <w:t>.甲方有义务向乙方支付合同约定金额款项。乙方未能全面履行本合同内容的，甲方有权扣减相应费用；甲方有权直接在协议费用中扣除乙方应付的违约金及赔偿金。</w:t>
      </w:r>
    </w:p>
    <w:p w14:paraId="6247E9BF">
      <w:pPr>
        <w:pStyle w:val="10"/>
        <w:keepNext w:val="0"/>
        <w:keepLines w:val="0"/>
        <w:pageBreakBefore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hAnsi="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甲方如需对本</w:t>
      </w:r>
      <w:r>
        <w:rPr>
          <w:rFonts w:hint="eastAsia" w:ascii="仿宋_GB2312" w:hAnsi="仿宋_GB2312" w:eastAsia="仿宋_GB2312" w:cs="仿宋_GB2312"/>
          <w:b w:val="0"/>
          <w:bCs w:val="0"/>
          <w:color w:val="auto"/>
          <w:sz w:val="32"/>
          <w:szCs w:val="32"/>
          <w:lang w:eastAsia="zh-CN"/>
        </w:rPr>
        <w:t>项目</w:t>
      </w:r>
      <w:r>
        <w:rPr>
          <w:rFonts w:hint="eastAsia" w:ascii="仿宋_GB2312" w:hAnsi="仿宋_GB2312" w:eastAsia="仿宋_GB2312" w:cs="仿宋_GB2312"/>
          <w:b w:val="0"/>
          <w:bCs w:val="0"/>
          <w:color w:val="auto"/>
          <w:sz w:val="32"/>
          <w:szCs w:val="32"/>
        </w:rPr>
        <w:t>开展宣传活动，乙方的</w:t>
      </w:r>
      <w:r>
        <w:rPr>
          <w:rFonts w:hint="eastAsia" w:ascii="仿宋_GB2312" w:hAnsi="仿宋_GB2312" w:eastAsia="仿宋_GB2312" w:cs="仿宋_GB2312"/>
          <w:b w:val="0"/>
          <w:bCs w:val="0"/>
          <w:color w:val="auto"/>
          <w:spacing w:val="-1"/>
          <w:sz w:val="32"/>
          <w:szCs w:val="32"/>
        </w:rPr>
        <w:t>相关人员</w:t>
      </w:r>
      <w:r>
        <w:rPr>
          <w:rFonts w:hint="eastAsia" w:ascii="仿宋_GB2312" w:hAnsi="仿宋_GB2312" w:eastAsia="仿宋_GB2312" w:cs="仿宋_GB2312"/>
          <w:b w:val="0"/>
          <w:bCs w:val="0"/>
          <w:color w:val="auto"/>
          <w:sz w:val="32"/>
          <w:szCs w:val="32"/>
        </w:rPr>
        <w:t>应配合甲方的宣传需求，并按甲方的要求提供相关的图片及文字宣传资料。甲方有权安排乙方及乙方</w:t>
      </w:r>
      <w:r>
        <w:rPr>
          <w:rFonts w:hint="eastAsia" w:ascii="仿宋_GB2312" w:hAnsi="仿宋_GB2312" w:eastAsia="仿宋_GB2312" w:cs="仿宋_GB2312"/>
          <w:b w:val="0"/>
          <w:bCs w:val="0"/>
          <w:color w:val="auto"/>
          <w:spacing w:val="-1"/>
          <w:sz w:val="32"/>
          <w:szCs w:val="32"/>
        </w:rPr>
        <w:t>相关人员</w:t>
      </w:r>
      <w:r>
        <w:rPr>
          <w:rFonts w:hint="eastAsia" w:ascii="仿宋_GB2312" w:hAnsi="仿宋_GB2312" w:eastAsia="仿宋_GB2312" w:cs="仿宋_GB2312"/>
          <w:b w:val="0"/>
          <w:bCs w:val="0"/>
          <w:color w:val="auto"/>
          <w:sz w:val="32"/>
          <w:szCs w:val="32"/>
        </w:rPr>
        <w:t>参加本</w:t>
      </w:r>
      <w:r>
        <w:rPr>
          <w:rFonts w:hint="eastAsia" w:ascii="仿宋_GB2312" w:hAnsi="仿宋_GB2312" w:eastAsia="仿宋_GB2312" w:cs="仿宋_GB2312"/>
          <w:b w:val="0"/>
          <w:bCs w:val="0"/>
          <w:color w:val="auto"/>
          <w:sz w:val="32"/>
          <w:szCs w:val="32"/>
          <w:lang w:eastAsia="zh-CN"/>
        </w:rPr>
        <w:t>项目</w:t>
      </w:r>
      <w:r>
        <w:rPr>
          <w:rFonts w:hint="eastAsia" w:ascii="仿宋_GB2312" w:hAnsi="仿宋_GB2312" w:eastAsia="仿宋_GB2312" w:cs="仿宋_GB2312"/>
          <w:b w:val="0"/>
          <w:bCs w:val="0"/>
          <w:color w:val="auto"/>
          <w:sz w:val="32"/>
          <w:szCs w:val="32"/>
        </w:rPr>
        <w:t>相关宣传活动而无需再支付乙方任何费用。甲方有权在演出宣传材料上刊登乙方及乙方提供的</w:t>
      </w:r>
      <w:r>
        <w:rPr>
          <w:rFonts w:hint="eastAsia" w:ascii="仿宋_GB2312" w:hAnsi="仿宋_GB2312" w:eastAsia="仿宋_GB2312" w:cs="仿宋_GB2312"/>
          <w:b w:val="0"/>
          <w:bCs w:val="0"/>
          <w:color w:val="auto"/>
          <w:spacing w:val="-1"/>
          <w:sz w:val="32"/>
          <w:szCs w:val="32"/>
        </w:rPr>
        <w:t>相关</w:t>
      </w:r>
      <w:r>
        <w:rPr>
          <w:rFonts w:hint="eastAsia" w:ascii="仿宋_GB2312" w:hAnsi="仿宋_GB2312" w:eastAsia="仿宋_GB2312" w:cs="仿宋_GB2312"/>
          <w:b w:val="0"/>
          <w:bCs w:val="0"/>
          <w:color w:val="auto"/>
          <w:sz w:val="32"/>
          <w:szCs w:val="32"/>
          <w:lang w:val="en-US" w:eastAsia="zh-CN"/>
        </w:rPr>
        <w:t>主创主演等</w:t>
      </w:r>
      <w:r>
        <w:rPr>
          <w:rFonts w:hint="eastAsia" w:ascii="仿宋_GB2312" w:hAnsi="仿宋_GB2312" w:eastAsia="仿宋_GB2312" w:cs="仿宋_GB2312"/>
          <w:b w:val="0"/>
          <w:bCs w:val="0"/>
          <w:color w:val="auto"/>
          <w:spacing w:val="-1"/>
          <w:sz w:val="32"/>
          <w:szCs w:val="32"/>
        </w:rPr>
        <w:t>人员</w:t>
      </w:r>
      <w:r>
        <w:rPr>
          <w:rFonts w:hint="eastAsia" w:ascii="仿宋_GB2312" w:hAnsi="仿宋_GB2312" w:eastAsia="仿宋_GB2312" w:cs="仿宋_GB2312"/>
          <w:b w:val="0"/>
          <w:bCs w:val="0"/>
          <w:color w:val="auto"/>
          <w:sz w:val="32"/>
          <w:szCs w:val="32"/>
        </w:rPr>
        <w:t>的</w:t>
      </w:r>
    </w:p>
    <w:p w14:paraId="26DCA16B">
      <w:pPr>
        <w:pStyle w:val="10"/>
        <w:keepNext w:val="0"/>
        <w:keepLines w:val="0"/>
        <w:pageBreakBefore w:val="0"/>
        <w:kinsoku/>
        <w:wordWrap/>
        <w:overflowPunct/>
        <w:topLinePunct w:val="0"/>
        <w:autoSpaceDE/>
        <w:autoSpaceDN/>
        <w:bidi w:val="0"/>
        <w:adjustRightInd/>
        <w:snapToGrid/>
        <w:spacing w:after="0" w:line="560" w:lineRule="exact"/>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名字，并有权决定排名顺序。为配合</w:t>
      </w:r>
      <w:r>
        <w:rPr>
          <w:rFonts w:hint="eastAsia" w:ascii="仿宋_GB2312" w:hAnsi="仿宋_GB2312" w:eastAsia="仿宋_GB2312" w:cs="仿宋_GB2312"/>
          <w:b w:val="0"/>
          <w:bCs w:val="0"/>
          <w:color w:val="auto"/>
          <w:sz w:val="32"/>
          <w:szCs w:val="32"/>
          <w:lang w:val="en-US" w:eastAsia="zh-CN"/>
        </w:rPr>
        <w:t>项目</w:t>
      </w:r>
      <w:r>
        <w:rPr>
          <w:rFonts w:hint="eastAsia" w:ascii="仿宋_GB2312" w:hAnsi="仿宋_GB2312" w:eastAsia="仿宋_GB2312" w:cs="仿宋_GB2312"/>
          <w:b w:val="0"/>
          <w:bCs w:val="0"/>
          <w:color w:val="auto"/>
          <w:sz w:val="32"/>
          <w:szCs w:val="32"/>
        </w:rPr>
        <w:t>宣传，甲方有权根据需要在相关宣传资料中对乙方提供的</w:t>
      </w:r>
      <w:r>
        <w:rPr>
          <w:rFonts w:hint="eastAsia" w:ascii="仿宋_GB2312" w:hAnsi="仿宋_GB2312" w:eastAsia="仿宋_GB2312" w:cs="仿宋_GB2312"/>
          <w:b w:val="0"/>
          <w:bCs w:val="0"/>
          <w:color w:val="auto"/>
          <w:sz w:val="32"/>
          <w:szCs w:val="32"/>
          <w:lang w:val="en-US" w:eastAsia="zh-CN"/>
        </w:rPr>
        <w:t>相关</w:t>
      </w:r>
      <w:r>
        <w:rPr>
          <w:rFonts w:hint="eastAsia" w:ascii="仿宋_GB2312" w:hAnsi="仿宋_GB2312" w:eastAsia="仿宋_GB2312" w:cs="仿宋_GB2312"/>
          <w:b w:val="0"/>
          <w:bCs w:val="0"/>
          <w:color w:val="auto"/>
          <w:spacing w:val="-1"/>
          <w:sz w:val="32"/>
          <w:szCs w:val="32"/>
        </w:rPr>
        <w:t>人员的</w:t>
      </w:r>
      <w:r>
        <w:rPr>
          <w:rFonts w:hint="eastAsia" w:ascii="仿宋_GB2312" w:hAnsi="仿宋_GB2312" w:eastAsia="仿宋_GB2312" w:cs="仿宋_GB2312"/>
          <w:b w:val="0"/>
          <w:bCs w:val="0"/>
          <w:color w:val="auto"/>
          <w:sz w:val="32"/>
          <w:szCs w:val="32"/>
        </w:rPr>
        <w:t>个人简介进行</w:t>
      </w:r>
      <w:r>
        <w:rPr>
          <w:rFonts w:hint="eastAsia" w:ascii="仿宋_GB2312" w:hAnsi="仿宋_GB2312" w:eastAsia="仿宋_GB2312" w:cs="仿宋_GB2312"/>
          <w:b w:val="0"/>
          <w:bCs w:val="0"/>
          <w:color w:val="auto"/>
          <w:sz w:val="32"/>
          <w:szCs w:val="32"/>
          <w:lang w:val="en-US" w:eastAsia="zh-CN"/>
        </w:rPr>
        <w:t>合理</w:t>
      </w:r>
      <w:r>
        <w:rPr>
          <w:rFonts w:hint="eastAsia" w:ascii="仿宋_GB2312" w:hAnsi="仿宋_GB2312" w:eastAsia="仿宋_GB2312" w:cs="仿宋_GB2312"/>
          <w:b w:val="0"/>
          <w:bCs w:val="0"/>
          <w:color w:val="auto"/>
          <w:sz w:val="32"/>
          <w:szCs w:val="32"/>
        </w:rPr>
        <w:t>修改，乙方将不予干涉。</w:t>
      </w:r>
    </w:p>
    <w:p w14:paraId="4CF17AEC">
      <w:pPr>
        <w:pStyle w:val="10"/>
        <w:keepNext w:val="0"/>
        <w:keepLines w:val="0"/>
        <w:pageBreakBefore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hAnsi="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甲方有权对本</w:t>
      </w:r>
      <w:r>
        <w:rPr>
          <w:rFonts w:hint="eastAsia" w:ascii="仿宋_GB2312" w:hAnsi="仿宋_GB2312" w:eastAsia="仿宋_GB2312" w:cs="仿宋_GB2312"/>
          <w:b w:val="0"/>
          <w:bCs w:val="0"/>
          <w:color w:val="auto"/>
          <w:sz w:val="32"/>
          <w:szCs w:val="32"/>
          <w:lang w:val="en-US" w:eastAsia="zh-CN"/>
        </w:rPr>
        <w:t>项目</w:t>
      </w:r>
      <w:r>
        <w:rPr>
          <w:rFonts w:hint="eastAsia" w:ascii="仿宋_GB2312" w:hAnsi="仿宋_GB2312" w:eastAsia="仿宋_GB2312" w:cs="仿宋_GB2312"/>
          <w:b w:val="0"/>
          <w:bCs w:val="0"/>
          <w:color w:val="auto"/>
          <w:sz w:val="32"/>
          <w:szCs w:val="32"/>
        </w:rPr>
        <w:t>进行</w:t>
      </w:r>
      <w:r>
        <w:rPr>
          <w:rFonts w:hint="eastAsia" w:ascii="仿宋_GB2312" w:hAnsi="仿宋_GB2312" w:eastAsia="仿宋_GB2312" w:cs="仿宋_GB2312"/>
          <w:b w:val="0"/>
          <w:bCs w:val="0"/>
          <w:color w:val="auto"/>
          <w:sz w:val="32"/>
          <w:szCs w:val="32"/>
          <w:lang w:val="en-US" w:eastAsia="zh-CN"/>
        </w:rPr>
        <w:t>修改提高再创作和再次演出</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所涉及</w:t>
      </w:r>
      <w:r>
        <w:rPr>
          <w:rFonts w:hint="eastAsia" w:ascii="仿宋_GB2312" w:hAnsi="仿宋_GB2312" w:eastAsia="仿宋_GB2312" w:cs="仿宋_GB2312"/>
          <w:b w:val="0"/>
          <w:bCs w:val="0"/>
          <w:color w:val="auto"/>
          <w:sz w:val="32"/>
          <w:szCs w:val="32"/>
          <w:lang w:eastAsia="zh-CN"/>
        </w:rPr>
        <w:t>的</w:t>
      </w:r>
      <w:r>
        <w:rPr>
          <w:rFonts w:hint="eastAsia" w:ascii="仿宋_GB2312" w:hAnsi="仿宋_GB2312" w:eastAsia="仿宋_GB2312" w:cs="仿宋_GB2312"/>
          <w:b w:val="0"/>
          <w:bCs w:val="0"/>
          <w:color w:val="auto"/>
          <w:sz w:val="32"/>
          <w:szCs w:val="32"/>
        </w:rPr>
        <w:t>时间</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内容和费用问题与乙方另行</w:t>
      </w:r>
      <w:r>
        <w:rPr>
          <w:rFonts w:hint="eastAsia" w:ascii="仿宋_GB2312" w:hAnsi="仿宋_GB2312" w:eastAsia="仿宋_GB2312" w:cs="仿宋_GB2312"/>
          <w:b w:val="0"/>
          <w:bCs w:val="0"/>
          <w:color w:val="auto"/>
          <w:sz w:val="32"/>
          <w:szCs w:val="32"/>
          <w:lang w:val="en-US" w:eastAsia="zh-CN"/>
        </w:rPr>
        <w:t>协商</w:t>
      </w:r>
      <w:r>
        <w:rPr>
          <w:rFonts w:hint="eastAsia" w:ascii="仿宋_GB2312" w:hAnsi="仿宋_GB2312" w:eastAsia="仿宋_GB2312" w:cs="仿宋_GB2312"/>
          <w:b w:val="0"/>
          <w:bCs w:val="0"/>
          <w:color w:val="auto"/>
          <w:sz w:val="32"/>
          <w:szCs w:val="32"/>
        </w:rPr>
        <w:t>决定</w:t>
      </w:r>
      <w:r>
        <w:rPr>
          <w:rFonts w:hint="eastAsia" w:ascii="仿宋_GB2312" w:hAnsi="仿宋_GB2312" w:eastAsia="仿宋_GB2312" w:cs="仿宋_GB2312"/>
          <w:b w:val="0"/>
          <w:bCs w:val="0"/>
          <w:color w:val="auto"/>
          <w:sz w:val="32"/>
          <w:szCs w:val="32"/>
          <w:lang w:eastAsia="zh-CN"/>
        </w:rPr>
        <w:t>。</w:t>
      </w:r>
    </w:p>
    <w:p w14:paraId="4826AC8C">
      <w:pPr>
        <w:keepNext w:val="0"/>
        <w:keepLines w:val="0"/>
        <w:pageBreakBefore w:val="0"/>
        <w:tabs>
          <w:tab w:val="left" w:pos="6885"/>
        </w:tabs>
        <w:kinsoku/>
        <w:wordWrap/>
        <w:overflowPunct/>
        <w:topLinePunct w:val="0"/>
        <w:autoSpaceDE/>
        <w:autoSpaceDN/>
        <w:bidi w:val="0"/>
        <w:adjustRightInd/>
        <w:snapToGrid/>
        <w:spacing w:line="560" w:lineRule="exact"/>
        <w:ind w:left="562" w:leftChars="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黑体" w:hAnsi="黑体" w:eastAsia="黑体" w:cs="黑体"/>
          <w:b w:val="0"/>
          <w:bCs w:val="0"/>
          <w:color w:val="auto"/>
          <w:sz w:val="32"/>
          <w:szCs w:val="32"/>
          <w:lang w:val="en-US" w:eastAsia="zh-CN"/>
        </w:rPr>
        <w:t>五、乙方权利和义务</w:t>
      </w:r>
    </w:p>
    <w:p w14:paraId="6977341B">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sz w:val="32"/>
          <w:szCs w:val="32"/>
        </w:rPr>
        <w:t>乙方负责本</w:t>
      </w:r>
      <w:r>
        <w:rPr>
          <w:rFonts w:hint="eastAsia" w:ascii="仿宋_GB2312" w:hAnsi="仿宋_GB2312" w:eastAsia="仿宋_GB2312" w:cs="仿宋_GB2312"/>
          <w:b w:val="0"/>
          <w:bCs w:val="0"/>
          <w:color w:val="auto"/>
          <w:sz w:val="32"/>
          <w:szCs w:val="32"/>
          <w:lang w:val="en-US" w:eastAsia="zh-CN"/>
        </w:rPr>
        <w:t>次演出的节目创意、创作、编排、演出及舞台舞美搭建、演出设备租赁、视觉设计制作等工作；乙方负责整合演员资源，统筹指导安排所有演员的排演工作，以及演出相关人员的食宿，车辆、剧场、宣传等演出保障服务。</w:t>
      </w:r>
      <w:r>
        <w:rPr>
          <w:rFonts w:hint="eastAsia" w:ascii="仿宋_GB2312" w:hAnsi="仿宋_GB2312" w:eastAsia="仿宋_GB2312" w:cs="仿宋_GB2312"/>
          <w:b w:val="0"/>
          <w:bCs w:val="0"/>
          <w:color w:val="auto"/>
          <w:sz w:val="32"/>
          <w:szCs w:val="32"/>
        </w:rPr>
        <w:t>乙方负责提供</w:t>
      </w:r>
      <w:r>
        <w:rPr>
          <w:rFonts w:hint="eastAsia" w:ascii="仿宋_GB2312" w:hAnsi="仿宋_GB2312" w:eastAsia="仿宋_GB2312" w:cs="仿宋_GB2312"/>
          <w:b w:val="0"/>
          <w:bCs w:val="0"/>
          <w:color w:val="auto"/>
          <w:kern w:val="0"/>
          <w:sz w:val="32"/>
          <w:szCs w:val="32"/>
        </w:rPr>
        <w:t>全剧演出，并保证高水平、高质量的演出及演出所需</w:t>
      </w:r>
      <w:r>
        <w:rPr>
          <w:rFonts w:hint="eastAsia" w:ascii="仿宋_GB2312" w:hAnsi="仿宋_GB2312" w:eastAsia="仿宋_GB2312" w:cs="仿宋_GB2312"/>
          <w:b w:val="0"/>
          <w:bCs w:val="0"/>
          <w:color w:val="auto"/>
          <w:kern w:val="0"/>
          <w:sz w:val="32"/>
          <w:szCs w:val="32"/>
          <w:lang w:val="en-US" w:eastAsia="zh-CN"/>
        </w:rPr>
        <w:t>设备、</w:t>
      </w:r>
      <w:r>
        <w:rPr>
          <w:rFonts w:hint="eastAsia" w:ascii="仿宋_GB2312" w:hAnsi="仿宋_GB2312" w:eastAsia="仿宋_GB2312" w:cs="仿宋_GB2312"/>
          <w:b w:val="0"/>
          <w:bCs w:val="0"/>
          <w:color w:val="auto"/>
          <w:kern w:val="0"/>
          <w:sz w:val="32"/>
          <w:szCs w:val="32"/>
        </w:rPr>
        <w:t>乐器、服装等。</w:t>
      </w:r>
    </w:p>
    <w:p w14:paraId="25099ECB">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kern w:val="0"/>
          <w:sz w:val="32"/>
          <w:szCs w:val="32"/>
        </w:rPr>
        <w:t>乙方应主动接受甲方对支持经费使用情况的监督。乙方严格按照本协议约定的使用范围支付活动相关费用，每场演出惠民票售票率须达到20%（票价</w:t>
      </w:r>
      <w:r>
        <w:rPr>
          <w:rFonts w:hint="eastAsia" w:ascii="仿宋_GB2312" w:hAnsi="仿宋_GB2312" w:eastAsia="仿宋_GB2312" w:cs="仿宋_GB2312"/>
          <w:b w:val="0"/>
          <w:bCs w:val="0"/>
          <w:color w:val="auto"/>
          <w:kern w:val="0"/>
          <w:sz w:val="32"/>
          <w:szCs w:val="32"/>
          <w:lang w:eastAsia="zh-CN"/>
        </w:rPr>
        <w:t>不得</w:t>
      </w:r>
      <w:r>
        <w:rPr>
          <w:rFonts w:hint="eastAsia" w:ascii="仿宋_GB2312" w:hAnsi="仿宋_GB2312" w:eastAsia="仿宋_GB2312" w:cs="仿宋_GB2312"/>
          <w:b w:val="0"/>
          <w:bCs w:val="0"/>
          <w:color w:val="auto"/>
          <w:kern w:val="0"/>
          <w:sz w:val="32"/>
          <w:szCs w:val="32"/>
        </w:rPr>
        <w:t>高于100元），否则甲方有权要求乙方双倍返还全部费用并追究乙方责任；必要时应积极配合审计和纪检部门对资金使用情况的审计、审查。</w:t>
      </w:r>
    </w:p>
    <w:p w14:paraId="58FD1E1D">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auto"/>
          <w:kern w:val="0"/>
          <w:sz w:val="32"/>
          <w:szCs w:val="32"/>
        </w:rPr>
      </w:pPr>
      <w:r>
        <w:rPr>
          <w:rFonts w:hint="eastAsia" w:hAnsi="仿宋_GB2312" w:cs="仿宋_GB2312"/>
          <w:b w:val="0"/>
          <w:bCs w:val="0"/>
          <w:color w:val="auto"/>
          <w:kern w:val="0"/>
          <w:sz w:val="32"/>
          <w:szCs w:val="32"/>
          <w:lang w:val="en-US" w:eastAsia="zh-CN"/>
        </w:rPr>
        <w:t>3.</w:t>
      </w:r>
      <w:r>
        <w:rPr>
          <w:rFonts w:hint="eastAsia" w:ascii="仿宋_GB2312" w:hAnsi="仿宋_GB2312" w:eastAsia="仿宋_GB2312" w:cs="仿宋_GB2312"/>
          <w:b w:val="0"/>
          <w:bCs w:val="0"/>
          <w:color w:val="auto"/>
          <w:kern w:val="0"/>
          <w:sz w:val="32"/>
          <w:szCs w:val="32"/>
          <w:lang w:val="en-US" w:eastAsia="zh-CN"/>
        </w:rPr>
        <w:t>本合同签订后5个工作日内，乙方向甲方提</w:t>
      </w:r>
      <w:r>
        <w:rPr>
          <w:rFonts w:hint="eastAsia" w:ascii="仿宋_GB2312" w:hAnsi="仿宋_GB2312" w:eastAsia="仿宋_GB2312" w:cs="仿宋_GB2312"/>
          <w:b w:val="0"/>
          <w:bCs w:val="0"/>
          <w:color w:val="auto"/>
          <w:sz w:val="32"/>
          <w:szCs w:val="32"/>
          <w:lang w:val="en-US" w:eastAsia="zh-CN"/>
        </w:rPr>
        <w:t>交本演出活动实施方案（含节目单、节目内容、演职员名单、食宿、新闻宣传、车辆保障、剧场使用等方案），经甲方确认后乙方按双方商定的实施方案运行执行。乙方</w:t>
      </w:r>
      <w:r>
        <w:rPr>
          <w:rFonts w:hint="eastAsia" w:ascii="仿宋_GB2312" w:hAnsi="仿宋_GB2312" w:eastAsia="仿宋_GB2312" w:cs="仿宋_GB2312"/>
          <w:b w:val="0"/>
          <w:bCs w:val="0"/>
          <w:color w:val="auto"/>
          <w:kern w:val="0"/>
          <w:sz w:val="32"/>
          <w:szCs w:val="32"/>
        </w:rPr>
        <w:t>负责向甲方提供详细的演出</w:t>
      </w:r>
      <w:r>
        <w:rPr>
          <w:rFonts w:hint="eastAsia" w:ascii="仿宋_GB2312" w:hAnsi="仿宋_GB2312" w:eastAsia="仿宋_GB2312" w:cs="仿宋_GB2312"/>
          <w:b w:val="0"/>
          <w:bCs w:val="0"/>
          <w:color w:val="auto"/>
          <w:kern w:val="0"/>
          <w:sz w:val="32"/>
          <w:szCs w:val="32"/>
          <w:lang w:val="en-US" w:eastAsia="zh-CN"/>
        </w:rPr>
        <w:t>节目时间表</w:t>
      </w:r>
      <w:r>
        <w:rPr>
          <w:rFonts w:hint="eastAsia" w:ascii="仿宋_GB2312" w:hAnsi="仿宋_GB2312" w:eastAsia="仿宋_GB2312" w:cs="仿宋_GB2312"/>
          <w:b w:val="0"/>
          <w:bCs w:val="0"/>
          <w:color w:val="auto"/>
          <w:kern w:val="0"/>
          <w:sz w:val="32"/>
          <w:szCs w:val="32"/>
        </w:rPr>
        <w:t>，说明</w:t>
      </w:r>
      <w:r>
        <w:rPr>
          <w:rFonts w:hint="eastAsia" w:ascii="仿宋_GB2312" w:hAnsi="仿宋_GB2312" w:eastAsia="仿宋_GB2312" w:cs="仿宋_GB2312"/>
          <w:b w:val="0"/>
          <w:bCs w:val="0"/>
          <w:color w:val="auto"/>
          <w:kern w:val="0"/>
          <w:sz w:val="32"/>
          <w:szCs w:val="32"/>
          <w:lang w:val="en-US" w:eastAsia="zh-CN"/>
        </w:rPr>
        <w:t>节</w:t>
      </w:r>
      <w:r>
        <w:rPr>
          <w:rFonts w:hint="eastAsia" w:ascii="仿宋_GB2312" w:hAnsi="仿宋_GB2312" w:eastAsia="仿宋_GB2312" w:cs="仿宋_GB2312"/>
          <w:b w:val="0"/>
          <w:bCs w:val="0"/>
          <w:color w:val="auto"/>
          <w:kern w:val="0"/>
          <w:sz w:val="32"/>
          <w:szCs w:val="32"/>
        </w:rPr>
        <w:t>目</w:t>
      </w:r>
      <w:r>
        <w:rPr>
          <w:rFonts w:hint="eastAsia" w:ascii="仿宋_GB2312" w:hAnsi="仿宋_GB2312" w:eastAsia="仿宋_GB2312" w:cs="仿宋_GB2312"/>
          <w:b w:val="0"/>
          <w:bCs w:val="0"/>
          <w:color w:val="auto"/>
          <w:kern w:val="0"/>
          <w:sz w:val="32"/>
          <w:szCs w:val="32"/>
          <w:lang w:val="en-US" w:eastAsia="zh-CN"/>
        </w:rPr>
        <w:t>时</w:t>
      </w:r>
      <w:r>
        <w:rPr>
          <w:rFonts w:hint="eastAsia" w:ascii="仿宋_GB2312" w:hAnsi="仿宋_GB2312" w:eastAsia="仿宋_GB2312" w:cs="仿宋_GB2312"/>
          <w:b w:val="0"/>
          <w:bCs w:val="0"/>
          <w:color w:val="auto"/>
          <w:kern w:val="0"/>
          <w:sz w:val="32"/>
          <w:szCs w:val="32"/>
        </w:rPr>
        <w:t>长及中场休息时间。除不可抗力原因外，保证演出的阵容、水准、演出内容与提供的</w:t>
      </w:r>
      <w:r>
        <w:rPr>
          <w:rFonts w:hint="eastAsia" w:ascii="仿宋_GB2312" w:hAnsi="仿宋_GB2312" w:eastAsia="仿宋_GB2312" w:cs="仿宋_GB2312"/>
          <w:b w:val="0"/>
          <w:bCs w:val="0"/>
          <w:color w:val="auto"/>
          <w:kern w:val="0"/>
          <w:sz w:val="32"/>
          <w:szCs w:val="32"/>
          <w:lang w:val="en-US" w:eastAsia="zh-CN"/>
        </w:rPr>
        <w:t>方案、节目时间表</w:t>
      </w:r>
      <w:r>
        <w:rPr>
          <w:rFonts w:hint="eastAsia" w:ascii="仿宋_GB2312" w:hAnsi="仿宋_GB2312" w:eastAsia="仿宋_GB2312" w:cs="仿宋_GB2312"/>
          <w:b w:val="0"/>
          <w:bCs w:val="0"/>
          <w:color w:val="auto"/>
          <w:kern w:val="0"/>
          <w:sz w:val="32"/>
          <w:szCs w:val="32"/>
        </w:rPr>
        <w:t>相符。</w:t>
      </w:r>
    </w:p>
    <w:p w14:paraId="7CCFB195">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hAnsi="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lang w:val="en-US" w:eastAsia="zh-CN"/>
        </w:rPr>
        <w:t>负责支付演职员及主创人员的相关费用。负责此次演出剧目的版权费用及其他相关的知识产权费；乙方保证组织的演出内容和所有印刷品内容，不违反中国和演出地相关法律规定，未侵犯任何第三方合法权益或知识产权，无意识形态问题，否则乙方应返付甲方已支付的费用，并向甲方支付合同总额20%的违约金并承担全部责任，同时甲方有权解除合同。</w:t>
      </w:r>
    </w:p>
    <w:p w14:paraId="10DAE37E">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hAnsi="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lang w:val="en-US" w:eastAsia="zh-CN"/>
        </w:rPr>
        <w:t>确保全体演职人员（道具）按时抵达演出地，负责演出团体的日常管理（含人员安全管理），保证演出团体按双方签订的演出合同进行演出，乙方人员及演出人员应遵守国家及演出场所有关安全消防卫生规定，爱护场所设施，确保活动品质和规格，保证演出顺利进行。</w:t>
      </w:r>
    </w:p>
    <w:p w14:paraId="4478D89C">
      <w:pPr>
        <w:pStyle w:val="10"/>
        <w:keepNext w:val="0"/>
        <w:keepLines w:val="0"/>
        <w:pageBreakBefore w:val="0"/>
        <w:numPr>
          <w:ilvl w:val="0"/>
          <w:numId w:val="0"/>
        </w:numPr>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hAnsi="仿宋_GB2312" w:cs="仿宋_GB2312"/>
          <w:b w:val="0"/>
          <w:bCs w:val="0"/>
          <w:color w:val="auto"/>
          <w:sz w:val="32"/>
          <w:szCs w:val="32"/>
          <w:lang w:val="en-US" w:eastAsia="zh-CN"/>
        </w:rPr>
        <w:t>6.</w:t>
      </w:r>
      <w:r>
        <w:rPr>
          <w:rFonts w:hint="eastAsia" w:ascii="仿宋_GB2312" w:hAnsi="仿宋_GB2312" w:eastAsia="仿宋_GB2312" w:cs="仿宋_GB2312"/>
          <w:b w:val="0"/>
          <w:bCs w:val="0"/>
          <w:color w:val="auto"/>
          <w:sz w:val="32"/>
          <w:szCs w:val="32"/>
          <w:lang w:val="en-US" w:eastAsia="zh-CN"/>
        </w:rPr>
        <w:t>乙方负责本次</w:t>
      </w:r>
      <w:r>
        <w:rPr>
          <w:rFonts w:hint="eastAsia" w:ascii="仿宋_GB2312" w:hAnsi="仿宋_GB2312" w:eastAsia="仿宋_GB2312" w:cs="仿宋_GB2312"/>
          <w:b w:val="0"/>
          <w:bCs w:val="0"/>
          <w:color w:val="auto"/>
          <w:spacing w:val="-8"/>
          <w:sz w:val="32"/>
          <w:szCs w:val="32"/>
          <w:lang w:val="en-US" w:eastAsia="zh-CN"/>
        </w:rPr>
        <w:t>演出的舞台搭建及演出设备设施的安全性，如因乙方原因导致包括但不限于演出、舞台搭建、设备调试、排练、演出结束后舞台拆迁搬运等过程中发生的人身及财产损失由乙方自行承担。</w:t>
      </w:r>
    </w:p>
    <w:p w14:paraId="4B2B4279">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hAnsi="仿宋_GB2312" w:cs="仿宋_GB2312"/>
          <w:b w:val="0"/>
          <w:bCs w:val="0"/>
          <w:color w:val="auto"/>
          <w:sz w:val="32"/>
          <w:szCs w:val="32"/>
          <w:lang w:val="en-US" w:eastAsia="zh-CN"/>
        </w:rPr>
        <w:t>7.</w:t>
      </w:r>
      <w:r>
        <w:rPr>
          <w:rFonts w:hint="eastAsia" w:ascii="仿宋_GB2312" w:hAnsi="仿宋_GB2312" w:eastAsia="仿宋_GB2312" w:cs="仿宋_GB2312"/>
          <w:b w:val="0"/>
          <w:bCs w:val="0"/>
          <w:color w:val="auto"/>
          <w:sz w:val="32"/>
          <w:szCs w:val="32"/>
          <w:lang w:val="en-US" w:eastAsia="zh-CN"/>
        </w:rPr>
        <w:t>负责做好演出观众满意度调查工作、演出总结工作。</w:t>
      </w:r>
    </w:p>
    <w:p w14:paraId="4D9CF931">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hAnsi="仿宋_GB2312" w:cs="仿宋_GB2312"/>
          <w:b w:val="0"/>
          <w:bCs w:val="0"/>
          <w:color w:val="auto"/>
          <w:sz w:val="32"/>
          <w:szCs w:val="32"/>
          <w:lang w:val="en-US" w:eastAsia="zh-CN"/>
        </w:rPr>
        <w:t>8</w:t>
      </w:r>
      <w:r>
        <w:rPr>
          <w:rFonts w:hint="eastAsia" w:ascii="仿宋_GB2312" w:hAnsi="仿宋_GB2312" w:eastAsia="仿宋_GB2312" w:cs="仿宋_GB2312"/>
          <w:b w:val="0"/>
          <w:bCs w:val="0"/>
          <w:color w:val="auto"/>
          <w:sz w:val="32"/>
          <w:szCs w:val="32"/>
          <w:lang w:val="en-US" w:eastAsia="zh-CN"/>
        </w:rPr>
        <w:t>.乙方应做好相关事项的安全方案，备选应急方案，确保活动安全、顺利进行。确保交通、食宿安全及时，负责为演职人员提供安全保障，演职人员在当地演出期间因急慢性病等所支付的医疗费用，乙方人员及演职人员在此次活动中（包括往返活动现场途中，彩排活动中等）非因甲方原因造成人身伤害，由乙方负责。因乙方或乙方选择的辅助服务方原因造成甲方或有关人员损失的，乙方应向甲方支付合同总额20%的违约金并赔偿甲方损失，同时甲方有权解除合同。</w:t>
      </w:r>
    </w:p>
    <w:p w14:paraId="2F0F74E8">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hAnsi="仿宋_GB2312" w:cs="仿宋_GB2312"/>
          <w:b w:val="0"/>
          <w:bCs w:val="0"/>
          <w:color w:val="auto"/>
          <w:sz w:val="32"/>
          <w:szCs w:val="32"/>
          <w:lang w:val="en-US" w:eastAsia="zh-CN"/>
        </w:rPr>
        <w:t>9</w:t>
      </w:r>
      <w:r>
        <w:rPr>
          <w:rFonts w:hint="eastAsia" w:ascii="仿宋_GB2312" w:hAnsi="仿宋_GB2312" w:eastAsia="仿宋_GB2312" w:cs="仿宋_GB2312"/>
          <w:b w:val="0"/>
          <w:bCs w:val="0"/>
          <w:color w:val="auto"/>
          <w:sz w:val="32"/>
          <w:szCs w:val="32"/>
          <w:lang w:val="en-US" w:eastAsia="zh-CN"/>
        </w:rPr>
        <w:t>.除突发疾病等其他不可抗力导致不能演出外，未经甲方书面同意乙方不得擅自更换演员；经甲方同意更换演员的，乙方有义务更换相同水准的演员，并且更换后的演员需经甲方同意。</w:t>
      </w:r>
    </w:p>
    <w:p w14:paraId="1D087E36">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hAnsi="仿宋_GB2312" w:cs="仿宋_GB2312"/>
          <w:b w:val="0"/>
          <w:bCs w:val="0"/>
          <w:color w:val="auto"/>
          <w:sz w:val="32"/>
          <w:szCs w:val="32"/>
          <w:lang w:val="en-US" w:eastAsia="zh-CN"/>
        </w:rPr>
        <w:t>10</w:t>
      </w:r>
      <w:r>
        <w:rPr>
          <w:rFonts w:hint="eastAsia" w:ascii="仿宋_GB2312" w:hAnsi="仿宋_GB2312" w:eastAsia="仿宋_GB2312" w:cs="仿宋_GB2312"/>
          <w:b w:val="0"/>
          <w:bCs w:val="0"/>
          <w:color w:val="auto"/>
          <w:sz w:val="32"/>
          <w:szCs w:val="32"/>
          <w:lang w:val="en-US" w:eastAsia="zh-CN"/>
        </w:rPr>
        <w:t>.乙方合同执行过程中造成人身财产损失及与第三方产生的纠纷（包括但不限于经济纠纷、知识产权纠纷、与其他工作人员的劳动劳务纠纷等），由乙方自行负责解决；因此造成甲方损失的，乙方应予以赔偿。</w:t>
      </w:r>
    </w:p>
    <w:p w14:paraId="3BC7FEA5">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w:t>
      </w:r>
      <w:r>
        <w:rPr>
          <w:rFonts w:hint="eastAsia" w:hAnsi="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lang w:val="en-US" w:eastAsia="zh-CN"/>
        </w:rPr>
        <w:t>.乙方保证具备履行本合同相关服务的资质和能力。乙方确保其演职人员和工作人员等足以胜任本合同下义务，对于不称职、损害甲方利益以及不服从甲方管理及调度的人员，甲方有权要求乙方立即更换或解除合同。</w:t>
      </w:r>
    </w:p>
    <w:p w14:paraId="24D15BC6">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w:t>
      </w:r>
      <w:r>
        <w:rPr>
          <w:rFonts w:hint="eastAsia" w:hAnsi="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val="en-US" w:eastAsia="zh-CN"/>
        </w:rPr>
        <w:t>.乙方不得擅自在此次活动中向有关人员或单位收取任何费用，或以其他形式牟利，否则乙方应返还其所得收益，支付合同总额20%的违约金并赔偿甲方损失，同时甲方有权解除合同。</w:t>
      </w:r>
    </w:p>
    <w:p w14:paraId="20CF067F">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w:t>
      </w:r>
      <w:r>
        <w:rPr>
          <w:rFonts w:hint="eastAsia" w:hAnsi="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val="en-US" w:eastAsia="zh-CN"/>
        </w:rPr>
        <w:t>.如乙方未经甲方书面同意转让其应履行的合同项下的义务，或乙方损害甲方形象利益、存在不诚信行为，出现重大或多次投诉（情节由甲方认定）、出现负面舆论舆情等，或乙方未按约定履行其他合同义务经甲方催告仍未整改的，甲方有权解除本合同。</w:t>
      </w:r>
    </w:p>
    <w:p w14:paraId="0C349FB5">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w:t>
      </w:r>
      <w:r>
        <w:rPr>
          <w:rFonts w:hint="eastAsia" w:hAnsi="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lang w:val="en-US" w:eastAsia="zh-CN"/>
        </w:rPr>
        <w:t>.乙方有义务配合甲方及甲方委托的第三方开展的</w:t>
      </w:r>
      <w:r>
        <w:rPr>
          <w:rFonts w:hint="eastAsia" w:hAnsi="仿宋_GB2312" w:cs="仿宋_GB2312"/>
          <w:b w:val="0"/>
          <w:bCs w:val="0"/>
          <w:color w:val="auto"/>
          <w:sz w:val="32"/>
          <w:szCs w:val="32"/>
          <w:lang w:val="en-US" w:eastAsia="zh-CN"/>
        </w:rPr>
        <w:t>跟踪审核</w:t>
      </w:r>
      <w:r>
        <w:rPr>
          <w:rFonts w:hint="eastAsia" w:ascii="仿宋_GB2312" w:hAnsi="仿宋_GB2312" w:eastAsia="仿宋_GB2312" w:cs="仿宋_GB2312"/>
          <w:b w:val="0"/>
          <w:bCs w:val="0"/>
          <w:color w:val="auto"/>
          <w:sz w:val="32"/>
          <w:szCs w:val="32"/>
          <w:lang w:val="en-US" w:eastAsia="zh-CN"/>
        </w:rPr>
        <w:t>工作。</w:t>
      </w:r>
    </w:p>
    <w:p w14:paraId="4F6B2558">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六、违约责任</w:t>
      </w:r>
    </w:p>
    <w:p w14:paraId="59C1965F">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hAnsi="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lang w:val="en-US" w:eastAsia="zh-CN"/>
        </w:rPr>
        <w:t>未经双方事先书面同意，双方均不得使用对方的名义进行本项目以外的其他活动，违约方须向守约方赔偿损失。本合同中，甲方行使解除权时，乙方应退回已收取的费用；造成甲方损失的，乙方应赔偿。</w:t>
      </w:r>
    </w:p>
    <w:p w14:paraId="0DEDEB6B">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hAnsi="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val="en-US" w:eastAsia="zh-CN"/>
        </w:rPr>
        <w:t>.演出内容要符合社会主义核心价值观等意识形态要求。如乙方因负面原因（包括但不限于语言、行为、观点、意识形态）产生不良社会影响，乙方应承担全部责任，由此造成甲方损失的，应予以赔偿，同时甲方有权解除合同。</w:t>
      </w:r>
    </w:p>
    <w:p w14:paraId="263CEEB3">
      <w:pPr>
        <w:widowControl/>
        <w:kinsoku w:val="0"/>
        <w:adjustRightInd w:val="0"/>
        <w:snapToGrid w:val="0"/>
        <w:spacing w:line="560" w:lineRule="exact"/>
        <w:ind w:firstLine="640" w:firstLineChars="200"/>
        <w:jc w:val="left"/>
        <w:textAlignment w:val="baseline"/>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3.合同一经生效，如出现不可抗力或突发重大事件造成合同未能履行或未完全履行，如政治原因、国家任务、战争及自然灾害（如台风、暴雨、地震、疫情等）等双方不可抗拒的状况，</w:t>
      </w:r>
      <w:r>
        <w:rPr>
          <w:rFonts w:hint="eastAsia" w:ascii="仿宋_GB2312" w:hAnsi="仿宋_GB2312" w:eastAsia="仿宋_GB2312" w:cs="仿宋_GB2312"/>
          <w:color w:val="auto"/>
          <w:sz w:val="32"/>
          <w:szCs w:val="32"/>
          <w:lang w:eastAsia="zh-CN"/>
        </w:rPr>
        <w:t>甲乙双方互不追究责任。</w:t>
      </w:r>
    </w:p>
    <w:p w14:paraId="76D66653">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default" w:hAnsi="仿宋_GB2312" w:cs="仿宋_GB2312"/>
          <w:b w:val="0"/>
          <w:bCs w:val="0"/>
          <w:color w:val="auto"/>
          <w:sz w:val="32"/>
          <w:szCs w:val="32"/>
          <w:lang w:val="en" w:eastAsia="zh-CN"/>
        </w:rPr>
        <w:t>4</w:t>
      </w:r>
      <w:r>
        <w:rPr>
          <w:rFonts w:hint="eastAsia" w:ascii="仿宋_GB2312" w:hAnsi="仿宋_GB2312" w:eastAsia="仿宋_GB2312" w:cs="仿宋_GB2312"/>
          <w:b w:val="0"/>
          <w:bCs w:val="0"/>
          <w:color w:val="auto"/>
          <w:sz w:val="32"/>
          <w:szCs w:val="32"/>
          <w:lang w:val="en-US" w:eastAsia="zh-CN"/>
        </w:rPr>
        <w:t>.如乙方未能按约定及甲方要求安排各项活动和进行保障工作，乙方在收到甲方整改通知书，应立即进行整改，若在收到通知后2天内不进行整改或整改不符合规定，每一项不符合之处，乙方须按该事项金额的1‰向甲方支付违约金，同时甲方有权解除本合同。乙方同意，如甲方有合理的证据证明乙方不具备承办演出活动能力，甲方有权委托第三方进行支持，乙方应无条件配合，所支出的合理费用应从乙方的合同款中直接抵扣，如乙方不予配合，甲方有权单方面解除本合同。</w:t>
      </w:r>
    </w:p>
    <w:p w14:paraId="555F63AE">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default" w:hAnsi="仿宋_GB2312" w:cs="仿宋_GB2312"/>
          <w:b w:val="0"/>
          <w:bCs w:val="0"/>
          <w:color w:val="auto"/>
          <w:sz w:val="32"/>
          <w:szCs w:val="32"/>
          <w:lang w:val="en" w:eastAsia="zh-CN"/>
        </w:rPr>
        <w:t>5</w:t>
      </w:r>
      <w:r>
        <w:rPr>
          <w:rFonts w:hint="eastAsia" w:ascii="仿宋_GB2312" w:hAnsi="仿宋_GB2312" w:eastAsia="仿宋_GB2312" w:cs="仿宋_GB2312"/>
          <w:b w:val="0"/>
          <w:bCs w:val="0"/>
          <w:color w:val="auto"/>
          <w:sz w:val="32"/>
          <w:szCs w:val="32"/>
          <w:lang w:val="en-US" w:eastAsia="zh-CN"/>
        </w:rPr>
        <w:t>.乙方未能按照合同约定及甲方要求保质保量完成演出活动的，甲方有权解除合同，要求乙方退还甲方已支付的款项，要求乙方支付合同总额20%的违约金并赔偿甲方全部损失。</w:t>
      </w:r>
    </w:p>
    <w:p w14:paraId="65BDDDDA">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default" w:hAnsi="仿宋_GB2312" w:cs="仿宋_GB2312"/>
          <w:b w:val="0"/>
          <w:bCs w:val="0"/>
          <w:color w:val="auto"/>
          <w:sz w:val="32"/>
          <w:szCs w:val="32"/>
          <w:lang w:val="en" w:eastAsia="zh-CN"/>
        </w:rPr>
        <w:t>6</w:t>
      </w:r>
      <w:r>
        <w:rPr>
          <w:rFonts w:hint="eastAsia" w:ascii="仿宋_GB2312" w:hAnsi="仿宋_GB2312" w:eastAsia="仿宋_GB2312" w:cs="仿宋_GB2312"/>
          <w:b w:val="0"/>
          <w:bCs w:val="0"/>
          <w:color w:val="auto"/>
          <w:sz w:val="32"/>
          <w:szCs w:val="32"/>
          <w:lang w:val="en-US" w:eastAsia="zh-CN"/>
        </w:rPr>
        <w:t>.如甲方无故未按照本合同约定向乙方支付费用，经乙方书面催告在合理期限内仍不支付的，每延迟一日按应付未付费用的0.1‰支付违约金，逾期超过15个工作日的，乙方有权解除本合同，甲方应赔偿乙方实际损失。</w:t>
      </w:r>
    </w:p>
    <w:p w14:paraId="338DAF87">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default" w:hAnsi="仿宋_GB2312" w:cs="仿宋_GB2312"/>
          <w:b w:val="0"/>
          <w:bCs w:val="0"/>
          <w:color w:val="auto"/>
          <w:sz w:val="32"/>
          <w:szCs w:val="32"/>
          <w:lang w:val="en" w:eastAsia="zh-CN"/>
        </w:rPr>
        <w:t>7</w:t>
      </w:r>
      <w:r>
        <w:rPr>
          <w:rFonts w:hint="eastAsia" w:ascii="仿宋_GB2312" w:hAnsi="仿宋_GB2312" w:eastAsia="仿宋_GB2312" w:cs="仿宋_GB2312"/>
          <w:b w:val="0"/>
          <w:bCs w:val="0"/>
          <w:color w:val="auto"/>
          <w:sz w:val="32"/>
          <w:szCs w:val="32"/>
          <w:lang w:val="en-US" w:eastAsia="zh-CN"/>
        </w:rPr>
        <w:t>.乙方及演出人员抵达演出地点、提供宣传资料、组织彩排、演出须按照本合同约定及甲方要求的时间进行，如因乙方及演出团原因造成拖延的，每拖延一日，乙方应按合同总费用的0.1‰向甲方支付违约金，同时甲方有权解除本合同，由此造成甲方损失的，应予以赔偿。</w:t>
      </w:r>
    </w:p>
    <w:p w14:paraId="144F1CEA">
      <w:pPr>
        <w:pStyle w:val="10"/>
        <w:keepNext w:val="0"/>
        <w:keepLines w:val="0"/>
        <w:pageBreakBefore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default" w:hAnsi="仿宋_GB2312" w:cs="仿宋_GB2312"/>
          <w:b w:val="0"/>
          <w:bCs w:val="0"/>
          <w:color w:val="auto"/>
          <w:sz w:val="32"/>
          <w:szCs w:val="32"/>
          <w:lang w:val="en" w:eastAsia="zh-CN"/>
        </w:rPr>
        <w:t>8</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双方均有义务保守本合同涉及的</w:t>
      </w:r>
      <w:r>
        <w:rPr>
          <w:rFonts w:hint="eastAsia" w:ascii="仿宋_GB2312" w:hAnsi="仿宋_GB2312" w:eastAsia="仿宋_GB2312" w:cs="仿宋_GB2312"/>
          <w:b w:val="0"/>
          <w:bCs w:val="0"/>
          <w:color w:val="auto"/>
          <w:sz w:val="32"/>
          <w:szCs w:val="32"/>
          <w:lang w:val="en-US" w:eastAsia="zh-CN"/>
        </w:rPr>
        <w:t>工作</w:t>
      </w:r>
      <w:r>
        <w:rPr>
          <w:rFonts w:hint="eastAsia" w:ascii="仿宋_GB2312" w:hAnsi="仿宋_GB2312" w:eastAsia="仿宋_GB2312" w:cs="仿宋_GB2312"/>
          <w:b w:val="0"/>
          <w:bCs w:val="0"/>
          <w:color w:val="auto"/>
          <w:sz w:val="32"/>
          <w:szCs w:val="32"/>
        </w:rPr>
        <w:t>秘密。双方确认需要保密的事项包括但不限于本合同及其附件、双方确认的往来信函、邮件、会议纪要等，与本合同的磋商、签订与履行相关的所有信息，以及因此所获悉的双方的技术资料、策划方案、市场营销等任何尚未披露的信息。</w:t>
      </w:r>
      <w:r>
        <w:rPr>
          <w:rFonts w:hint="eastAsia" w:ascii="仿宋_GB2312" w:hAnsi="仿宋_GB2312" w:eastAsia="仿宋_GB2312" w:cs="仿宋_GB2312"/>
          <w:b w:val="0"/>
          <w:bCs w:val="0"/>
          <w:color w:val="auto"/>
          <w:sz w:val="32"/>
          <w:szCs w:val="32"/>
          <w:lang w:val="en-US" w:eastAsia="zh-CN"/>
        </w:rPr>
        <w:t>未</w:t>
      </w:r>
      <w:r>
        <w:rPr>
          <w:rFonts w:hint="eastAsia" w:ascii="仿宋_GB2312" w:hAnsi="仿宋_GB2312" w:eastAsia="仿宋_GB2312" w:cs="仿宋_GB2312"/>
          <w:b w:val="0"/>
          <w:bCs w:val="0"/>
          <w:color w:val="auto"/>
          <w:sz w:val="32"/>
          <w:szCs w:val="32"/>
        </w:rPr>
        <w:t>经甲方许可，乙方不得</w:t>
      </w:r>
      <w:r>
        <w:rPr>
          <w:rFonts w:hint="eastAsia" w:ascii="仿宋_GB2312" w:hAnsi="仿宋_GB2312" w:eastAsia="仿宋_GB2312" w:cs="仿宋_GB2312"/>
          <w:b w:val="0"/>
          <w:bCs w:val="0"/>
          <w:color w:val="auto"/>
          <w:sz w:val="32"/>
          <w:szCs w:val="32"/>
          <w:lang w:val="en-US" w:eastAsia="zh-CN"/>
        </w:rPr>
        <w:t>将</w:t>
      </w:r>
      <w:r>
        <w:rPr>
          <w:rFonts w:hint="eastAsia" w:ascii="仿宋_GB2312" w:hAnsi="仿宋_GB2312" w:eastAsia="仿宋_GB2312" w:cs="仿宋_GB2312"/>
          <w:b w:val="0"/>
          <w:bCs w:val="0"/>
          <w:color w:val="auto"/>
          <w:sz w:val="32"/>
          <w:szCs w:val="32"/>
        </w:rPr>
        <w:t>本</w:t>
      </w:r>
      <w:r>
        <w:rPr>
          <w:rFonts w:hint="eastAsia" w:ascii="仿宋_GB2312" w:hAnsi="仿宋_GB2312" w:eastAsia="仿宋_GB2312" w:cs="仿宋_GB2312"/>
          <w:b w:val="0"/>
          <w:bCs w:val="0"/>
          <w:color w:val="auto"/>
          <w:sz w:val="32"/>
          <w:szCs w:val="32"/>
          <w:lang w:val="en-US" w:eastAsia="zh-CN"/>
        </w:rPr>
        <w:t>项目的保密信息透露给第三方。</w:t>
      </w:r>
      <w:r>
        <w:rPr>
          <w:rFonts w:hint="eastAsia" w:ascii="仿宋_GB2312" w:hAnsi="仿宋_GB2312" w:eastAsia="仿宋_GB2312" w:cs="仿宋_GB2312"/>
          <w:b w:val="0"/>
          <w:bCs w:val="0"/>
          <w:color w:val="auto"/>
          <w:sz w:val="32"/>
          <w:szCs w:val="32"/>
        </w:rPr>
        <w:t>本合同项下保密义务在合同终止、解除后继续保持有效。</w:t>
      </w:r>
      <w:r>
        <w:rPr>
          <w:rFonts w:hint="eastAsia" w:ascii="仿宋_GB2312" w:hAnsi="仿宋_GB2312" w:eastAsia="仿宋_GB2312" w:cs="仿宋_GB2312"/>
          <w:b w:val="0"/>
          <w:bCs w:val="0"/>
          <w:color w:val="auto"/>
          <w:sz w:val="32"/>
          <w:szCs w:val="32"/>
          <w:lang w:val="en-US" w:eastAsia="zh-CN"/>
        </w:rPr>
        <w:t>但法律、法规另有规定或双方另有约定的除外。</w:t>
      </w:r>
    </w:p>
    <w:p w14:paraId="27B463D7">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七、通知</w:t>
      </w:r>
    </w:p>
    <w:p w14:paraId="77BD2CA8">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1.根据本合同需要一方向另一方发出的演出相关重大通知以及双方的文件往来及本合同有关的通知和要求等，须用书面形式传递。</w:t>
      </w:r>
    </w:p>
    <w:p w14:paraId="1DD49BEA">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2.一方变更通知，应自变更之日起3日内，以书面形式通知对方；否则，由未通知方承担由此引起的相关责任。</w:t>
      </w:r>
    </w:p>
    <w:p w14:paraId="512B512C">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书面通知发出后，对方未签收或回复的，自书面通知发出后的第4日为签收日。</w:t>
      </w:r>
    </w:p>
    <w:p w14:paraId="4CD36802">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left="560" w:leftChars="0"/>
        <w:jc w:val="left"/>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八、其他</w:t>
      </w:r>
    </w:p>
    <w:p w14:paraId="5505CD41">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1.未尽事宜，双方可另行签订有关此次演出的补充协议，作为本合同的附件，与本合同具有相同法律效力。</w:t>
      </w:r>
    </w:p>
    <w:p w14:paraId="475F8A8C">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2.若有争议，双方应本着友好、积极的态度协商解决，若无法通过协商自行解决，可提交甲方所在地人民法院进行诉讼解决，因此产生的诉讼费、律师费等由责任方承担。</w:t>
      </w:r>
    </w:p>
    <w:p w14:paraId="3DA22342">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3.本合同一式陆份，甲方肆份乙方贰份，具有同等法律效力。本合同自双方负责人签字及单位盖章之日起生效。</w:t>
      </w:r>
    </w:p>
    <w:p w14:paraId="1476C66F">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p>
    <w:p w14:paraId="1ED68C7E">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w:t>
      </w:r>
    </w:p>
    <w:p w14:paraId="34A3E571">
      <w:pPr>
        <w:pStyle w:val="2"/>
        <w:rPr>
          <w:rFonts w:hint="eastAsia" w:ascii="仿宋_GB2312" w:hAnsi="仿宋_GB2312" w:eastAsia="仿宋_GB2312" w:cs="仿宋_GB2312"/>
          <w:b w:val="0"/>
          <w:bCs w:val="0"/>
          <w:color w:val="auto"/>
          <w:sz w:val="32"/>
          <w:szCs w:val="32"/>
          <w:lang w:val="en-US" w:eastAsia="zh-CN"/>
        </w:rPr>
      </w:pPr>
    </w:p>
    <w:p w14:paraId="7B42B1B4">
      <w:pPr>
        <w:pStyle w:val="2"/>
        <w:rPr>
          <w:rFonts w:hint="eastAsia" w:ascii="仿宋_GB2312" w:hAnsi="仿宋_GB2312" w:eastAsia="仿宋_GB2312" w:cs="仿宋_GB2312"/>
          <w:b w:val="0"/>
          <w:bCs w:val="0"/>
          <w:color w:val="auto"/>
          <w:sz w:val="32"/>
          <w:szCs w:val="32"/>
          <w:lang w:val="en-US" w:eastAsia="zh-CN"/>
        </w:rPr>
      </w:pPr>
    </w:p>
    <w:p w14:paraId="115039CB">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甲方：海南省旅游和文化广电体育厅</w:t>
      </w:r>
    </w:p>
    <w:p w14:paraId="5D1F875C">
      <w:pPr>
        <w:keepNext w:val="0"/>
        <w:keepLines w:val="0"/>
        <w:pageBreakBefore w:val="0"/>
        <w:numPr>
          <w:ilvl w:val="0"/>
          <w:numId w:val="0"/>
        </w:numPr>
        <w:tabs>
          <w:tab w:val="left" w:pos="501"/>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授权负责人签字：</w:t>
      </w:r>
    </w:p>
    <w:p w14:paraId="46A165B8">
      <w:pPr>
        <w:pStyle w:val="2"/>
        <w:keepNext w:val="0"/>
        <w:keepLines w:val="0"/>
        <w:pageBreakBefore w:val="0"/>
        <w:kinsoku/>
        <w:wordWrap/>
        <w:overflowPunct/>
        <w:topLinePunct w:val="0"/>
        <w:bidi w:val="0"/>
        <w:snapToGrid/>
        <w:spacing w:line="560" w:lineRule="exact"/>
        <w:jc w:val="left"/>
        <w:textAlignment w:val="auto"/>
        <w:rPr>
          <w:rFonts w:hint="eastAsia"/>
          <w:color w:val="auto"/>
          <w:lang w:val="en-US" w:eastAsia="zh-CN"/>
        </w:rPr>
      </w:pPr>
    </w:p>
    <w:p w14:paraId="08C6FC84">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乙方（盖章）：</w:t>
      </w:r>
    </w:p>
    <w:p w14:paraId="339AF28C">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授权负责人签字：</w:t>
      </w:r>
    </w:p>
    <w:p w14:paraId="611F9980">
      <w:pPr>
        <w:pStyle w:val="2"/>
        <w:keepNext w:val="0"/>
        <w:keepLines w:val="0"/>
        <w:pageBreakBefore w:val="0"/>
        <w:kinsoku/>
        <w:wordWrap/>
        <w:overflowPunct/>
        <w:topLinePunct w:val="0"/>
        <w:bidi w:val="0"/>
        <w:snapToGrid/>
        <w:spacing w:line="560" w:lineRule="exact"/>
        <w:jc w:val="left"/>
        <w:textAlignment w:val="auto"/>
        <w:rPr>
          <w:rFonts w:hint="eastAsia"/>
          <w:color w:val="auto"/>
          <w:lang w:val="en-US" w:eastAsia="zh-CN"/>
        </w:rPr>
      </w:pPr>
    </w:p>
    <w:p w14:paraId="32935127">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6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代理机构（盖章）：</w:t>
      </w:r>
    </w:p>
    <w:p w14:paraId="7F9F5571">
      <w:pPr>
        <w:pStyle w:val="2"/>
        <w:keepNext w:val="0"/>
        <w:keepLines w:val="0"/>
        <w:pageBreakBefore w:val="0"/>
        <w:kinsoku/>
        <w:wordWrap/>
        <w:overflowPunct/>
        <w:topLinePunct w:val="0"/>
        <w:bidi w:val="0"/>
        <w:snapToGrid/>
        <w:spacing w:line="560" w:lineRule="exact"/>
        <w:jc w:val="left"/>
        <w:textAlignment w:val="auto"/>
        <w:rPr>
          <w:rFonts w:hint="default"/>
          <w:color w:val="auto"/>
          <w:lang w:val="en-US" w:eastAsia="zh-CN"/>
        </w:rPr>
      </w:pPr>
      <w:r>
        <w:rPr>
          <w:rFonts w:hint="eastAsia" w:ascii="仿宋_GB2312" w:hAnsi="仿宋_GB2312" w:eastAsia="仿宋_GB2312" w:cs="仿宋_GB2312"/>
          <w:b w:val="0"/>
          <w:bCs w:val="0"/>
          <w:color w:val="auto"/>
          <w:sz w:val="32"/>
          <w:szCs w:val="32"/>
          <w:lang w:val="en-US" w:eastAsia="zh-CN"/>
        </w:rPr>
        <w:t xml:space="preserve">    授权负责人签字：</w:t>
      </w:r>
    </w:p>
    <w:p w14:paraId="766F5248">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val="0"/>
          <w:bCs w:val="0"/>
          <w:color w:val="auto"/>
          <w:sz w:val="32"/>
          <w:szCs w:val="32"/>
          <w:lang w:val="en-US" w:eastAsia="zh-CN"/>
        </w:rPr>
      </w:pPr>
    </w:p>
    <w:p w14:paraId="32578AA3">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val="0"/>
          <w:bCs w:val="0"/>
          <w:color w:val="auto"/>
          <w:sz w:val="32"/>
          <w:szCs w:val="32"/>
          <w:lang w:val="en-US" w:eastAsia="zh-CN"/>
        </w:rPr>
      </w:pPr>
    </w:p>
    <w:p w14:paraId="17D8BB1B">
      <w:pPr>
        <w:keepNext w:val="0"/>
        <w:keepLines w:val="0"/>
        <w:pageBreakBefore w:val="0"/>
        <w:numPr>
          <w:ilvl w:val="0"/>
          <w:numId w:val="0"/>
        </w:numPr>
        <w:tabs>
          <w:tab w:val="left" w:pos="6885"/>
        </w:tabs>
        <w:kinsoku/>
        <w:wordWrap/>
        <w:overflowPunct/>
        <w:topLinePunct w:val="0"/>
        <w:autoSpaceDE/>
        <w:autoSpaceDN/>
        <w:bidi w:val="0"/>
        <w:adjustRightInd/>
        <w:snapToGrid/>
        <w:spacing w:line="560" w:lineRule="exact"/>
        <w:ind w:firstLine="5440" w:firstLineChars="1700"/>
        <w:jc w:val="left"/>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日期:</w:t>
      </w:r>
    </w:p>
    <w:p w14:paraId="3AB927F7">
      <w:pPr>
        <w:keepNext w:val="0"/>
        <w:keepLines w:val="0"/>
        <w:pageBreakBefore w:val="0"/>
        <w:kinsoku/>
        <w:wordWrap/>
        <w:overflowPunct/>
        <w:topLinePunct w:val="0"/>
        <w:autoSpaceDE/>
        <w:autoSpaceDN/>
        <w:bidi w:val="0"/>
        <w:adjustRightInd/>
        <w:snapToGrid/>
        <w:spacing w:line="560" w:lineRule="exact"/>
        <w:jc w:val="left"/>
        <w:textAlignment w:val="auto"/>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F78547"/>
    <w:multiLevelType w:val="singleLevel"/>
    <w:tmpl w:val="D5F78547"/>
    <w:lvl w:ilvl="0" w:tentative="0">
      <w:start w:val="3"/>
      <w:numFmt w:val="chineseCounting"/>
      <w:suff w:val="nothing"/>
      <w:lvlText w:val="%1、"/>
      <w:lvlJc w:val="left"/>
      <w:rPr>
        <w:rFonts w:hint="eastAsia"/>
      </w:rPr>
    </w:lvl>
  </w:abstractNum>
  <w:abstractNum w:abstractNumId="1">
    <w:nsid w:val="00000003"/>
    <w:multiLevelType w:val="singleLevel"/>
    <w:tmpl w:val="0000000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DD7EF48"/>
    <w:rsid w:val="0B937B3C"/>
    <w:rsid w:val="1E0621CD"/>
    <w:rsid w:val="1F7F3A04"/>
    <w:rsid w:val="298E3393"/>
    <w:rsid w:val="31062748"/>
    <w:rsid w:val="31A93189"/>
    <w:rsid w:val="33E55375"/>
    <w:rsid w:val="41F96EC7"/>
    <w:rsid w:val="46F7B781"/>
    <w:rsid w:val="4E2D653D"/>
    <w:rsid w:val="5C11427F"/>
    <w:rsid w:val="5FEEDFCC"/>
    <w:rsid w:val="68D008AE"/>
    <w:rsid w:val="74E12F36"/>
    <w:rsid w:val="771F2363"/>
    <w:rsid w:val="77EF2F4A"/>
    <w:rsid w:val="7A0E3043"/>
    <w:rsid w:val="7AE54641"/>
    <w:rsid w:val="7C9D55A2"/>
    <w:rsid w:val="7EFB35D9"/>
    <w:rsid w:val="BDD7EF48"/>
    <w:rsid w:val="DAB9FEFE"/>
    <w:rsid w:val="E53F19C0"/>
    <w:rsid w:val="EDBF41A9"/>
    <w:rsid w:val="FA578306"/>
    <w:rsid w:val="FBEC5D92"/>
    <w:rsid w:val="FF3F8F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paragraph" w:styleId="3">
    <w:name w:val="heading 1"/>
    <w:basedOn w:val="1"/>
    <w:next w:val="1"/>
    <w:qFormat/>
    <w:uiPriority w:val="1"/>
    <w:pPr>
      <w:ind w:left="600"/>
      <w:outlineLvl w:val="0"/>
    </w:pPr>
    <w:rPr>
      <w:b/>
      <w:bCs/>
      <w:sz w:val="24"/>
      <w:szCs w:val="24"/>
    </w:rPr>
  </w:style>
  <w:style w:type="character" w:default="1" w:styleId="8">
    <w:name w:val="Default Paragraph Font"/>
    <w:semiHidden/>
    <w:qFormat/>
    <w:uiPriority w:val="0"/>
  </w:style>
  <w:style w:type="table" w:default="1" w:styleId="7">
    <w:name w:val="Normal Table"/>
    <w:semiHidden/>
    <w:qFormat/>
    <w:uiPriority w:val="0"/>
    <w:tblPr>
      <w:tblStyle w:val="7"/>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宋体" w:cs="Times New Roman"/>
      <w:color w:val="000000"/>
      <w:sz w:val="24"/>
      <w:szCs w:val="22"/>
      <w:lang w:val="en-US" w:eastAsia="zh-CN" w:bidi="ar-SA"/>
    </w:rPr>
  </w:style>
  <w:style w:type="paragraph" w:styleId="4">
    <w:name w:val="annotation text"/>
    <w:basedOn w:val="1"/>
    <w:qFormat/>
    <w:uiPriority w:val="0"/>
    <w:pPr>
      <w:jc w:val="left"/>
    </w:pPr>
  </w:style>
  <w:style w:type="paragraph" w:styleId="5">
    <w:name w:val="Body Text"/>
    <w:basedOn w:val="1"/>
    <w:qFormat/>
    <w:uiPriority w:val="1"/>
    <w:pPr>
      <w:ind w:left="120"/>
    </w:pPr>
    <w:rPr>
      <w:sz w:val="24"/>
      <w:szCs w:val="24"/>
    </w:rPr>
  </w:style>
  <w:style w:type="paragraph" w:styleId="6">
    <w:name w:val="footnote text"/>
    <w:basedOn w:val="1"/>
    <w:qFormat/>
    <w:uiPriority w:val="0"/>
    <w:pPr>
      <w:snapToGrid w:val="0"/>
      <w:jc w:val="left"/>
    </w:pPr>
    <w:rPr>
      <w:sz w:val="18"/>
      <w:szCs w:val="18"/>
    </w:rPr>
  </w:style>
  <w:style w:type="paragraph" w:customStyle="1" w:styleId="9">
    <w:name w:val="List Paragraph"/>
    <w:basedOn w:val="1"/>
    <w:qFormat/>
    <w:uiPriority w:val="1"/>
    <w:pPr>
      <w:ind w:left="120" w:firstLine="240"/>
    </w:pPr>
  </w:style>
  <w:style w:type="paragraph" w:customStyle="1" w:styleId="10">
    <w:name w:val="正文文本1"/>
    <w:basedOn w:val="1"/>
    <w:qFormat/>
    <w:uiPriority w:val="0"/>
    <w:pPr>
      <w:spacing w:after="1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4107</Words>
  <Characters>4174</Characters>
  <Lines>0</Lines>
  <Paragraphs>0</Paragraphs>
  <TotalTime>7</TotalTime>
  <ScaleCrop>false</ScaleCrop>
  <LinksUpToDate>false</LinksUpToDate>
  <CharactersWithSpaces>4280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2024-05-13T23:01:00Z</dcterms:created>
  <dc:creator>greatwall</dc:creator>
  <cp:lastModifiedBy>dl</cp:lastModifiedBy>
  <dcterms:modified xsi:type="dcterms:W3CDTF">2025-05-14T09:40:16Z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eyJoZGlkIjoiYzhkNDg2ZDkwYTgxYzkzNGMxZTQwZWZhNzM4MTY1N2UiLCJ1c2VySWQiOiIxMzkzMzM4ODgyIn0=</vt:lpwstr>
  </property>
  <property fmtid="{D5CDD505-2E9C-101B-9397-08002B2CF9AE}" pid="4" name="ICV">
    <vt:lpwstr>D07162CC6EE645D3A6FF8930240BE335_13</vt:lpwstr>
  </property>
</Properties>
</file>