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省直医疗卫生机构购置CT机</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HNQJX-2025-940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海南省地质医院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海南千君信项目管理有限公司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海南省地质医院</w:t>
      </w:r>
      <w:r>
        <w:rPr>
          <w:rFonts w:ascii="仿宋_GB2312" w:hAnsi="仿宋_GB2312" w:cs="仿宋_GB2312" w:eastAsia="仿宋_GB2312"/>
        </w:rPr>
        <w:t xml:space="preserve"> 委托， </w:t>
      </w:r>
      <w:r>
        <w:rPr>
          <w:rFonts w:ascii="仿宋_GB2312" w:hAnsi="仿宋_GB2312" w:cs="仿宋_GB2312" w:eastAsia="仿宋_GB2312"/>
        </w:rPr>
        <w:t>海南千君信项目管理有限公司</w:t>
      </w:r>
      <w:r>
        <w:rPr>
          <w:rFonts w:ascii="仿宋_GB2312" w:hAnsi="仿宋_GB2312" w:cs="仿宋_GB2312" w:eastAsia="仿宋_GB2312"/>
        </w:rPr>
        <w:t xml:space="preserve"> 对 </w:t>
      </w:r>
      <w:r>
        <w:rPr>
          <w:rFonts w:ascii="仿宋_GB2312" w:hAnsi="仿宋_GB2312" w:cs="仿宋_GB2312" w:eastAsia="仿宋_GB2312"/>
        </w:rPr>
        <w:t>省直医疗卫生机构购置CT机</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HNQJX-2025-940</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省直医疗卫生机构购置CT机</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2,990,000.00元</w:t>
      </w:r>
      <w:r>
        <w:rPr>
          <w:rFonts w:ascii="仿宋_GB2312" w:hAnsi="仿宋_GB2312" w:cs="仿宋_GB2312" w:eastAsia="仿宋_GB2312"/>
        </w:rPr>
        <w:t>贰佰玖拾玖万元整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合同签订之日起60日历天内完成供货</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要求：（1）、如投标人不是所投货物的生产厂家，属于三类医疗器械的投标人须具有医疗器械经营企业许可证，属于二类医疗器械的投标人须具有医疗器械经营企业备案登记凭证或系统备案的二类医疗器械经营备案资料。（提供证书扫描件加盖公章） （2）、所投货物属于二、三类医疗器械产品的须具有医疗器械注册证、医疗器械生产 许可证（进口设备除外），属于一类医疗器械产品的须具有产品备案登记凭证。（提供证书扫描件加盖公章）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1、本项目采购信息指定发布媒体为海南省政府采购网 (https://ccgphainan.gov.cn/maincms-web/)。关于本项目采购文件的补遗、澄清及变更信息以上述网站公告为准，代理机构不再另行通知，采购文件与更正公告的内容相互矛盾时，以最后发出的更正公告内容为准。 2、投标人须在海南政府采购网 (https://ccgp-hainan.gov.cn/maincms-web/)中的海南省政府采购智慧云平台进行注册并完善信息，然后下载参与投标项目电子招标文件（数据包）及其他文件； 3、注意事项：电子标采用全程电子化操作，供应商应详细阅读海南政府采购网的通知《海南省财政厅关于进一步推进政府采购全流程电子化的通知》，供应商使用交易系统遇到问题可致电技术支持：0898- 66220881/0898-66220882。 4、本项目采取远程不见面方式(投标人无需到现场)，详见招标文件“政府采购电子招标投标活动须知”。</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海南省地质医院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海南省海口市龙华区南沙路66号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林潇涵</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13379885188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海南千君信项目管理有限公司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海南省海口市秀英区滨海大道76号吉欣景苑C1C2座2-02房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qjxxmgl168@163.com</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黎艳红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15508929711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（特别提示：本表与招标文件对应章节的内容若不一致，以本表为准。）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代理服务费收费标准：代理服务费参照国家发展计划委员会文件《采购代理服务费收费管理暂行办法》（计价格【2002】1980号）、发改价格[2011]534号文件中相关规定计算，及根据招标代理协议约定。</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联系人：黎艳红</w:t>
      </w:r>
    </w:p>
    <w:p>
      <w:pPr>
        <w:pStyle w:val="null3"/>
        <w:jc w:val="left"/>
      </w:pPr>
      <w:r>
        <w:rPr>
          <w:rFonts w:ascii="仿宋_GB2312" w:hAnsi="仿宋_GB2312" w:cs="仿宋_GB2312" w:eastAsia="仿宋_GB2312"/>
        </w:rPr>
        <w:t>联系电话：0898-68651571</w:t>
      </w:r>
    </w:p>
    <w:p>
      <w:pPr>
        <w:pStyle w:val="null3"/>
        <w:jc w:val="left"/>
      </w:pPr>
      <w:r>
        <w:rPr>
          <w:rFonts w:ascii="仿宋_GB2312" w:hAnsi="仿宋_GB2312" w:cs="仿宋_GB2312" w:eastAsia="仿宋_GB2312"/>
        </w:rPr>
        <w:t>地址：海南省海口市秀英区秀英街道高新社区居委会科技大道7号清华创客（海南）孵化基地 B3-06</w:t>
      </w:r>
    </w:p>
    <w:p>
      <w:pPr>
        <w:pStyle w:val="null3"/>
        <w:jc w:val="left"/>
      </w:pPr>
      <w:r>
        <w:rPr>
          <w:rFonts w:ascii="仿宋_GB2312" w:hAnsi="仿宋_GB2312" w:cs="仿宋_GB2312" w:eastAsia="仿宋_GB2312"/>
        </w:rPr>
        <w:t>邮编：qjxxmgl168@163.com</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color w:val="000000"/>
        </w:rPr>
        <w:t xml:space="preserve">1.项目名称：省直医疗卫生机构购置CT机         </w:t>
      </w:r>
    </w:p>
    <w:p>
      <w:pPr>
        <w:pStyle w:val="null3"/>
        <w:jc w:val="both"/>
      </w:pPr>
      <w:r>
        <w:rPr>
          <w:rFonts w:ascii="仿宋_GB2312" w:hAnsi="仿宋_GB2312" w:cs="仿宋_GB2312" w:eastAsia="仿宋_GB2312"/>
          <w:sz w:val="24"/>
          <w:color w:val="000000"/>
        </w:rPr>
        <w:t>2.预算金额：¥ 2990000.00元</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2,990,000.00</w:t>
      </w:r>
    </w:p>
    <w:p>
      <w:pPr>
        <w:pStyle w:val="null3"/>
        <w:jc w:val="left"/>
      </w:pPr>
      <w:r>
        <w:rPr>
          <w:rFonts w:ascii="仿宋_GB2312" w:hAnsi="仿宋_GB2312" w:cs="仿宋_GB2312" w:eastAsia="仿宋_GB2312"/>
        </w:rPr>
        <w:t>采购包最高限价（元）: 2,990,000.00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A02329900-其他医疗设备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零售业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A02329900-其他医疗设备-CT机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标的名称：A02329900-其他医疗设备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扫描机架系统-机架孔径：≥70cm</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扫描机架系统-机架数字倾角：≥±50°</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扫描机架系统-焦点到探测器的距离：≤1010mm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扫描机架系统-焦点到ISO的距离：≤540mm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扫描机架系统-滑环类型：低压滑环</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扫描机架系统-内部冷却方式：风冷</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扫描机架系统-机架液晶屏幕一体化显示患者信息等</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数据采集系统-探测器z轴物理排数：≥64排</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数据采集系统-每排探测器物理数目：≥864个</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数据采集系统-数据采样率：≥4800采样/360°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数据采集系统-轴位扫描成像：≥128层/360°</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数据采集系统-探测器材料：稀土陶瓷探测器</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X线及高压发生器系统-球管阳极热容量：≥3.5MHU</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X线及高压发生器系统-阳极最大散热率：≥742KHU/min</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X线及高压发生器系统-最小焦点尺寸：≤0.7mm×0.8mm</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X线及高压发生器系统-最大焦点尺寸：≥1.1mm×1.2mm</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X线及高压发生器系统-最低输出管电流：≤10mA</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X线及高压发生器系统-最高输出管电流：≥320mA</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X线及高压发生器系统-最低管电压：≤60kV</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X线及高压发生器系统-最高管电压：≥140kV</w:t>
            </w:r>
          </w:p>
        </w:tc>
      </w:tr>
      <w:tr>
        <w:tc>
          <w:tcPr>
            <w:tcW w:type="dxa" w:w="2769"/>
          </w:tcPr>
          <w:p>
            <w:pPr>
              <w:pStyle w:val="null3"/>
              <w:jc w:val="left"/>
            </w:pPr>
            <w:r>
              <w:rPr>
                <w:rFonts w:ascii="仿宋_GB2312" w:hAnsi="仿宋_GB2312" w:cs="仿宋_GB2312" w:eastAsia="仿宋_GB2312"/>
              </w:rPr>
              <w:t>21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X线及高压发生器系统-球管电压选择范围：≥6档</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X线及高压发生器系统-高压发生器功率：≥32kW</w:t>
            </w:r>
          </w:p>
        </w:tc>
      </w:tr>
      <w:tr>
        <w:tc>
          <w:tcPr>
            <w:tcW w:type="dxa" w:w="2769"/>
          </w:tcPr>
          <w:p>
            <w:pPr>
              <w:pStyle w:val="null3"/>
              <w:jc w:val="left"/>
            </w:pPr>
            <w:r>
              <w:rPr>
                <w:rFonts w:ascii="仿宋_GB2312" w:hAnsi="仿宋_GB2312" w:cs="仿宋_GB2312" w:eastAsia="仿宋_GB2312"/>
              </w:rPr>
              <w:t>23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检查床系统-检查床承重：≥210kg</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检查床系统-最长可扫描范围：≥1750mm</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检查床系统-床水平移动最大速度：≥300mm/s</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检查床系统-床水平移动最小速度：≤1mm/s</w:t>
            </w:r>
          </w:p>
        </w:tc>
      </w:tr>
      <w:tr>
        <w:tc>
          <w:tcPr>
            <w:tcW w:type="dxa" w:w="2769"/>
          </w:tcPr>
          <w:p>
            <w:pPr>
              <w:pStyle w:val="null3"/>
              <w:jc w:val="left"/>
            </w:pPr>
            <w:r>
              <w:rPr>
                <w:rFonts w:ascii="仿宋_GB2312" w:hAnsi="仿宋_GB2312" w:cs="仿宋_GB2312" w:eastAsia="仿宋_GB2312"/>
              </w:rPr>
              <w:t>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检查床系统-床面可降至离地面最高距离：≥1010mm</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检查床系统-床面可降至离地面最低距离：≤560mm</w:t>
            </w:r>
          </w:p>
        </w:tc>
      </w:tr>
      <w:tr>
        <w:tc>
          <w:tcPr>
            <w:tcW w:type="dxa" w:w="2769"/>
          </w:tcPr>
          <w:p>
            <w:pPr>
              <w:pStyle w:val="null3"/>
              <w:jc w:val="left"/>
            </w:pPr>
            <w:r>
              <w:rPr>
                <w:rFonts w:ascii="仿宋_GB2312" w:hAnsi="仿宋_GB2312" w:cs="仿宋_GB2312" w:eastAsia="仿宋_GB2312"/>
              </w:rPr>
              <w:t>29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扫描参数与图像重建-最薄层厚：≤0.5mm</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扫描参数与图像重建-扫描野FOV：≥500mm</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扫描参数与图像重建-最小重建视野FOV：≤25mm</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扫描参数与图像重建-最大重建视野FOV：≥500mm</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扫描参数与图像重建-扩展FOV：≥700mm</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扫描参数与图像重建-图像重建矩阵：≥1024×1024</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扫描参数与图像重建-图像显示矩阵：1024×1024</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扫描参数与图像重建-机架最快旋转速度：＜0.7s/360°</w:t>
            </w:r>
          </w:p>
        </w:tc>
      </w:tr>
      <w:tr>
        <w:tc>
          <w:tcPr>
            <w:tcW w:type="dxa" w:w="2769"/>
          </w:tcPr>
          <w:p>
            <w:pPr>
              <w:pStyle w:val="null3"/>
              <w:jc w:val="left"/>
            </w:pPr>
            <w:r>
              <w:rPr>
                <w:rFonts w:ascii="仿宋_GB2312" w:hAnsi="仿宋_GB2312" w:cs="仿宋_GB2312" w:eastAsia="仿宋_GB2312"/>
              </w:rPr>
              <w:t>37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扫描参数与图像重建-最长连续扫描时间：≥200秒</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扫描参数与图像重建-最大扫描螺距：≥2.0</w:t>
            </w:r>
          </w:p>
        </w:tc>
      </w:tr>
      <w:tr>
        <w:tc>
          <w:tcPr>
            <w:tcW w:type="dxa" w:w="2769"/>
          </w:tcPr>
          <w:p>
            <w:pPr>
              <w:pStyle w:val="null3"/>
              <w:jc w:val="left"/>
            </w:pPr>
            <w:r>
              <w:rPr>
                <w:rFonts w:ascii="仿宋_GB2312" w:hAnsi="仿宋_GB2312" w:cs="仿宋_GB2312" w:eastAsia="仿宋_GB2312"/>
              </w:rPr>
              <w:t>39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扫描参数与图像重建-最小扫描螺距：≤0.15</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扫描参数与图像重建-定位片长度：≥1600mm</w:t>
            </w:r>
          </w:p>
        </w:tc>
      </w:tr>
      <w:tr>
        <w:tc>
          <w:tcPr>
            <w:tcW w:type="dxa" w:w="2769"/>
          </w:tcPr>
          <w:p>
            <w:pPr>
              <w:pStyle w:val="null3"/>
              <w:jc w:val="left"/>
            </w:pPr>
            <w:r>
              <w:rPr>
                <w:rFonts w:ascii="仿宋_GB2312" w:hAnsi="仿宋_GB2312" w:cs="仿宋_GB2312" w:eastAsia="仿宋_GB2312"/>
              </w:rPr>
              <w:t>41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扫描参数与图像重建-X-Y平面空间分辨率@0%MTF：≤0.23mm</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扫描参数与图像重建-低对比度分辨率：≤2mm@0.3％</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主控台计算机系统-操作系统：Windows</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主控台计算机系统-高性能计算机CPU：≥4核</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主控台计算机系统-主机内存：≥16GB</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主控台计算机系统-CD，DVD光盘刻录系统</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主控台计算机系统-标准DICOM3.0接口</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主控台计算机系统-不对称不规则图像打印编排</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主控台计算机系统-同步并行处理功能：扫描、重建、显示、存储、打印等操作可同步进行</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主控台计算机系统-自动语音系统及双向语音传输</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sz w:val="21"/>
              </w:rPr>
              <w:t>临床应用软件</w:t>
            </w:r>
            <w:r>
              <w:rPr>
                <w:rFonts w:ascii="仿宋_GB2312" w:hAnsi="仿宋_GB2312" w:cs="仿宋_GB2312" w:eastAsia="仿宋_GB2312"/>
                <w:sz w:val="21"/>
              </w:rPr>
              <w:t>-</w:t>
            </w:r>
            <w:r>
              <w:rPr>
                <w:rFonts w:ascii="仿宋_GB2312" w:hAnsi="仿宋_GB2312" w:cs="仿宋_GB2312" w:eastAsia="仿宋_GB2312"/>
                <w:sz w:val="21"/>
              </w:rPr>
              <w:t>基础软件功能</w:t>
            </w:r>
            <w:r>
              <w:rPr>
                <w:rFonts w:ascii="仿宋_GB2312" w:hAnsi="仿宋_GB2312" w:cs="仿宋_GB2312" w:eastAsia="仿宋_GB2312"/>
                <w:sz w:val="21"/>
              </w:rPr>
              <w:t>-2D</w:t>
            </w:r>
            <w:r>
              <w:rPr>
                <w:rFonts w:ascii="仿宋_GB2312" w:hAnsi="仿宋_GB2312" w:cs="仿宋_GB2312" w:eastAsia="仿宋_GB2312"/>
                <w:sz w:val="21"/>
              </w:rPr>
              <w:t>；</w:t>
            </w:r>
            <w:r>
              <w:rPr>
                <w:rFonts w:ascii="仿宋_GB2312" w:hAnsi="仿宋_GB2312" w:cs="仿宋_GB2312" w:eastAsia="仿宋_GB2312"/>
                <w:sz w:val="21"/>
              </w:rPr>
              <w:t>3D</w:t>
            </w:r>
            <w:r>
              <w:rPr>
                <w:rFonts w:ascii="仿宋_GB2312" w:hAnsi="仿宋_GB2312" w:cs="仿宋_GB2312" w:eastAsia="仿宋_GB2312"/>
                <w:sz w:val="21"/>
              </w:rPr>
              <w:t>；多平面重建</w:t>
            </w:r>
            <w:r>
              <w:rPr>
                <w:rFonts w:ascii="仿宋_GB2312" w:hAnsi="仿宋_GB2312" w:cs="仿宋_GB2312" w:eastAsia="仿宋_GB2312"/>
                <w:sz w:val="21"/>
              </w:rPr>
              <w:t>MPR</w:t>
            </w:r>
            <w:r>
              <w:rPr>
                <w:rFonts w:ascii="仿宋_GB2312" w:hAnsi="仿宋_GB2312" w:cs="仿宋_GB2312" w:eastAsia="仿宋_GB2312"/>
                <w:sz w:val="21"/>
              </w:rPr>
              <w:t>；实时</w:t>
            </w:r>
            <w:r>
              <w:rPr>
                <w:rFonts w:ascii="仿宋_GB2312" w:hAnsi="仿宋_GB2312" w:cs="仿宋_GB2312" w:eastAsia="仿宋_GB2312"/>
                <w:sz w:val="21"/>
              </w:rPr>
              <w:t>MPR</w:t>
            </w:r>
            <w:r>
              <w:rPr>
                <w:rFonts w:ascii="仿宋_GB2312" w:hAnsi="仿宋_GB2312" w:cs="仿宋_GB2312" w:eastAsia="仿宋_GB2312"/>
                <w:sz w:val="21"/>
              </w:rPr>
              <w:t>；曲面重建</w:t>
            </w:r>
            <w:r>
              <w:rPr>
                <w:rFonts w:ascii="仿宋_GB2312" w:hAnsi="仿宋_GB2312" w:cs="仿宋_GB2312" w:eastAsia="仿宋_GB2312"/>
                <w:sz w:val="21"/>
              </w:rPr>
              <w:t>CPR</w:t>
            </w:r>
            <w:r>
              <w:rPr>
                <w:rFonts w:ascii="仿宋_GB2312" w:hAnsi="仿宋_GB2312" w:cs="仿宋_GB2312" w:eastAsia="仿宋_GB2312"/>
                <w:sz w:val="21"/>
              </w:rPr>
              <w:t>；最大密度投影</w:t>
            </w:r>
            <w:r>
              <w:rPr>
                <w:rFonts w:ascii="仿宋_GB2312" w:hAnsi="仿宋_GB2312" w:cs="仿宋_GB2312" w:eastAsia="仿宋_GB2312"/>
                <w:sz w:val="21"/>
              </w:rPr>
              <w:t>MIP</w:t>
            </w:r>
            <w:r>
              <w:rPr>
                <w:rFonts w:ascii="仿宋_GB2312" w:hAnsi="仿宋_GB2312" w:cs="仿宋_GB2312" w:eastAsia="仿宋_GB2312"/>
                <w:sz w:val="21"/>
              </w:rPr>
              <w:t>；最小密度投影</w:t>
            </w:r>
            <w:r>
              <w:rPr>
                <w:rFonts w:ascii="仿宋_GB2312" w:hAnsi="仿宋_GB2312" w:cs="仿宋_GB2312" w:eastAsia="仿宋_GB2312"/>
                <w:sz w:val="21"/>
              </w:rPr>
              <w:t>MinIP</w:t>
            </w:r>
            <w:r>
              <w:rPr>
                <w:rFonts w:ascii="仿宋_GB2312" w:hAnsi="仿宋_GB2312" w:cs="仿宋_GB2312" w:eastAsia="仿宋_GB2312"/>
                <w:sz w:val="21"/>
              </w:rPr>
              <w:t>；平均密度投影</w:t>
            </w:r>
            <w:r>
              <w:rPr>
                <w:rFonts w:ascii="仿宋_GB2312" w:hAnsi="仿宋_GB2312" w:cs="仿宋_GB2312" w:eastAsia="仿宋_GB2312"/>
                <w:sz w:val="21"/>
              </w:rPr>
              <w:t>AIP</w:t>
            </w:r>
            <w:r>
              <w:rPr>
                <w:rFonts w:ascii="仿宋_GB2312" w:hAnsi="仿宋_GB2312" w:cs="仿宋_GB2312" w:eastAsia="仿宋_GB2312"/>
                <w:sz w:val="21"/>
              </w:rPr>
              <w:t>；表面遮盖显示</w:t>
            </w:r>
            <w:r>
              <w:rPr>
                <w:rFonts w:ascii="仿宋_GB2312" w:hAnsi="仿宋_GB2312" w:cs="仿宋_GB2312" w:eastAsia="仿宋_GB2312"/>
                <w:sz w:val="21"/>
              </w:rPr>
              <w:t>SSD</w:t>
            </w:r>
            <w:r>
              <w:rPr>
                <w:rFonts w:ascii="仿宋_GB2312" w:hAnsi="仿宋_GB2312" w:cs="仿宋_GB2312" w:eastAsia="仿宋_GB2312"/>
                <w:sz w:val="21"/>
              </w:rPr>
              <w:t>；三维容积显示</w:t>
            </w:r>
            <w:r>
              <w:rPr>
                <w:rFonts w:ascii="仿宋_GB2312" w:hAnsi="仿宋_GB2312" w:cs="仿宋_GB2312" w:eastAsia="仿宋_GB2312"/>
                <w:sz w:val="21"/>
              </w:rPr>
              <w:t>VR</w:t>
            </w:r>
            <w:r>
              <w:rPr>
                <w:rFonts w:ascii="仿宋_GB2312" w:hAnsi="仿宋_GB2312" w:cs="仿宋_GB2312" w:eastAsia="仿宋_GB2312"/>
                <w:sz w:val="21"/>
              </w:rPr>
              <w:t>；透明显示骨骼功能；模拟手术刀技术；</w:t>
            </w:r>
            <w:r>
              <w:rPr>
                <w:rFonts w:ascii="仿宋_GB2312" w:hAnsi="仿宋_GB2312" w:cs="仿宋_GB2312" w:eastAsia="仿宋_GB2312"/>
                <w:sz w:val="21"/>
              </w:rPr>
              <w:t>1024</w:t>
            </w:r>
            <w:r>
              <w:rPr>
                <w:rFonts w:ascii="仿宋_GB2312" w:hAnsi="仿宋_GB2312" w:cs="仿宋_GB2312" w:eastAsia="仿宋_GB2312"/>
                <w:sz w:val="21"/>
              </w:rPr>
              <w:t>大矩阵重建：用于清晰的显示内耳等精细结构，及小病变；轮廓分割功能：能够自定义感兴趣区域的轮廓，并分割出来；肝脏三期扫描技术：具备</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临床应用软件-基础软件功能-CT血管造影技术：具备</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临床应用软件-基础软件功能-CT尿路造影技术：具备</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临床应用软件-其他功能-虚拟内窥镜功能：具备</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临床应用软件-其他功能-低剂量扫描技术：具备</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临床应用软件-其他功能-肺结节分析：具备</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临床应用软件-其他功能-灌注功能：具备</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临床应用软件-其他功能-去伪影技术：具备</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临床应用软件-其他功能-最新迭代降噪技术：具备</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临床应用软件-其他功能-CT能谱成像技术：具备</w:t>
            </w:r>
          </w:p>
        </w:tc>
      </w:tr>
      <w:tr>
        <w:tc>
          <w:tcPr>
            <w:tcW w:type="dxa" w:w="2769"/>
          </w:tcPr>
          <w:p>
            <w:pPr>
              <w:pStyle w:val="null3"/>
              <w:jc w:val="left"/>
            </w:pPr>
            <w:r>
              <w:rPr>
                <w:rFonts w:ascii="仿宋_GB2312" w:hAnsi="仿宋_GB2312" w:cs="仿宋_GB2312" w:eastAsia="仿宋_GB2312"/>
              </w:rPr>
              <w:t>61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配置要求-X光系统1套</w:t>
            </w:r>
          </w:p>
        </w:tc>
      </w:tr>
      <w:tr>
        <w:tc>
          <w:tcPr>
            <w:tcW w:type="dxa" w:w="2769"/>
          </w:tcPr>
          <w:p>
            <w:pPr>
              <w:pStyle w:val="null3"/>
              <w:jc w:val="left"/>
            </w:pPr>
            <w:r>
              <w:rPr>
                <w:rFonts w:ascii="仿宋_GB2312" w:hAnsi="仿宋_GB2312" w:cs="仿宋_GB2312" w:eastAsia="仿宋_GB2312"/>
              </w:rPr>
              <w:t>62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要求-探测器系统1套</w:t>
            </w:r>
          </w:p>
        </w:tc>
      </w:tr>
      <w:tr>
        <w:tc>
          <w:tcPr>
            <w:tcW w:type="dxa" w:w="2769"/>
          </w:tcPr>
          <w:p>
            <w:pPr>
              <w:pStyle w:val="null3"/>
              <w:jc w:val="left"/>
            </w:pPr>
            <w:r>
              <w:rPr>
                <w:rFonts w:ascii="仿宋_GB2312" w:hAnsi="仿宋_GB2312" w:cs="仿宋_GB2312" w:eastAsia="仿宋_GB2312"/>
              </w:rPr>
              <w:t>63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要求-高压发生器1套</w:t>
            </w:r>
          </w:p>
        </w:tc>
      </w:tr>
      <w:tr>
        <w:tc>
          <w:tcPr>
            <w:tcW w:type="dxa" w:w="2769"/>
          </w:tcPr>
          <w:p>
            <w:pPr>
              <w:pStyle w:val="null3"/>
              <w:jc w:val="left"/>
            </w:pPr>
            <w:r>
              <w:rPr>
                <w:rFonts w:ascii="仿宋_GB2312" w:hAnsi="仿宋_GB2312" w:cs="仿宋_GB2312" w:eastAsia="仿宋_GB2312"/>
              </w:rPr>
              <w:t>64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w:t>
            </w:r>
            <w:r>
              <w:rPr>
                <w:rFonts w:ascii="仿宋_GB2312" w:hAnsi="仿宋_GB2312" w:cs="仿宋_GB2312" w:eastAsia="仿宋_GB2312"/>
                <w:sz w:val="21"/>
              </w:rPr>
              <w:t>置要求-扫描床1套</w:t>
            </w:r>
          </w:p>
        </w:tc>
      </w:tr>
      <w:tr>
        <w:tc>
          <w:tcPr>
            <w:tcW w:type="dxa" w:w="2769"/>
          </w:tcPr>
          <w:p>
            <w:pPr>
              <w:pStyle w:val="null3"/>
              <w:jc w:val="left"/>
            </w:pPr>
            <w:r>
              <w:rPr>
                <w:rFonts w:ascii="仿宋_GB2312" w:hAnsi="仿宋_GB2312" w:cs="仿宋_GB2312" w:eastAsia="仿宋_GB2312"/>
              </w:rPr>
              <w:t>65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配置要求</w:t>
            </w:r>
            <w:r>
              <w:rPr>
                <w:rFonts w:ascii="仿宋_GB2312" w:hAnsi="仿宋_GB2312" w:cs="仿宋_GB2312" w:eastAsia="仿宋_GB2312"/>
                <w:sz w:val="21"/>
              </w:rPr>
              <w:t>-操作控制台1套</w:t>
            </w:r>
          </w:p>
        </w:tc>
      </w:tr>
      <w:tr>
        <w:tc>
          <w:tcPr>
            <w:tcW w:type="dxa" w:w="2769"/>
          </w:tcPr>
          <w:p>
            <w:pPr>
              <w:pStyle w:val="null3"/>
              <w:jc w:val="left"/>
            </w:pPr>
            <w:r>
              <w:rPr>
                <w:rFonts w:ascii="仿宋_GB2312" w:hAnsi="仿宋_GB2312" w:cs="仿宋_GB2312" w:eastAsia="仿宋_GB2312"/>
              </w:rPr>
              <w:t>66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配置要</w:t>
            </w:r>
            <w:r>
              <w:rPr>
                <w:rFonts w:ascii="仿宋_GB2312" w:hAnsi="仿宋_GB2312" w:cs="仿宋_GB2312" w:eastAsia="仿宋_GB2312"/>
                <w:sz w:val="21"/>
              </w:rPr>
              <w:t>求-临床应用软件1套</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b/>
                <w:color w:val="000000"/>
              </w:rPr>
              <w:t>（一）交货期及交货地点</w:t>
            </w:r>
          </w:p>
          <w:p>
            <w:pPr>
              <w:pStyle w:val="null3"/>
              <w:ind w:firstLine="480"/>
              <w:jc w:val="left"/>
            </w:pPr>
            <w:r>
              <w:rPr>
                <w:rFonts w:ascii="仿宋_GB2312" w:hAnsi="仿宋_GB2312" w:cs="仿宋_GB2312" w:eastAsia="仿宋_GB2312"/>
                <w:sz w:val="24"/>
                <w:color w:val="000000"/>
              </w:rPr>
              <w:t>1.交货期：</w:t>
            </w:r>
            <w:r>
              <w:rPr>
                <w:rFonts w:ascii="仿宋_GB2312" w:hAnsi="仿宋_GB2312" w:cs="仿宋_GB2312" w:eastAsia="仿宋_GB2312"/>
                <w:sz w:val="21"/>
              </w:rPr>
              <w:t>合同签订之日起</w:t>
            </w:r>
            <w:r>
              <w:rPr>
                <w:rFonts w:ascii="仿宋_GB2312" w:hAnsi="仿宋_GB2312" w:cs="仿宋_GB2312" w:eastAsia="仿宋_GB2312"/>
                <w:sz w:val="21"/>
              </w:rPr>
              <w:t>60</w:t>
            </w:r>
            <w:r>
              <w:rPr>
                <w:rFonts w:ascii="仿宋_GB2312" w:hAnsi="仿宋_GB2312" w:cs="仿宋_GB2312" w:eastAsia="仿宋_GB2312"/>
                <w:sz w:val="21"/>
              </w:rPr>
              <w:t>日历天内完成供货</w:t>
            </w:r>
          </w:p>
          <w:p>
            <w:pPr>
              <w:pStyle w:val="null3"/>
              <w:ind w:firstLine="480"/>
              <w:jc w:val="left"/>
            </w:pPr>
            <w:r>
              <w:rPr>
                <w:rFonts w:ascii="仿宋_GB2312" w:hAnsi="仿宋_GB2312" w:cs="仿宋_GB2312" w:eastAsia="仿宋_GB2312"/>
                <w:sz w:val="24"/>
                <w:color w:val="000000"/>
              </w:rPr>
              <w:t xml:space="preserve">2.履约地点(交货地点):海南省康复医院        </w:t>
            </w:r>
          </w:p>
          <w:p>
            <w:pPr>
              <w:pStyle w:val="null3"/>
              <w:jc w:val="left"/>
            </w:pPr>
            <w:r>
              <w:rPr>
                <w:rFonts w:ascii="仿宋_GB2312" w:hAnsi="仿宋_GB2312" w:cs="仿宋_GB2312" w:eastAsia="仿宋_GB2312"/>
                <w:sz w:val="24"/>
                <w:b/>
                <w:color w:val="000000"/>
              </w:rPr>
              <w:t>（二）安装验收</w:t>
            </w:r>
          </w:p>
          <w:p>
            <w:pPr>
              <w:pStyle w:val="null3"/>
              <w:ind w:firstLine="480"/>
              <w:jc w:val="left"/>
            </w:pPr>
            <w:r>
              <w:rPr>
                <w:rFonts w:ascii="仿宋_GB2312" w:hAnsi="仿宋_GB2312" w:cs="仿宋_GB2312" w:eastAsia="仿宋_GB2312"/>
                <w:sz w:val="24"/>
                <w:color w:val="000000"/>
              </w:rPr>
              <w:t>1.本项目为整体性交钥匙工程。中标供应商负责在医院提供的房间场地条件下，完成包括但不限于场地评估、机房承重加固、机房建设(包括机房屏蔽设施建设、机房和操作间整体装修、提供机房电缆及铺设、机房空调及安装等)，以及负责医院办理项目涉及的环境影响评价、职业病危害预评价和职业病危害控制评价等国家法规要求办理的相关手续(达到安装要求，交钥匙给科室直接使用的标准，同时通过有资质检测公司的检测，检测合格后并出具设备及机房检测报告)。所有建设费用由中标供应商负责，医院相关部门协助完成建设。</w:t>
            </w:r>
          </w:p>
          <w:p>
            <w:pPr>
              <w:pStyle w:val="null3"/>
              <w:ind w:firstLine="480"/>
              <w:jc w:val="left"/>
            </w:pPr>
            <w:r>
              <w:rPr>
                <w:rFonts w:ascii="仿宋_GB2312" w:hAnsi="仿宋_GB2312" w:cs="仿宋_GB2312" w:eastAsia="仿宋_GB2312"/>
                <w:sz w:val="24"/>
                <w:color w:val="000000"/>
              </w:rPr>
              <w:t>2.货物到达现场后，供应商在使用单位人员在场情况下当面开箱，共同清点、检查外观，作出开箱记录，双方签字确认。</w:t>
            </w:r>
          </w:p>
          <w:p>
            <w:pPr>
              <w:pStyle w:val="null3"/>
              <w:ind w:firstLine="480"/>
              <w:jc w:val="left"/>
            </w:pPr>
            <w:r>
              <w:rPr>
                <w:rFonts w:ascii="仿宋_GB2312" w:hAnsi="仿宋_GB2312" w:cs="仿宋_GB2312" w:eastAsia="仿宋_GB2312"/>
                <w:sz w:val="24"/>
                <w:color w:val="000000"/>
              </w:rPr>
              <w:t>3.供应商保证货物到达用户所在地完好无损，如有缺漏、损坏，由供应商在7 日内负责调换或补齐；由此给采购人造成损失的，应当承担相应的赔偿责任。</w:t>
            </w:r>
          </w:p>
          <w:p>
            <w:pPr>
              <w:pStyle w:val="null3"/>
              <w:ind w:firstLine="480"/>
              <w:jc w:val="left"/>
            </w:pPr>
            <w:r>
              <w:rPr>
                <w:rFonts w:ascii="仿宋_GB2312" w:hAnsi="仿宋_GB2312" w:cs="仿宋_GB2312" w:eastAsia="仿宋_GB2312"/>
                <w:sz w:val="24"/>
                <w:color w:val="000000"/>
              </w:rPr>
              <w:t>4.自中标通知书送达中标单位之日起5个工作日内，中标单位须向采购方提供加盖制造商鲜章的技术支持证明材料。技术支持证明材料需完整、准确，能充分体现产品技术参数、性能指标等信息，技术支持资料包括以下任意一种形式：</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1）投标货物制造商公开发布的印刷资料；</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2）检测机构出具的检测报告；</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3）技术参数确认函；</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4）产品彩页；</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5）产品白皮书。</w:t>
            </w:r>
          </w:p>
          <w:p>
            <w:pPr>
              <w:pStyle w:val="null3"/>
              <w:ind w:firstLine="48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如未按时、按要求提交，视为投标人自动放弃中标资格，采购单位有权重新组织评审或确定其他中标候选人。</w:t>
            </w:r>
          </w:p>
          <w:p>
            <w:pPr>
              <w:pStyle w:val="null3"/>
              <w:jc w:val="left"/>
            </w:pP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color w:val="000000"/>
              </w:rPr>
              <w:t>5.供应商派遣专业技术人员进行现场安装调试。验收合格条件如下：</w:t>
            </w:r>
          </w:p>
          <w:p>
            <w:pPr>
              <w:pStyle w:val="null3"/>
              <w:ind w:firstLine="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1）设备技术参数与采购合同一致，性能指标达到规定的标准。</w:t>
            </w:r>
          </w:p>
          <w:p>
            <w:pPr>
              <w:pStyle w:val="null3"/>
              <w:ind w:firstLine="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2）货物技术资料、装箱单、合格证资料齐全。</w:t>
            </w:r>
          </w:p>
          <w:p>
            <w:pPr>
              <w:pStyle w:val="null3"/>
              <w:ind w:firstLine="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3）在系统试运行期间所出现的问题当日得到解决，并运行正常。</w:t>
            </w:r>
          </w:p>
          <w:p>
            <w:pPr>
              <w:pStyle w:val="null3"/>
              <w:ind w:firstLine="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4）在规定时间内完成交货并验收，并经采购人确认。</w:t>
            </w:r>
          </w:p>
          <w:p>
            <w:pPr>
              <w:pStyle w:val="null3"/>
              <w:ind w:firstLine="480"/>
              <w:jc w:val="left"/>
            </w:pPr>
            <w:r>
              <w:rPr>
                <w:rFonts w:ascii="仿宋_GB2312" w:hAnsi="仿宋_GB2312" w:cs="仿宋_GB2312" w:eastAsia="仿宋_GB2312"/>
                <w:sz w:val="24"/>
                <w:color w:val="000000"/>
              </w:rPr>
              <w:t>6.软件产品在安装调试并试运行符合要求后，才作为最终验收。</w:t>
            </w:r>
          </w:p>
          <w:p>
            <w:pPr>
              <w:pStyle w:val="null3"/>
              <w:ind w:firstLine="480"/>
              <w:jc w:val="left"/>
            </w:pPr>
            <w:r>
              <w:rPr>
                <w:rFonts w:ascii="仿宋_GB2312" w:hAnsi="仿宋_GB2312" w:cs="仿宋_GB2312" w:eastAsia="仿宋_GB2312"/>
                <w:sz w:val="24"/>
                <w:color w:val="000000"/>
              </w:rPr>
              <w:t>7.供应商提供的货物未达到采购文件规定要求，且对采购人造成损失的，由供应商承担一切责任，并赔偿所造成的损失。</w:t>
            </w:r>
          </w:p>
          <w:p>
            <w:pPr>
              <w:pStyle w:val="null3"/>
              <w:ind w:firstLine="480"/>
              <w:jc w:val="left"/>
            </w:pPr>
            <w:r>
              <w:rPr>
                <w:rFonts w:ascii="仿宋_GB2312" w:hAnsi="仿宋_GB2312" w:cs="仿宋_GB2312" w:eastAsia="仿宋_GB2312"/>
                <w:sz w:val="24"/>
                <w:color w:val="000000"/>
              </w:rPr>
              <w:t>8.大型或者复杂的政府采购项目，采购人有权邀请国家认可的质量检测机构</w:t>
            </w:r>
          </w:p>
          <w:p>
            <w:pPr>
              <w:pStyle w:val="null3"/>
              <w:jc w:val="left"/>
            </w:pPr>
            <w:r>
              <w:rPr>
                <w:rFonts w:ascii="仿宋_GB2312" w:hAnsi="仿宋_GB2312" w:cs="仿宋_GB2312" w:eastAsia="仿宋_GB2312"/>
                <w:sz w:val="24"/>
                <w:color w:val="000000"/>
              </w:rPr>
              <w:t>参加验收工作。</w:t>
            </w:r>
          </w:p>
          <w:p>
            <w:pPr>
              <w:pStyle w:val="null3"/>
              <w:ind w:firstLine="480"/>
              <w:jc w:val="left"/>
            </w:pPr>
            <w:r>
              <w:rPr>
                <w:rFonts w:ascii="仿宋_GB2312" w:hAnsi="仿宋_GB2312" w:cs="仿宋_GB2312" w:eastAsia="仿宋_GB2312"/>
                <w:sz w:val="24"/>
                <w:color w:val="000000"/>
              </w:rPr>
              <w:t>9.采购人需要厂家对供应商交付的产品（包括质量、技术参数等）进行确认的，厂家应予以配合，并出具书面意见。</w:t>
            </w:r>
          </w:p>
          <w:p>
            <w:pPr>
              <w:pStyle w:val="null3"/>
              <w:ind w:firstLine="480"/>
              <w:jc w:val="left"/>
            </w:pPr>
            <w:r>
              <w:rPr>
                <w:rFonts w:ascii="仿宋_GB2312" w:hAnsi="仿宋_GB2312" w:cs="仿宋_GB2312" w:eastAsia="仿宋_GB2312"/>
                <w:sz w:val="24"/>
                <w:color w:val="000000"/>
              </w:rPr>
              <w:t>10.供应商做好货物纸箱、木板等垃圾杂物的清洁工作，产生的费用由供应商负责。</w:t>
            </w:r>
          </w:p>
          <w:p>
            <w:pPr>
              <w:pStyle w:val="null3"/>
              <w:ind w:firstLine="480"/>
              <w:jc w:val="left"/>
            </w:pPr>
            <w:r>
              <w:rPr>
                <w:rFonts w:ascii="仿宋_GB2312" w:hAnsi="仿宋_GB2312" w:cs="仿宋_GB2312" w:eastAsia="仿宋_GB2312"/>
                <w:sz w:val="24"/>
                <w:color w:val="000000"/>
              </w:rPr>
              <w:t>11.供应商提供的设备安装调试除采购需求的货物技术参数外，还需满足采购人使用科室相关需求，并确保整体通过验收。</w:t>
            </w:r>
          </w:p>
          <w:p>
            <w:pPr>
              <w:pStyle w:val="null3"/>
              <w:jc w:val="both"/>
            </w:pPr>
            <w:r>
              <w:rPr>
                <w:rFonts w:ascii="仿宋_GB2312" w:hAnsi="仿宋_GB2312" w:cs="仿宋_GB2312" w:eastAsia="仿宋_GB2312"/>
                <w:sz w:val="24"/>
                <w:color w:val="000000"/>
              </w:rPr>
              <w:t xml:space="preserve">  12.验收过程所发生的一切费用（如运费、税费、安装调试、培训费等）由供应商承担。</w:t>
            </w:r>
          </w:p>
          <w:p>
            <w:pPr>
              <w:pStyle w:val="null3"/>
              <w:ind w:firstLine="480"/>
              <w:jc w:val="left"/>
            </w:pPr>
            <w:r>
              <w:rPr>
                <w:rFonts w:ascii="仿宋_GB2312" w:hAnsi="仿宋_GB2312" w:cs="仿宋_GB2312" w:eastAsia="仿宋_GB2312"/>
                <w:sz w:val="24"/>
                <w:b/>
                <w:color w:val="000000"/>
              </w:rPr>
              <w:t>（三）质量保证和售后服务</w:t>
            </w:r>
          </w:p>
          <w:p>
            <w:pPr>
              <w:pStyle w:val="null3"/>
              <w:jc w:val="left"/>
            </w:pPr>
            <w:r>
              <w:rPr>
                <w:rFonts w:ascii="仿宋_GB2312" w:hAnsi="仿宋_GB2312" w:cs="仿宋_GB2312" w:eastAsia="仿宋_GB2312"/>
                <w:sz w:val="24"/>
                <w:b/>
                <w:color w:val="000000"/>
              </w:rPr>
              <w:t>3.1 售后服务要求：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1）中标方交货时提供本项目售后服务承诺书和生产厂商的产品质量保证书。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质量保证期自设备安装调试双方签署验收文件之日起计算。若合同约定的质保期与产品质保期不一致的，以较长的质保期提供质保服务。质保期内，中标方及生产厂商需定期对产品进行巡检。终身提供维护，超过质保期的维护，中标方仅收取成本费用。</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3）中标方应具有可靠的售后服务保障，包括但不限于在海口市内有固定的维修服务点，能提供正常的技术、备品备件服务。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4）中标方设有 24 小时服务热线，接到故障电话后保证在 8 小时内给予响应，一般故障在 12 小时内解决，特殊类型故障不超过 24 小时。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5）在保修期内，同一产品、同一质量问题，连续两次维修仍无法正常使用，中标方必须予以更换同品牌、同型号全新装备器材或者性能更加高级的替代产品。</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color w:val="000000"/>
              </w:rPr>
              <w:t>3.1.2 培训要求：产品安装调试完毕后，中标方应免费负责提供产品的操作规程、日常维护保养规程和维修培训，并提供培训资料。</w:t>
            </w:r>
          </w:p>
          <w:p>
            <w:pPr>
              <w:pStyle w:val="null3"/>
              <w:ind w:firstLine="480"/>
              <w:jc w:val="left"/>
            </w:pPr>
            <w:r>
              <w:rPr>
                <w:rFonts w:ascii="仿宋_GB2312" w:hAnsi="仿宋_GB2312" w:cs="仿宋_GB2312" w:eastAsia="仿宋_GB2312"/>
                <w:sz w:val="24"/>
                <w:color w:val="000000"/>
              </w:rPr>
              <w:t>3.1.3 技术服务要求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1）设备零备件供应：应保证终身提供该设备的所有维修零备件。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2）安装调试：由生产厂商有经验的工程技术人员实施，甲方有权给予监督。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3）技术服务：免费提供全面的机房结构、水电线路等设计图纸的技术服务。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4）系统升级：提供终身免费系统升级的升级服务。</w:t>
            </w:r>
          </w:p>
          <w:p>
            <w:pPr>
              <w:pStyle w:val="null3"/>
              <w:jc w:val="left"/>
            </w:pPr>
            <w:r>
              <w:rPr>
                <w:rFonts w:ascii="仿宋_GB2312" w:hAnsi="仿宋_GB2312" w:cs="仿宋_GB2312" w:eastAsia="仿宋_GB2312"/>
                <w:sz w:val="24"/>
                <w:b/>
                <w:color w:val="000000"/>
              </w:rPr>
              <w:t>3.2 质量保证</w:t>
            </w:r>
          </w:p>
          <w:p>
            <w:pPr>
              <w:pStyle w:val="null3"/>
              <w:ind w:firstLine="480"/>
              <w:jc w:val="left"/>
            </w:pPr>
            <w:r>
              <w:rPr>
                <w:rFonts w:ascii="仿宋_GB2312" w:hAnsi="仿宋_GB2312" w:cs="仿宋_GB2312" w:eastAsia="仿宋_GB2312"/>
                <w:sz w:val="24"/>
                <w:color w:val="000000"/>
              </w:rPr>
              <w:t>3.2.1 中标方应保证所供货物是全新的、未使用过的，并完全符合合同约定的质量、规格和性能的要求。中标方应保证其货物最终交付验收合格后的质量保证期，中标方应对由于设计、工艺或材料的缺陷而产生的故障负责。</w:t>
            </w:r>
          </w:p>
          <w:p>
            <w:pPr>
              <w:pStyle w:val="null3"/>
              <w:ind w:firstLine="480"/>
              <w:jc w:val="left"/>
            </w:pPr>
            <w:r>
              <w:rPr>
                <w:rFonts w:ascii="仿宋_GB2312" w:hAnsi="仿宋_GB2312" w:cs="仿宋_GB2312" w:eastAsia="仿宋_GB2312"/>
                <w:sz w:val="24"/>
                <w:color w:val="000000"/>
              </w:rPr>
              <w:t>3.2.2 在质量保证期内，如果货物的质量或规格与合同不符，或证实货物是有缺陷的，包括潜在的缺陷或使用不符合要求的材料等，甲方根据本合同约定的有关追责条款以书面形式向中标方提出补救措施或索赔。</w:t>
            </w:r>
          </w:p>
          <w:p>
            <w:pPr>
              <w:pStyle w:val="null3"/>
              <w:ind w:firstLine="480"/>
              <w:jc w:val="left"/>
            </w:pPr>
            <w:r>
              <w:rPr>
                <w:rFonts w:ascii="仿宋_GB2312" w:hAnsi="仿宋_GB2312" w:cs="仿宋_GB2312" w:eastAsia="仿宋_GB2312"/>
                <w:sz w:val="24"/>
                <w:color w:val="000000"/>
              </w:rPr>
              <w:t>3.2.3 中标方在约定的时间内未能弥补缺陷，甲方可采取必要的补救措施，但其风险和费用将由中标方承担，甲方根据合同约定对中标方行使的其他权利不受影响。</w:t>
            </w:r>
          </w:p>
          <w:p>
            <w:pPr>
              <w:pStyle w:val="null3"/>
              <w:jc w:val="left"/>
            </w:pPr>
            <w:r>
              <w:rPr>
                <w:rFonts w:ascii="仿宋_GB2312" w:hAnsi="仿宋_GB2312" w:cs="仿宋_GB2312" w:eastAsia="仿宋_GB2312"/>
                <w:sz w:val="24"/>
                <w:b/>
                <w:color w:val="000000"/>
              </w:rPr>
              <w:t>（四）免费质保期</w:t>
            </w:r>
          </w:p>
          <w:p>
            <w:pPr>
              <w:pStyle w:val="null3"/>
              <w:jc w:val="both"/>
            </w:pPr>
            <w:r>
              <w:rPr>
                <w:rFonts w:ascii="仿宋_GB2312" w:hAnsi="仿宋_GB2312" w:cs="仿宋_GB2312" w:eastAsia="仿宋_GB2312"/>
                <w:sz w:val="24"/>
                <w:color w:val="000000"/>
              </w:rPr>
              <w:t xml:space="preserve">  每台设备免费质保期为</w:t>
            </w:r>
            <w:r>
              <w:rPr>
                <w:rFonts w:ascii="仿宋_GB2312" w:hAnsi="仿宋_GB2312" w:cs="仿宋_GB2312" w:eastAsia="仿宋_GB2312"/>
                <w:sz w:val="24"/>
                <w:color w:val="000000"/>
              </w:rPr>
              <w:t>3 年全保，若设备原厂免费质保时间超过 3 年，则以原厂质保时间为准。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资质要求</w:t>
            </w:r>
          </w:p>
        </w:tc>
        <w:tc>
          <w:tcPr>
            <w:tcW w:type="dxa" w:w="3322"/>
          </w:tcPr>
          <w:p>
            <w:pPr>
              <w:pStyle w:val="null3"/>
              <w:jc w:val="left"/>
            </w:pPr>
            <w:r>
              <w:rPr>
                <w:rFonts w:ascii="仿宋_GB2312" w:hAnsi="仿宋_GB2312" w:cs="仿宋_GB2312" w:eastAsia="仿宋_GB2312"/>
              </w:rPr>
              <w:t>（1）、如投标人不是所投货物的生产厂家，属于三类医疗器械的投标人须具有医疗器械经营企业许可证，属于二类医疗器械的投标人须具有医疗器械经营企业备案登记凭证或系统备案的二类医疗器械经营备案资料。（提供证书扫描件加盖公章） （2）、所投货物属于二、三类医疗器械产品的须具有医疗器械注册证、医疗器械生产 许可证（进口设备除外），属于一类医疗器械产品的须具有产品备案登记凭证。（提供证书扫描件加盖公章）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其他材料 投标函 残疾人福利性单位声明函 供应商应提交的相关证明材料 无重大违法记录声明函 法定代表人资格证明书或法定代表人授权委托书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按要求提供供应商自觉抵制政府采购领域商业贿赂行为承诺书、法定代表人资格证明书（或法定代表人授权委托书）、投标函。</w:t>
            </w:r>
          </w:p>
        </w:tc>
        <w:tc>
          <w:tcPr>
            <w:tcW w:type="dxa" w:w="1661"/>
          </w:tcPr>
          <w:p>
            <w:pPr>
              <w:pStyle w:val="null3"/>
              <w:jc w:val="left"/>
            </w:pPr>
            <w:r>
              <w:rPr>
                <w:rFonts w:ascii="仿宋_GB2312" w:hAnsi="仿宋_GB2312" w:cs="仿宋_GB2312" w:eastAsia="仿宋_GB2312"/>
              </w:rPr>
              <w:t>投标函 自觉抵制政府采购领域商业贿赂行为承诺书 法定代表人资格证明书或法定代表人授权委托书 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其他材料 投标函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w:t>
            </w:r>
          </w:p>
        </w:tc>
        <w:tc>
          <w:tcPr>
            <w:tcW w:type="dxa" w:w="2492"/>
          </w:tcPr>
          <w:p>
            <w:pPr>
              <w:pStyle w:val="null3"/>
              <w:jc w:val="both"/>
            </w:pPr>
            <w:r>
              <w:rPr>
                <w:rFonts w:ascii="仿宋_GB2312" w:hAnsi="仿宋_GB2312" w:cs="仿宋_GB2312" w:eastAsia="仿宋_GB2312"/>
              </w:rPr>
              <w:t>技术参数要求中带“▲”条款共10项，每一项不满足扣3分；非“▲”“★”条款共50项，每一项不满足扣0.2分。 注:涉及具体参数的技术要求，投标人均需如实响应并按要求提供技术支持资料(复印件加盖投标单位公章)作为评审依据，技术支持资料包括以下任意一种形式: (1)投标货物制造商公开发布的印刷资料; (2)检测机构出具的检测报告; (3)产品彩页; (4)制造商盖章的产品白皮书; (5)相关证书或其他有效的证明材料。</w:t>
            </w:r>
          </w:p>
        </w:tc>
        <w:tc>
          <w:tcPr>
            <w:tcW w:type="dxa" w:w="831"/>
          </w:tcPr>
          <w:p>
            <w:pPr>
              <w:pStyle w:val="null3"/>
              <w:jc w:val="right"/>
            </w:pPr>
            <w:r>
              <w:rPr>
                <w:rFonts w:ascii="仿宋_GB2312" w:hAnsi="仿宋_GB2312" w:cs="仿宋_GB2312" w:eastAsia="仿宋_GB2312"/>
              </w:rPr>
              <w:t>40.00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供货保证措施方案</w:t>
            </w:r>
          </w:p>
        </w:tc>
        <w:tc>
          <w:tcPr>
            <w:tcW w:type="dxa" w:w="2492"/>
          </w:tcPr>
          <w:p>
            <w:pPr>
              <w:pStyle w:val="null3"/>
              <w:jc w:val="both"/>
            </w:pPr>
            <w:r>
              <w:rPr>
                <w:rFonts w:ascii="仿宋_GB2312" w:hAnsi="仿宋_GB2312" w:cs="仿宋_GB2312" w:eastAsia="仿宋_GB2312"/>
              </w:rPr>
              <w:t>根据投标人提供的供货质量保证措施方案进行比较评分，供货质量保证措施方案应包含供货流程、到货安装、调试校验、验收及人员培训等内容。 方案内容详细完整、思路清晰、结构合理、易于落实得6分。 方案内容完整、思路比较清晰、可行性一般得4分； 方案内容不完整、条理不清、可行性差得2分。 无方案得0分。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根据投标人提供的售后服务方案进行比较评分： 内容完整，方案科学合理、详细具体、有针对性、可行性强的，得6分； 内容完整，方案科学合理、有一定针对性、具有可行性的，得4分； 内容基本完整，方案基本合理、无针对性、基本可行性的，得2分； 内容不完整，方案不合理，表述混乱、缺乏可行性的，得0分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根据投标人提供的备品备件情况及供应方案进行比较评分： 内容完整，方案科学合理、详细具体、有针对性、可行性强的，得6分； 内容完整，方案科学合理、有一定针对性、具有可行性的，得4分； 内容基本完整，方案基本合理、无针对性、基本可行性的，得2分； 内容不完整，方案不合理，表述混乱、缺乏可行性的，得0分。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根据投标人提供的售后培训方案进行比较评分： 内容完整，方案科学合理、详细具体、有针对性、可行性强的，得6分； 内容完整，方案科学合理、有一定针对性、具有可行性的，得4分； 内容基本完整，方案基本合理、无针对性、基本可行性的，得2分； 内容不完整，方案不合理，表述混乱、缺乏可行性的，得0分。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根据投标人提供的应急保障方案进行比较评分： 内容完整，方案科学合理、详细具体、有针对性、可行性强的，得6分； 内容完整，方案科学合理、有一定针对性、具有可行性的，得4分； 内容基本完整，方案基本合理、无针对性、基本可行性的，得2分； 内容不完整，方案不合理，表述混乱、缺乏可行性的，得0分。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HNQJX-2025-940</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省直医疗卫生机构购置CT机</w:t>
      </w:r>
    </w:p>
    <w:p>
      <w:pPr>
        <w:pStyle w:val="null3"/>
        <w:jc w:val="left"/>
      </w:pPr>
      <w:r>
        <w:rPr>
          <w:rFonts w:ascii="仿宋_GB2312" w:hAnsi="仿宋_GB2312" w:cs="仿宋_GB2312" w:eastAsia="仿宋_GB2312"/>
        </w:rPr>
        <w:t>采购包：</w:t>
      </w:r>
      <w:r>
        <w:rPr>
          <w:rFonts w:ascii="仿宋_GB2312" w:hAnsi="仿宋_GB2312" w:cs="仿宋_GB2312" w:eastAsia="仿宋_GB2312"/>
        </w:rPr>
        <w:t>省直医疗卫生机构购置CT机</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92"/>
        <w:gridCol w:w="692"/>
        <w:gridCol w:w="692"/>
        <w:gridCol w:w="692"/>
        <w:gridCol w:w="692"/>
        <w:gridCol w:w="692"/>
        <w:gridCol w:w="692"/>
        <w:gridCol w:w="692"/>
        <w:gridCol w:w="692"/>
        <w:gridCol w:w="692"/>
        <w:gridCol w:w="692"/>
        <w:gridCol w:w="692"/>
      </w:tblGrid>
      <w:tr>
        <w:tc>
          <w:tcPr>
            <w:tcW w:type="dxa" w:w="692"/>
          </w:tcPr>
          <w:p>
            <w:pPr>
              <w:pStyle w:val="null3"/>
              <w:jc w:val="left"/>
            </w:pPr>
            <w:r>
              <w:rPr>
                <w:rFonts w:ascii="仿宋_GB2312" w:hAnsi="仿宋_GB2312" w:cs="仿宋_GB2312" w:eastAsia="仿宋_GB2312"/>
              </w:rPr>
              <w:t xml:space="preserve"> 序号</w:t>
            </w:r>
          </w:p>
        </w:tc>
        <w:tc>
          <w:tcPr>
            <w:tcW w:type="dxa" w:w="692"/>
          </w:tcPr>
          <w:p>
            <w:pPr>
              <w:pStyle w:val="null3"/>
              <w:jc w:val="left"/>
            </w:pPr>
            <w:r>
              <w:rPr>
                <w:rFonts w:ascii="仿宋_GB2312" w:hAnsi="仿宋_GB2312" w:cs="仿宋_GB2312" w:eastAsia="仿宋_GB2312"/>
              </w:rPr>
              <w:t xml:space="preserve"> 报价内容</w:t>
            </w:r>
          </w:p>
        </w:tc>
        <w:tc>
          <w:tcPr>
            <w:tcW w:type="dxa" w:w="692"/>
          </w:tcPr>
          <w:p>
            <w:pPr>
              <w:pStyle w:val="null3"/>
              <w:jc w:val="left"/>
            </w:pPr>
            <w:r>
              <w:rPr>
                <w:rFonts w:ascii="仿宋_GB2312" w:hAnsi="仿宋_GB2312" w:cs="仿宋_GB2312" w:eastAsia="仿宋_GB2312"/>
              </w:rPr>
              <w:t xml:space="preserve"> 数量（计量单位）</w:t>
            </w:r>
          </w:p>
        </w:tc>
        <w:tc>
          <w:tcPr>
            <w:tcW w:type="dxa" w:w="692"/>
          </w:tcPr>
          <w:p>
            <w:pPr>
              <w:pStyle w:val="null3"/>
              <w:jc w:val="left"/>
            </w:pPr>
            <w:r>
              <w:rPr>
                <w:rFonts w:ascii="仿宋_GB2312" w:hAnsi="仿宋_GB2312" w:cs="仿宋_GB2312" w:eastAsia="仿宋_GB2312"/>
              </w:rPr>
              <w:t xml:space="preserve"> 最高限价</w:t>
            </w:r>
          </w:p>
        </w:tc>
        <w:tc>
          <w:tcPr>
            <w:tcW w:type="dxa" w:w="692"/>
          </w:tcPr>
          <w:p>
            <w:pPr>
              <w:pStyle w:val="null3"/>
              <w:jc w:val="left"/>
            </w:pPr>
            <w:r>
              <w:rPr>
                <w:rFonts w:ascii="仿宋_GB2312" w:hAnsi="仿宋_GB2312" w:cs="仿宋_GB2312" w:eastAsia="仿宋_GB2312"/>
              </w:rPr>
              <w:t xml:space="preserve"> 响应报价</w:t>
            </w:r>
          </w:p>
        </w:tc>
        <w:tc>
          <w:tcPr>
            <w:tcW w:type="dxa" w:w="692"/>
          </w:tcPr>
          <w:p>
            <w:pPr>
              <w:pStyle w:val="null3"/>
              <w:jc w:val="left"/>
            </w:pPr>
            <w:r>
              <w:rPr>
                <w:rFonts w:ascii="仿宋_GB2312" w:hAnsi="仿宋_GB2312" w:cs="仿宋_GB2312" w:eastAsia="仿宋_GB2312"/>
              </w:rPr>
              <w:t xml:space="preserve"> 价款形式</w:t>
            </w:r>
          </w:p>
        </w:tc>
        <w:tc>
          <w:tcPr>
            <w:tcW w:type="dxa" w:w="692"/>
          </w:tcPr>
          <w:p>
            <w:pPr>
              <w:pStyle w:val="null3"/>
              <w:jc w:val="left"/>
            </w:pPr>
            <w:r>
              <w:rPr>
                <w:rFonts w:ascii="仿宋_GB2312" w:hAnsi="仿宋_GB2312" w:cs="仿宋_GB2312" w:eastAsia="仿宋_GB2312"/>
              </w:rPr>
              <w:t xml:space="preserve"> 产地</w:t>
            </w:r>
          </w:p>
        </w:tc>
        <w:tc>
          <w:tcPr>
            <w:tcW w:type="dxa" w:w="692"/>
          </w:tcPr>
          <w:p>
            <w:pPr>
              <w:pStyle w:val="null3"/>
              <w:jc w:val="left"/>
            </w:pPr>
            <w:r>
              <w:rPr>
                <w:rFonts w:ascii="仿宋_GB2312" w:hAnsi="仿宋_GB2312" w:cs="仿宋_GB2312" w:eastAsia="仿宋_GB2312"/>
              </w:rPr>
              <w:t xml:space="preserve"> 品牌</w:t>
            </w:r>
          </w:p>
        </w:tc>
        <w:tc>
          <w:tcPr>
            <w:tcW w:type="dxa" w:w="692"/>
          </w:tcPr>
          <w:p>
            <w:pPr>
              <w:pStyle w:val="null3"/>
              <w:jc w:val="left"/>
            </w:pPr>
            <w:r>
              <w:rPr>
                <w:rFonts w:ascii="仿宋_GB2312" w:hAnsi="仿宋_GB2312" w:cs="仿宋_GB2312" w:eastAsia="仿宋_GB2312"/>
              </w:rPr>
              <w:t xml:space="preserve"> 规格</w:t>
            </w:r>
          </w:p>
        </w:tc>
        <w:tc>
          <w:tcPr>
            <w:tcW w:type="dxa" w:w="692"/>
          </w:tcPr>
          <w:p>
            <w:pPr>
              <w:pStyle w:val="null3"/>
              <w:jc w:val="left"/>
            </w:pPr>
            <w:r>
              <w:rPr>
                <w:rFonts w:ascii="仿宋_GB2312" w:hAnsi="仿宋_GB2312" w:cs="仿宋_GB2312" w:eastAsia="仿宋_GB2312"/>
              </w:rPr>
              <w:t xml:space="preserve"> 生产厂家</w:t>
            </w:r>
          </w:p>
        </w:tc>
        <w:tc>
          <w:tcPr>
            <w:tcW w:type="dxa" w:w="692"/>
          </w:tcPr>
          <w:p>
            <w:pPr>
              <w:pStyle w:val="null3"/>
              <w:jc w:val="left"/>
            </w:pPr>
            <w:r>
              <w:rPr>
                <w:rFonts w:ascii="仿宋_GB2312" w:hAnsi="仿宋_GB2312" w:cs="仿宋_GB2312" w:eastAsia="仿宋_GB2312"/>
              </w:rPr>
              <w:t xml:space="preserve"> 型号</w:t>
            </w:r>
          </w:p>
        </w:tc>
        <w:tc>
          <w:tcPr>
            <w:tcW w:type="dxa" w:w="692"/>
          </w:tcPr>
          <w:p>
            <w:pPr>
              <w:pStyle w:val="null3"/>
              <w:jc w:val="left"/>
            </w:pPr>
            <w:r>
              <w:rPr>
                <w:rFonts w:ascii="仿宋_GB2312" w:hAnsi="仿宋_GB2312" w:cs="仿宋_GB2312" w:eastAsia="仿宋_GB2312"/>
              </w:rPr>
              <w:t xml:space="preserve"> 合同履行期限</w:t>
            </w:r>
          </w:p>
        </w:tc>
      </w:tr>
      <w:tr>
        <w:tc>
          <w:tcPr>
            <w:tcW w:type="dxa" w:w="692"/>
          </w:tcPr>
          <w:p>
            <w:pPr>
              <w:pStyle w:val="null3"/>
              <w:jc w:val="left"/>
            </w:pPr>
            <w:r>
              <w:rPr>
                <w:rFonts w:ascii="仿宋_GB2312" w:hAnsi="仿宋_GB2312" w:cs="仿宋_GB2312" w:eastAsia="仿宋_GB2312"/>
              </w:rPr>
              <w:t xml:space="preserve"> 1</w:t>
            </w:r>
          </w:p>
        </w:tc>
        <w:tc>
          <w:tcPr>
            <w:tcW w:type="dxa" w:w="692"/>
          </w:tcPr>
          <w:p>
            <w:pPr>
              <w:pStyle w:val="null3"/>
              <w:jc w:val="left"/>
            </w:pPr>
            <w:r>
              <w:rPr>
                <w:rFonts w:ascii="仿宋_GB2312" w:hAnsi="仿宋_GB2312" w:cs="仿宋_GB2312" w:eastAsia="仿宋_GB2312"/>
              </w:rPr>
              <w:t xml:space="preserve"> A02329900-其他医疗设备-CT机</w:t>
            </w:r>
          </w:p>
        </w:tc>
        <w:tc>
          <w:tcPr>
            <w:tcW w:type="dxa" w:w="692"/>
          </w:tcPr>
          <w:p>
            <w:pPr>
              <w:pStyle w:val="null3"/>
              <w:jc w:val="left"/>
            </w:pPr>
            <w:r>
              <w:rPr>
                <w:rFonts w:ascii="仿宋_GB2312" w:hAnsi="仿宋_GB2312" w:cs="仿宋_GB2312" w:eastAsia="仿宋_GB2312"/>
              </w:rPr>
              <w:t xml:space="preserve"> 1.00台/套</w:t>
            </w:r>
          </w:p>
        </w:tc>
        <w:tc>
          <w:tcPr>
            <w:tcW w:type="dxa" w:w="692"/>
          </w:tcPr>
          <w:p>
            <w:pPr>
              <w:pStyle w:val="null3"/>
              <w:jc w:val="left"/>
            </w:pPr>
            <w:r>
              <w:rPr>
                <w:rFonts w:ascii="仿宋_GB2312" w:hAnsi="仿宋_GB2312" w:cs="仿宋_GB2312" w:eastAsia="仿宋_GB2312"/>
              </w:rPr>
              <w:t xml:space="preserve"> 2990000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总价</w:t>
            </w:r>
          </w:p>
        </w:tc>
        <w:tc>
          <w:tcPr>
            <w:tcW w:type="dxa" w:w="692"/>
          </w:tcPr>
          <w:p>
            <w:pPr>
              <w:pStyle w:val="null3"/>
              <w:jc w:val="left"/>
            </w:pPr>
          </w:p>
        </w:tc>
        <w:tc>
          <w:tcPr>
            <w:tcW w:type="dxa" w:w="692"/>
          </w:tcPr>
          <w:p>
            <w:pPr>
              <w:pStyle w:val="null3"/>
              <w:jc w:val="left"/>
            </w:pPr>
            <w:r>
              <w:rPr>
                <w:rFonts w:ascii="仿宋_GB2312" w:hAnsi="仿宋_GB2312" w:cs="仿宋_GB2312" w:eastAsia="仿宋_GB2312"/>
              </w:rPr>
              <w:t xml:space="preserve"> {供应商响应}</w:t>
            </w:r>
          </w:p>
        </w:tc>
        <w:tc>
          <w:tcPr>
            <w:tcW w:type="dxa" w:w="692"/>
          </w:tcPr>
          <w:p>
            <w:pPr>
              <w:pStyle w:val="null3"/>
              <w:jc w:val="left"/>
            </w:pPr>
          </w:p>
        </w:tc>
        <w:tc>
          <w:tcPr>
            <w:tcW w:type="dxa" w:w="692"/>
          </w:tcPr>
          <w:p/>
        </w:tc>
        <w:tc>
          <w:tcPr>
            <w:tcW w:type="dxa" w:w="692"/>
          </w:tcPr>
          <w:p/>
        </w:tc>
        <w:tc>
          <w:tcPr>
            <w:tcW w:type="dxa" w:w="692"/>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备注：报价中必须包含货物及零配件的购置和安装、安装费税金、运输保险、装卸、质保期售后服务、全额含税发票等</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