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A50203">
      <w:pPr>
        <w:spacing w:line="360" w:lineRule="auto"/>
        <w:jc w:val="center"/>
        <w:outlineLvl w:val="1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商务</w:t>
      </w:r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表</w:t>
      </w:r>
      <w:bookmarkStart w:id="0" w:name="_GoBack"/>
      <w:bookmarkEnd w:id="0"/>
    </w:p>
    <w:p w14:paraId="698A65EC">
      <w:pPr>
        <w:spacing w:line="360" w:lineRule="auto"/>
        <w:jc w:val="center"/>
        <w:outlineLvl w:val="1"/>
        <w:rPr>
          <w:rFonts w:hint="eastAsia" w:ascii="宋体" w:hAnsi="宋体" w:eastAsia="宋体" w:cs="宋体"/>
          <w:b/>
          <w:color w:val="auto"/>
          <w:sz w:val="22"/>
          <w:szCs w:val="22"/>
          <w:highlight w:val="none"/>
        </w:rPr>
      </w:pPr>
    </w:p>
    <w:tbl>
      <w:tblPr>
        <w:tblStyle w:val="5"/>
        <w:tblW w:w="88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28"/>
        <w:gridCol w:w="1637"/>
        <w:gridCol w:w="2443"/>
        <w:gridCol w:w="2417"/>
        <w:gridCol w:w="990"/>
        <w:gridCol w:w="733"/>
      </w:tblGrid>
      <w:tr w14:paraId="03289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0" w:hRule="atLeast"/>
        </w:trPr>
        <w:tc>
          <w:tcPr>
            <w:tcW w:w="628" w:type="dxa"/>
            <w:noWrap w:val="0"/>
            <w:vAlign w:val="center"/>
          </w:tcPr>
          <w:p w14:paraId="690372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637" w:type="dxa"/>
            <w:noWrap w:val="0"/>
            <w:vAlign w:val="center"/>
          </w:tcPr>
          <w:p w14:paraId="275713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招标文件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条目号</w:t>
            </w:r>
          </w:p>
        </w:tc>
        <w:tc>
          <w:tcPr>
            <w:tcW w:w="2443" w:type="dxa"/>
            <w:noWrap w:val="0"/>
            <w:vAlign w:val="center"/>
          </w:tcPr>
          <w:p w14:paraId="6373E3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招标文件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的规定</w:t>
            </w:r>
          </w:p>
          <w:p w14:paraId="04D57A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和要求</w:t>
            </w:r>
          </w:p>
        </w:tc>
        <w:tc>
          <w:tcPr>
            <w:tcW w:w="2417" w:type="dxa"/>
            <w:noWrap w:val="0"/>
            <w:vAlign w:val="center"/>
          </w:tcPr>
          <w:p w14:paraId="56D32F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文件的响应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内容</w:t>
            </w:r>
          </w:p>
        </w:tc>
        <w:tc>
          <w:tcPr>
            <w:tcW w:w="990" w:type="dxa"/>
            <w:noWrap w:val="0"/>
            <w:vAlign w:val="center"/>
          </w:tcPr>
          <w:p w14:paraId="72836C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偏离</w:t>
            </w:r>
          </w:p>
        </w:tc>
        <w:tc>
          <w:tcPr>
            <w:tcW w:w="733" w:type="dxa"/>
            <w:noWrap w:val="0"/>
            <w:vAlign w:val="center"/>
          </w:tcPr>
          <w:p w14:paraId="5079D2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4A2E3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1" w:hRule="atLeast"/>
        </w:trPr>
        <w:tc>
          <w:tcPr>
            <w:tcW w:w="628" w:type="dxa"/>
            <w:noWrap w:val="0"/>
            <w:vAlign w:val="center"/>
          </w:tcPr>
          <w:p w14:paraId="5E87AF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637" w:type="dxa"/>
            <w:noWrap w:val="0"/>
            <w:vAlign w:val="center"/>
          </w:tcPr>
          <w:p w14:paraId="3A6558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投标有效期</w:t>
            </w:r>
          </w:p>
        </w:tc>
        <w:tc>
          <w:tcPr>
            <w:tcW w:w="2443" w:type="dxa"/>
            <w:noWrap w:val="0"/>
            <w:vAlign w:val="center"/>
          </w:tcPr>
          <w:p w14:paraId="02FEDB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自投标文件截止之日起90日历天</w:t>
            </w:r>
          </w:p>
        </w:tc>
        <w:tc>
          <w:tcPr>
            <w:tcW w:w="2417" w:type="dxa"/>
            <w:noWrap w:val="0"/>
            <w:vAlign w:val="center"/>
          </w:tcPr>
          <w:p w14:paraId="796FC2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自投标文件截止之日起90日历天</w:t>
            </w:r>
          </w:p>
        </w:tc>
        <w:tc>
          <w:tcPr>
            <w:tcW w:w="990" w:type="dxa"/>
            <w:noWrap w:val="0"/>
            <w:vAlign w:val="center"/>
          </w:tcPr>
          <w:p w14:paraId="0AAF28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无偏离</w:t>
            </w:r>
          </w:p>
        </w:tc>
        <w:tc>
          <w:tcPr>
            <w:tcW w:w="733" w:type="dxa"/>
            <w:noWrap w:val="0"/>
            <w:vAlign w:val="center"/>
          </w:tcPr>
          <w:p w14:paraId="10725C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B5A3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1" w:hRule="atLeast"/>
        </w:trPr>
        <w:tc>
          <w:tcPr>
            <w:tcW w:w="628" w:type="dxa"/>
            <w:noWrap w:val="0"/>
            <w:vAlign w:val="center"/>
          </w:tcPr>
          <w:p w14:paraId="600FA7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1637" w:type="dxa"/>
            <w:noWrap w:val="0"/>
            <w:vAlign w:val="center"/>
          </w:tcPr>
          <w:p w14:paraId="54732D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交货期</w:t>
            </w:r>
          </w:p>
        </w:tc>
        <w:tc>
          <w:tcPr>
            <w:tcW w:w="2443" w:type="dxa"/>
            <w:noWrap w:val="0"/>
            <w:vAlign w:val="center"/>
          </w:tcPr>
          <w:p w14:paraId="1C182B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自签订之日起三个月内完成货物到货安装及验收</w:t>
            </w:r>
          </w:p>
        </w:tc>
        <w:tc>
          <w:tcPr>
            <w:tcW w:w="2417" w:type="dxa"/>
            <w:noWrap w:val="0"/>
            <w:vAlign w:val="center"/>
          </w:tcPr>
          <w:p w14:paraId="072860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自签订之日起三个月内完成货物到货安装及验收</w:t>
            </w:r>
          </w:p>
        </w:tc>
        <w:tc>
          <w:tcPr>
            <w:tcW w:w="990" w:type="dxa"/>
            <w:noWrap w:val="0"/>
            <w:vAlign w:val="center"/>
          </w:tcPr>
          <w:p w14:paraId="1E8230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无偏离</w:t>
            </w:r>
          </w:p>
        </w:tc>
        <w:tc>
          <w:tcPr>
            <w:tcW w:w="733" w:type="dxa"/>
            <w:noWrap w:val="0"/>
            <w:vAlign w:val="center"/>
          </w:tcPr>
          <w:p w14:paraId="421F44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62D82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1" w:hRule="atLeast"/>
        </w:trPr>
        <w:tc>
          <w:tcPr>
            <w:tcW w:w="628" w:type="dxa"/>
            <w:noWrap w:val="0"/>
            <w:vAlign w:val="center"/>
          </w:tcPr>
          <w:p w14:paraId="5DFA91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1637" w:type="dxa"/>
            <w:noWrap w:val="0"/>
            <w:vAlign w:val="center"/>
          </w:tcPr>
          <w:p w14:paraId="271D70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交货地点</w:t>
            </w:r>
          </w:p>
        </w:tc>
        <w:tc>
          <w:tcPr>
            <w:tcW w:w="2443" w:type="dxa"/>
            <w:noWrap w:val="0"/>
            <w:vAlign w:val="center"/>
          </w:tcPr>
          <w:p w14:paraId="35CE5E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海口市桂林洋经济开发区夏云路北或采购人指定的其他地点</w:t>
            </w:r>
          </w:p>
        </w:tc>
        <w:tc>
          <w:tcPr>
            <w:tcW w:w="2417" w:type="dxa"/>
            <w:noWrap w:val="0"/>
            <w:vAlign w:val="center"/>
          </w:tcPr>
          <w:p w14:paraId="1DB510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海口市桂林洋经济开发区夏云路北或采购人指定的其他地点</w:t>
            </w:r>
          </w:p>
        </w:tc>
        <w:tc>
          <w:tcPr>
            <w:tcW w:w="990" w:type="dxa"/>
            <w:noWrap w:val="0"/>
            <w:vAlign w:val="center"/>
          </w:tcPr>
          <w:p w14:paraId="730ABE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无偏离</w:t>
            </w:r>
          </w:p>
        </w:tc>
        <w:tc>
          <w:tcPr>
            <w:tcW w:w="733" w:type="dxa"/>
            <w:noWrap w:val="0"/>
            <w:vAlign w:val="center"/>
          </w:tcPr>
          <w:p w14:paraId="34149B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9A94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1" w:hRule="atLeast"/>
        </w:trPr>
        <w:tc>
          <w:tcPr>
            <w:tcW w:w="628" w:type="dxa"/>
            <w:noWrap w:val="0"/>
            <w:vAlign w:val="center"/>
          </w:tcPr>
          <w:p w14:paraId="4B683E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1637" w:type="dxa"/>
            <w:noWrap w:val="0"/>
            <w:vAlign w:val="center"/>
          </w:tcPr>
          <w:p w14:paraId="36FC26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质保期</w:t>
            </w:r>
          </w:p>
        </w:tc>
        <w:tc>
          <w:tcPr>
            <w:tcW w:w="2443" w:type="dxa"/>
            <w:noWrap w:val="0"/>
            <w:vAlign w:val="center"/>
          </w:tcPr>
          <w:p w14:paraId="4915BF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整体质保期1年，所有货物质保期符合国家标准</w:t>
            </w:r>
          </w:p>
        </w:tc>
        <w:tc>
          <w:tcPr>
            <w:tcW w:w="2417" w:type="dxa"/>
            <w:noWrap w:val="0"/>
            <w:vAlign w:val="center"/>
          </w:tcPr>
          <w:p w14:paraId="65518A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整体质保期1年，所有货物质保期符合国家标准</w:t>
            </w:r>
          </w:p>
        </w:tc>
        <w:tc>
          <w:tcPr>
            <w:tcW w:w="990" w:type="dxa"/>
            <w:noWrap w:val="0"/>
            <w:vAlign w:val="center"/>
          </w:tcPr>
          <w:p w14:paraId="0594CB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无偏离</w:t>
            </w:r>
          </w:p>
        </w:tc>
        <w:tc>
          <w:tcPr>
            <w:tcW w:w="733" w:type="dxa"/>
            <w:noWrap w:val="0"/>
            <w:vAlign w:val="center"/>
          </w:tcPr>
          <w:p w14:paraId="548EA2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28BE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1" w:hRule="atLeast"/>
        </w:trPr>
        <w:tc>
          <w:tcPr>
            <w:tcW w:w="628" w:type="dxa"/>
            <w:noWrap w:val="0"/>
            <w:vAlign w:val="center"/>
          </w:tcPr>
          <w:p w14:paraId="5E43D8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5</w:t>
            </w:r>
          </w:p>
        </w:tc>
        <w:tc>
          <w:tcPr>
            <w:tcW w:w="1637" w:type="dxa"/>
            <w:noWrap w:val="0"/>
            <w:vAlign w:val="center"/>
          </w:tcPr>
          <w:p w14:paraId="37F9A0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质量要求</w:t>
            </w:r>
          </w:p>
        </w:tc>
        <w:tc>
          <w:tcPr>
            <w:tcW w:w="2443" w:type="dxa"/>
            <w:noWrap w:val="0"/>
            <w:vAlign w:val="center"/>
          </w:tcPr>
          <w:p w14:paraId="0A7FF4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符合招标文件规定的质量、规格和性能的要求，达到国家及行业规定的标准</w:t>
            </w:r>
          </w:p>
        </w:tc>
        <w:tc>
          <w:tcPr>
            <w:tcW w:w="2417" w:type="dxa"/>
            <w:noWrap w:val="0"/>
            <w:vAlign w:val="center"/>
          </w:tcPr>
          <w:p w14:paraId="30FE3C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符合招标文件规定的质量、规格和性能的要求，达到国家及行业规定的标准</w:t>
            </w:r>
          </w:p>
        </w:tc>
        <w:tc>
          <w:tcPr>
            <w:tcW w:w="990" w:type="dxa"/>
            <w:noWrap w:val="0"/>
            <w:vAlign w:val="center"/>
          </w:tcPr>
          <w:p w14:paraId="3F802F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无偏离</w:t>
            </w:r>
          </w:p>
        </w:tc>
        <w:tc>
          <w:tcPr>
            <w:tcW w:w="733" w:type="dxa"/>
            <w:noWrap w:val="0"/>
            <w:vAlign w:val="center"/>
          </w:tcPr>
          <w:p w14:paraId="774D46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21ED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1" w:hRule="atLeast"/>
        </w:trPr>
        <w:tc>
          <w:tcPr>
            <w:tcW w:w="628" w:type="dxa"/>
            <w:noWrap w:val="0"/>
            <w:vAlign w:val="center"/>
          </w:tcPr>
          <w:p w14:paraId="1461AC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6</w:t>
            </w:r>
          </w:p>
        </w:tc>
        <w:tc>
          <w:tcPr>
            <w:tcW w:w="1637" w:type="dxa"/>
            <w:noWrap w:val="0"/>
            <w:vAlign w:val="center"/>
          </w:tcPr>
          <w:p w14:paraId="511F07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443" w:type="dxa"/>
            <w:noWrap w:val="0"/>
            <w:vAlign w:val="center"/>
          </w:tcPr>
          <w:p w14:paraId="4F07FD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417" w:type="dxa"/>
            <w:noWrap w:val="0"/>
            <w:vAlign w:val="center"/>
          </w:tcPr>
          <w:p w14:paraId="461B95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990" w:type="dxa"/>
            <w:noWrap w:val="0"/>
            <w:vAlign w:val="center"/>
          </w:tcPr>
          <w:p w14:paraId="1057CC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33" w:type="dxa"/>
            <w:noWrap w:val="0"/>
            <w:vAlign w:val="center"/>
          </w:tcPr>
          <w:p w14:paraId="5A94A0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5BF5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1" w:hRule="atLeast"/>
        </w:trPr>
        <w:tc>
          <w:tcPr>
            <w:tcW w:w="628" w:type="dxa"/>
            <w:noWrap w:val="0"/>
            <w:vAlign w:val="center"/>
          </w:tcPr>
          <w:p w14:paraId="4DE4C6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1637" w:type="dxa"/>
            <w:noWrap w:val="0"/>
            <w:vAlign w:val="center"/>
          </w:tcPr>
          <w:p w14:paraId="0B408A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443" w:type="dxa"/>
            <w:noWrap w:val="0"/>
            <w:vAlign w:val="center"/>
          </w:tcPr>
          <w:p w14:paraId="26D071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417" w:type="dxa"/>
            <w:noWrap w:val="0"/>
            <w:vAlign w:val="center"/>
          </w:tcPr>
          <w:p w14:paraId="50AD51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990" w:type="dxa"/>
            <w:noWrap w:val="0"/>
            <w:vAlign w:val="center"/>
          </w:tcPr>
          <w:p w14:paraId="3EC51F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733" w:type="dxa"/>
            <w:noWrap w:val="0"/>
            <w:vAlign w:val="center"/>
          </w:tcPr>
          <w:p w14:paraId="05289D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55028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1" w:hRule="atLeast"/>
        </w:trPr>
        <w:tc>
          <w:tcPr>
            <w:tcW w:w="628" w:type="dxa"/>
            <w:noWrap w:val="0"/>
            <w:vAlign w:val="center"/>
          </w:tcPr>
          <w:p w14:paraId="3FE8A3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…</w:t>
            </w:r>
          </w:p>
        </w:tc>
        <w:tc>
          <w:tcPr>
            <w:tcW w:w="1637" w:type="dxa"/>
            <w:noWrap w:val="0"/>
            <w:vAlign w:val="center"/>
          </w:tcPr>
          <w:p w14:paraId="7FD297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2443" w:type="dxa"/>
            <w:noWrap w:val="0"/>
            <w:vAlign w:val="center"/>
          </w:tcPr>
          <w:p w14:paraId="44CCC6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未列入此表内容</w:t>
            </w:r>
          </w:p>
        </w:tc>
        <w:tc>
          <w:tcPr>
            <w:tcW w:w="2417" w:type="dxa"/>
            <w:noWrap w:val="0"/>
            <w:vAlign w:val="center"/>
          </w:tcPr>
          <w:p w14:paraId="264092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完全响应</w:t>
            </w:r>
          </w:p>
        </w:tc>
        <w:tc>
          <w:tcPr>
            <w:tcW w:w="990" w:type="dxa"/>
            <w:noWrap w:val="0"/>
            <w:vAlign w:val="center"/>
          </w:tcPr>
          <w:p w14:paraId="1466FE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无偏离</w:t>
            </w:r>
          </w:p>
        </w:tc>
        <w:tc>
          <w:tcPr>
            <w:tcW w:w="733" w:type="dxa"/>
            <w:noWrap w:val="0"/>
            <w:vAlign w:val="center"/>
          </w:tcPr>
          <w:p w14:paraId="2FE8F8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textAlignment w:val="auto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66D41430">
      <w:pPr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</w:t>
      </w:r>
    </w:p>
    <w:p w14:paraId="572C2F6A">
      <w:pPr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1.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根据本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招标文件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的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第二章“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须知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”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及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第五章“政府采购合同”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填写本表；</w:t>
      </w:r>
    </w:p>
    <w:p w14:paraId="3C40F320">
      <w:pPr>
        <w:spacing w:line="360" w:lineRule="auto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2.对完全响应的条目在本表相应列中标注“√”。对有偏离的条目在本表相应列中标注“正偏离”。仅可在“完全响应”及“有偏离”中选一标注，同时，当且仅当选取“有偏离”栏中加以标注后，才能在“偏离简述”栏中加以说明。</w:t>
      </w:r>
    </w:p>
    <w:p w14:paraId="153290C4">
      <w:pPr>
        <w:spacing w:line="360" w:lineRule="auto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3.正偏离是指应答的条件高于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招标文件</w:t>
      </w:r>
      <w:r>
        <w:rPr>
          <w:rFonts w:hint="eastAsia" w:ascii="宋体" w:hAnsi="宋体"/>
          <w:color w:val="auto"/>
          <w:szCs w:val="21"/>
          <w:highlight w:val="none"/>
        </w:rPr>
        <w:t>要求，负偏离是指应答的条件低于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招标文件</w:t>
      </w:r>
      <w:r>
        <w:rPr>
          <w:rFonts w:hint="eastAsia" w:ascii="宋体" w:hAnsi="宋体"/>
          <w:color w:val="auto"/>
          <w:szCs w:val="21"/>
          <w:highlight w:val="none"/>
        </w:rPr>
        <w:t>要求。</w:t>
      </w:r>
    </w:p>
    <w:p w14:paraId="216092BF">
      <w:pPr>
        <w:spacing w:line="360" w:lineRule="auto"/>
        <w:rPr>
          <w:rFonts w:hint="eastAsia" w:ascii="宋体" w:hAnsi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4.如果未填写或未完整填写本表的各项内容则视作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投标人</w:t>
      </w:r>
      <w:r>
        <w:rPr>
          <w:rFonts w:hint="eastAsia" w:ascii="宋体" w:hAnsi="宋体"/>
          <w:color w:val="auto"/>
          <w:szCs w:val="21"/>
          <w:highlight w:val="none"/>
        </w:rPr>
        <w:t>已经对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招标文件</w:t>
      </w:r>
      <w:r>
        <w:rPr>
          <w:rFonts w:hint="eastAsia" w:ascii="宋体" w:hAnsi="宋体"/>
          <w:color w:val="auto"/>
          <w:szCs w:val="21"/>
          <w:highlight w:val="none"/>
        </w:rPr>
        <w:t>相关要求和内容完全理解并同意。</w:t>
      </w:r>
    </w:p>
    <w:p w14:paraId="2B08B9C4">
      <w:pPr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/>
          <w:color w:val="auto"/>
          <w:szCs w:val="21"/>
          <w:highlight w:val="none"/>
        </w:rPr>
        <w:t>5.在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采购</w:t>
      </w:r>
      <w:r>
        <w:rPr>
          <w:rFonts w:hint="eastAsia" w:ascii="宋体" w:hAnsi="宋体"/>
          <w:color w:val="auto"/>
          <w:szCs w:val="21"/>
          <w:highlight w:val="none"/>
        </w:rPr>
        <w:t>人与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投标人</w:t>
      </w:r>
      <w:r>
        <w:rPr>
          <w:rFonts w:hint="eastAsia" w:ascii="宋体" w:hAnsi="宋体"/>
          <w:color w:val="auto"/>
          <w:szCs w:val="21"/>
          <w:highlight w:val="none"/>
        </w:rPr>
        <w:t>签订合同时，如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投标人</w:t>
      </w:r>
      <w:r>
        <w:rPr>
          <w:rFonts w:hint="eastAsia" w:ascii="宋体" w:hAnsi="宋体"/>
          <w:color w:val="auto"/>
          <w:szCs w:val="21"/>
          <w:highlight w:val="none"/>
        </w:rPr>
        <w:t>未在</w:t>
      </w:r>
      <w:r>
        <w:rPr>
          <w:rFonts w:hint="eastAsia" w:ascii="宋体" w:hAnsi="宋体"/>
          <w:color w:val="auto"/>
          <w:szCs w:val="21"/>
          <w:highlight w:val="none"/>
          <w:lang w:eastAsia="zh-CN"/>
        </w:rPr>
        <w:t>投标文件</w:t>
      </w:r>
      <w:r>
        <w:rPr>
          <w:rFonts w:hint="eastAsia" w:ascii="宋体" w:hAnsi="宋体"/>
          <w:color w:val="auto"/>
          <w:szCs w:val="21"/>
          <w:highlight w:val="none"/>
        </w:rPr>
        <w:t>“商务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响应</w:t>
      </w:r>
      <w:r>
        <w:rPr>
          <w:rFonts w:hint="eastAsia" w:ascii="宋体" w:hAnsi="宋体"/>
          <w:color w:val="auto"/>
          <w:szCs w:val="21"/>
          <w:highlight w:val="none"/>
        </w:rPr>
        <w:t>表”中列出偏离说明，无论已发生或即将发生任何情形，均视为完全符合</w:t>
      </w:r>
      <w:r>
        <w:rPr>
          <w:rFonts w:hint="eastAsia" w:ascii="宋体" w:hAnsi="宋体"/>
          <w:color w:val="auto"/>
          <w:szCs w:val="21"/>
          <w:highlight w:val="none"/>
          <w:lang w:val="en-US" w:eastAsia="zh-CN"/>
        </w:rPr>
        <w:t>招标文件</w:t>
      </w:r>
      <w:r>
        <w:rPr>
          <w:rFonts w:hint="eastAsia" w:ascii="宋体" w:hAnsi="宋体"/>
          <w:color w:val="auto"/>
          <w:szCs w:val="21"/>
          <w:highlight w:val="none"/>
        </w:rPr>
        <w:t>要求。</w:t>
      </w:r>
    </w:p>
    <w:p w14:paraId="61331316">
      <w:pPr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（盖章）：</w:t>
      </w:r>
    </w:p>
    <w:p w14:paraId="363BD75A">
      <w:pPr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法人代表或委托代理人（签字或盖章）：</w:t>
      </w:r>
    </w:p>
    <w:p w14:paraId="49010E2C">
      <w:r>
        <w:rPr>
          <w:rFonts w:hint="eastAsia" w:ascii="宋体" w:hAnsi="宋体" w:eastAsia="宋体" w:cs="宋体"/>
          <w:color w:val="auto"/>
          <w:szCs w:val="21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 xml:space="preserve">         年      月 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FmYzY1ZDc1ZjdhOWQ0OGFmY2NiYTJlYTM1YjU1N2UifQ=="/>
  </w:docVars>
  <w:rsids>
    <w:rsidRoot w:val="23927204"/>
    <w:rsid w:val="087A6126"/>
    <w:rsid w:val="0B143BC5"/>
    <w:rsid w:val="0D7A35B6"/>
    <w:rsid w:val="13F35552"/>
    <w:rsid w:val="15796AD1"/>
    <w:rsid w:val="23927204"/>
    <w:rsid w:val="2D9E0ED8"/>
    <w:rsid w:val="30300C73"/>
    <w:rsid w:val="3E194850"/>
    <w:rsid w:val="45D6083C"/>
    <w:rsid w:val="5716528C"/>
    <w:rsid w:val="689615CB"/>
    <w:rsid w:val="7EBF349C"/>
    <w:rsid w:val="7ED30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autoRedefine/>
    <w:qFormat/>
    <w:uiPriority w:val="0"/>
    <w:rPr>
      <w:rFonts w:ascii="宋体" w:hAnsi="Courier New"/>
      <w:szCs w:val="20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657</Words>
  <Characters>674</Characters>
  <Lines>0</Lines>
  <Paragraphs>0</Paragraphs>
  <TotalTime>0</TotalTime>
  <ScaleCrop>false</ScaleCrop>
  <LinksUpToDate>false</LinksUpToDate>
  <CharactersWithSpaces>697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2024-04-24T08:08:00Z</dcterms:created>
  <dc:creator>veine</dc:creator>
  <cp:lastModifiedBy>administrator</cp:lastModifiedBy>
  <dcterms:modified xsi:type="dcterms:W3CDTF">2025-06-11T07:56:32Z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CB92BF20373248C0AA731D90153C7F67_13</vt:lpwstr>
  </property>
  <property fmtid="{D5CDD505-2E9C-101B-9397-08002B2CF9AE}" pid="4" name="KSOTemplateDocerSaveRecord">
    <vt:lpwstr>eyJoZGlkIjoiMzFmYzY1ZDc1ZjdhOWQ0OGFmY2NiYTJlYTM1YjU1N2UiLCJ1c2VySWQiOiI2Mjk0NTQyMDIifQ==</vt:lpwstr>
  </property>
</Properties>
</file>