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6128D">
      <w:pPr>
        <w:widowControl/>
        <w:shd w:val="clear" w:color="auto" w:fill="FFFFFF"/>
        <w:spacing w:line="480" w:lineRule="auto"/>
        <w:jc w:val="center"/>
        <w:textAlignment w:val="bottom"/>
        <w:outlineLvl w:val="2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1" w:name="_GoBack"/>
      <w:bookmarkEnd w:id="1"/>
      <w:bookmarkStart w:id="0" w:name="_Toc573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分项报价明细表</w:t>
      </w:r>
      <w:bookmarkEnd w:id="0"/>
    </w:p>
    <w:p w14:paraId="58CE787B">
      <w:pPr>
        <w:spacing w:line="360" w:lineRule="auto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2C65BD26">
      <w:pPr>
        <w:spacing w:line="360" w:lineRule="auto"/>
        <w:ind w:firstLine="240" w:firstLineChars="1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>GGP20241012</w:t>
      </w:r>
    </w:p>
    <w:p w14:paraId="1D39A363">
      <w:pPr>
        <w:spacing w:line="360" w:lineRule="auto"/>
        <w:ind w:firstLine="240" w:firstLineChars="1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>海南自由贸易港人才服务“单一窗口”（二期）项目</w:t>
      </w:r>
    </w:p>
    <w:p w14:paraId="2E639D2A">
      <w:pPr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 w:val="16"/>
          <w:szCs w:val="16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auto"/>
          <w:sz w:val="16"/>
          <w:szCs w:val="16"/>
        </w:rPr>
        <w:t xml:space="preserve">                </w:t>
      </w:r>
    </w:p>
    <w:tbl>
      <w:tblPr>
        <w:tblStyle w:val="5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949"/>
        <w:gridCol w:w="1135"/>
        <w:gridCol w:w="1132"/>
        <w:gridCol w:w="1133"/>
        <w:gridCol w:w="1133"/>
        <w:gridCol w:w="1138"/>
      </w:tblGrid>
      <w:tr w14:paraId="44436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exact"/>
          <w:jc w:val="center"/>
        </w:trPr>
        <w:tc>
          <w:tcPr>
            <w:tcW w:w="1220" w:type="dxa"/>
            <w:noWrap w:val="0"/>
            <w:vAlign w:val="center"/>
          </w:tcPr>
          <w:p w14:paraId="219ABD0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序号</w:t>
            </w:r>
          </w:p>
        </w:tc>
        <w:tc>
          <w:tcPr>
            <w:tcW w:w="1949" w:type="dxa"/>
            <w:noWrap w:val="0"/>
            <w:vAlign w:val="center"/>
          </w:tcPr>
          <w:p w14:paraId="05F140E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名称</w:t>
            </w:r>
          </w:p>
        </w:tc>
        <w:tc>
          <w:tcPr>
            <w:tcW w:w="1135" w:type="dxa"/>
            <w:noWrap w:val="0"/>
            <w:vAlign w:val="center"/>
          </w:tcPr>
          <w:p w14:paraId="507311B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单位</w:t>
            </w:r>
          </w:p>
        </w:tc>
        <w:tc>
          <w:tcPr>
            <w:tcW w:w="1132" w:type="dxa"/>
            <w:noWrap w:val="0"/>
            <w:vAlign w:val="center"/>
          </w:tcPr>
          <w:p w14:paraId="729B11F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数量</w:t>
            </w:r>
          </w:p>
        </w:tc>
        <w:tc>
          <w:tcPr>
            <w:tcW w:w="1133" w:type="dxa"/>
            <w:noWrap w:val="0"/>
            <w:vAlign w:val="center"/>
          </w:tcPr>
          <w:p w14:paraId="31689FC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单价</w:t>
            </w:r>
          </w:p>
        </w:tc>
        <w:tc>
          <w:tcPr>
            <w:tcW w:w="1133" w:type="dxa"/>
            <w:noWrap w:val="0"/>
            <w:vAlign w:val="center"/>
          </w:tcPr>
          <w:p w14:paraId="05D344D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金额</w:t>
            </w:r>
          </w:p>
        </w:tc>
        <w:tc>
          <w:tcPr>
            <w:tcW w:w="1138" w:type="dxa"/>
            <w:noWrap w:val="0"/>
            <w:vAlign w:val="center"/>
          </w:tcPr>
          <w:p w14:paraId="22F4DF02">
            <w:pPr>
              <w:snapToGrid w:val="0"/>
              <w:spacing w:line="360" w:lineRule="auto"/>
              <w:ind w:firstLine="11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15"/>
              </w:rPr>
              <w:t>备注</w:t>
            </w:r>
          </w:p>
        </w:tc>
      </w:tr>
      <w:tr w14:paraId="7B0F2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17B29FE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388C315B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70F95A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95C5F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BE536A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5BDF955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2E0E120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DD75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3EC48E4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563DE724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CA510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61C01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F8FBA3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678CB6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59113B7D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F692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4165EF00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6D66474A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EDD29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98A39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499DEC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676C0E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1AFB62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F395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1F78C794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45CAFF79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05186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2B179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D9FA60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46F225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19E0D588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7C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4E1E69B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4B2194A4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739CC63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CAEBDC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50B403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527E033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0EA17D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FF08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2B550C0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0C6DD1DA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2B5A63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9A0B966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5E94D9F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15EB056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E086F8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94A3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76AEE28A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615874DC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BB4AD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D336942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920EC3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45212C2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35AF744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6BE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220" w:type="dxa"/>
            <w:noWrap w:val="0"/>
            <w:vAlign w:val="center"/>
          </w:tcPr>
          <w:p w14:paraId="484DE17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center"/>
          </w:tcPr>
          <w:p w14:paraId="4C570840">
            <w:pPr>
              <w:rPr>
                <w:rFonts w:hint="eastAsia" w:ascii="仿宋" w:hAnsi="仿宋" w:eastAsia="仿宋" w:cs="仿宋"/>
                <w:color w:val="auto"/>
                <w:sz w:val="20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F3898F1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C28D0F2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E6E4E4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5ACDC17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7DF568E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0B5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8840" w:type="dxa"/>
            <w:gridSpan w:val="7"/>
            <w:noWrap w:val="0"/>
            <w:vAlign w:val="center"/>
          </w:tcPr>
          <w:p w14:paraId="6B368A20">
            <w:pPr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合计：￥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（大写：人民币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）</w:t>
            </w:r>
          </w:p>
        </w:tc>
      </w:tr>
    </w:tbl>
    <w:p w14:paraId="47FE854D">
      <w:pPr>
        <w:adjustRightInd w:val="0"/>
        <w:spacing w:line="360" w:lineRule="auto"/>
        <w:ind w:firstLine="420" w:firstLineChars="175"/>
        <w:rPr>
          <w:rFonts w:hint="eastAsia" w:ascii="仿宋" w:hAnsi="仿宋" w:eastAsia="仿宋" w:cs="仿宋"/>
          <w:bCs/>
          <w:color w:val="auto"/>
          <w:sz w:val="24"/>
        </w:rPr>
      </w:pPr>
    </w:p>
    <w:p w14:paraId="5BF74DAC">
      <w:pPr>
        <w:spacing w:line="360" w:lineRule="auto"/>
        <w:ind w:left="420" w:leftChars="0" w:hanging="420" w:hangingChars="175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</w:rPr>
        <w:t>1.</w:t>
      </w:r>
      <w:r>
        <w:rPr>
          <w:rFonts w:hint="eastAsia" w:ascii="仿宋" w:hAnsi="仿宋" w:eastAsia="仿宋" w:cs="仿宋"/>
          <w:bCs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必须按“</w:t>
      </w:r>
      <w:r>
        <w:rPr>
          <w:rFonts w:hint="eastAsia" w:ascii="仿宋" w:hAnsi="仿宋" w:eastAsia="仿宋" w:cs="仿宋"/>
          <w:bCs/>
          <w:color w:val="auto"/>
          <w:sz w:val="24"/>
        </w:rPr>
        <w:t>分项报价明细表”的格式</w:t>
      </w:r>
      <w:r>
        <w:rPr>
          <w:rFonts w:hint="eastAsia" w:ascii="仿宋" w:hAnsi="仿宋" w:eastAsia="仿宋" w:cs="仿宋"/>
          <w:color w:val="auto"/>
          <w:sz w:val="24"/>
        </w:rPr>
        <w:t>详细报出投标总价的各个组成部分的报价，否则作无效投标处理。</w:t>
      </w:r>
    </w:p>
    <w:p w14:paraId="1A95F688">
      <w:pPr>
        <w:spacing w:line="360" w:lineRule="auto"/>
        <w:ind w:left="422" w:leftChars="0" w:hanging="422" w:hangingChars="175"/>
        <w:jc w:val="left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2.</w:t>
      </w:r>
      <w:r>
        <w:rPr>
          <w:rFonts w:hint="eastAsia" w:ascii="仿宋" w:hAnsi="仿宋" w:eastAsia="仿宋" w:cs="仿宋"/>
          <w:color w:val="auto"/>
          <w:sz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</w:rPr>
        <w:t>分项报价明细表”各分项报价合计应当与“开标一览表”报价合计相等。</w:t>
      </w:r>
    </w:p>
    <w:p w14:paraId="78C6905D">
      <w:pPr>
        <w:adjustRightInd w:val="0"/>
        <w:spacing w:line="480" w:lineRule="auto"/>
        <w:ind w:firstLine="420" w:firstLineChars="175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投标人名称：        （盖章）</w:t>
      </w:r>
    </w:p>
    <w:p w14:paraId="12F1BEE8">
      <w:pPr>
        <w:adjustRightInd w:val="0"/>
        <w:spacing w:line="480" w:lineRule="auto"/>
        <w:ind w:firstLine="420" w:firstLineChars="175"/>
      </w:pPr>
      <w:r>
        <w:rPr>
          <w:rFonts w:hint="eastAsia" w:ascii="仿宋" w:hAnsi="仿宋" w:eastAsia="仿宋" w:cs="仿宋"/>
          <w:bCs/>
          <w:color w:val="auto"/>
          <w:sz w:val="24"/>
        </w:rPr>
        <w:t>日期: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、"/>
      <w:lvlJc w:val="left"/>
      <w:pPr>
        <w:ind w:left="5365" w:hanging="945"/>
      </w:pPr>
      <w:rPr>
        <w:rFonts w:hint="default" w:ascii="Times New Roman" w:hAnsi="Times New Roman" w:eastAsia="宋体"/>
        <w:u w:val="none" w:color="auto"/>
      </w:rPr>
    </w:lvl>
    <w:lvl w:ilvl="1" w:tentative="0">
      <w:start w:val="1"/>
      <w:numFmt w:val="lowerLetter"/>
      <w:lvlText w:val="%2)"/>
      <w:lvlJc w:val="left"/>
      <w:pPr>
        <w:ind w:left="5260" w:hanging="420"/>
      </w:pPr>
      <w:rPr>
        <w:rFonts w:hint="default" w:ascii="Times New Roman"/>
        <w:u w:val="none" w:color="auto"/>
      </w:rPr>
    </w:lvl>
    <w:lvl w:ilvl="2" w:tentative="0">
      <w:start w:val="1"/>
      <w:numFmt w:val="lowerRoman"/>
      <w:pStyle w:val="2"/>
      <w:lvlText w:val="%3."/>
      <w:lvlJc w:val="right"/>
      <w:pPr>
        <w:ind w:left="5680" w:hanging="420"/>
      </w:pPr>
      <w:rPr>
        <w:rFonts w:hint="default" w:ascii="Times New Roman"/>
        <w:u w:val="none" w:color="auto"/>
      </w:rPr>
    </w:lvl>
    <w:lvl w:ilvl="3" w:tentative="0">
      <w:start w:val="1"/>
      <w:numFmt w:val="decimal"/>
      <w:lvlText w:val="%4."/>
      <w:lvlJc w:val="left"/>
      <w:pPr>
        <w:ind w:left="6100" w:hanging="420"/>
      </w:pPr>
      <w:rPr>
        <w:rFonts w:hint="default" w:ascii="Times New Roman"/>
        <w:u w:val="none" w:color="auto"/>
      </w:rPr>
    </w:lvl>
    <w:lvl w:ilvl="4" w:tentative="0">
      <w:start w:val="1"/>
      <w:numFmt w:val="lowerLetter"/>
      <w:lvlText w:val="%5)"/>
      <w:lvlJc w:val="left"/>
      <w:pPr>
        <w:ind w:left="6520" w:hanging="420"/>
      </w:pPr>
      <w:rPr>
        <w:rFonts w:hint="default" w:ascii="Times New Roman"/>
        <w:u w:val="none" w:color="auto"/>
      </w:rPr>
    </w:lvl>
    <w:lvl w:ilvl="5" w:tentative="0">
      <w:start w:val="1"/>
      <w:numFmt w:val="lowerRoman"/>
      <w:lvlText w:val="%6."/>
      <w:lvlJc w:val="right"/>
      <w:pPr>
        <w:ind w:left="6940" w:hanging="420"/>
      </w:pPr>
      <w:rPr>
        <w:rFonts w:hint="default" w:ascii="Times New Roman"/>
        <w:u w:val="none" w:color="auto"/>
      </w:rPr>
    </w:lvl>
    <w:lvl w:ilvl="6" w:tentative="0">
      <w:start w:val="1"/>
      <w:numFmt w:val="decimal"/>
      <w:lvlText w:val="%7."/>
      <w:lvlJc w:val="left"/>
      <w:pPr>
        <w:ind w:left="7360" w:hanging="420"/>
      </w:pPr>
      <w:rPr>
        <w:rFonts w:hint="default" w:ascii="Times New Roman"/>
        <w:u w:val="none" w:color="auto"/>
      </w:rPr>
    </w:lvl>
    <w:lvl w:ilvl="7" w:tentative="0">
      <w:start w:val="1"/>
      <w:numFmt w:val="lowerLetter"/>
      <w:lvlText w:val="%8)"/>
      <w:lvlJc w:val="left"/>
      <w:pPr>
        <w:ind w:left="7780" w:hanging="420"/>
      </w:pPr>
      <w:rPr>
        <w:rFonts w:hint="default" w:ascii="Times New Roman"/>
        <w:u w:val="none" w:color="auto"/>
      </w:rPr>
    </w:lvl>
    <w:lvl w:ilvl="8" w:tentative="0">
      <w:start w:val="1"/>
      <w:numFmt w:val="lowerRoman"/>
      <w:lvlText w:val="%9."/>
      <w:lvlJc w:val="right"/>
      <w:pPr>
        <w:ind w:left="8200" w:hanging="420"/>
      </w:pPr>
      <w:rPr>
        <w:rFonts w:hint="default" w:ascii="Times New Roman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2213D"/>
    <w:rsid w:val="5AE806F1"/>
    <w:rsid w:val="6427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tabs>
        <w:tab w:val="left" w:pos="720"/>
      </w:tabs>
      <w:spacing w:before="260" w:after="260" w:line="360" w:lineRule="auto"/>
      <w:jc w:val="center"/>
      <w:outlineLvl w:val="1"/>
    </w:pPr>
    <w:rPr>
      <w:rFonts w:hAnsi="宋体"/>
      <w:b/>
      <w:bCs/>
      <w:iCs/>
      <w:sz w:val="28"/>
      <w:szCs w:val="28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numPr>
        <w:ilvl w:val="2"/>
        <w:numId w:val="1"/>
      </w:numPr>
      <w:tabs>
        <w:tab w:val="left" w:pos="900"/>
      </w:tabs>
      <w:spacing w:before="260" w:after="260" w:line="360" w:lineRule="auto"/>
      <w:jc w:val="both"/>
      <w:outlineLvl w:val="2"/>
    </w:pPr>
    <w:rPr>
      <w:rFonts w:hAnsi="宋体"/>
      <w:b/>
      <w:bCs/>
      <w:kern w:val="2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  <w:rPr>
      <w:rFonts w:asci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328</Characters>
  <Lines>0</Lines>
  <Paragraphs>0</Paragraphs>
  <TotalTime>1</TotalTime>
  <ScaleCrop>false</ScaleCrop>
  <LinksUpToDate>false</LinksUpToDate>
  <CharactersWithSpaces>400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2025-04-03T09:23:00Z</dcterms:created>
  <dc:creator>Administrator</dc:creator>
  <cp:lastModifiedBy>宋裕雄</cp:lastModifiedBy>
  <dcterms:modified xsi:type="dcterms:W3CDTF">2025-04-07T09:52:33Z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eyJoZGlkIjoiNWNjMDRmMjE2M2M4MGM0MjUzMTNhZTNiZGMyNzg2OGQiLCJ1c2VySWQiOiIzMzU5MjE3NjgifQ==</vt:lpwstr>
  </property>
  <property fmtid="{D5CDD505-2E9C-101B-9397-08002B2CF9AE}" pid="4" name="ICV">
    <vt:lpwstr>4FEEE0F56BB84C51B3EA34353904EF51_12</vt:lpwstr>
  </property>
</Properties>
</file>