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运动员体能康复保障服务(二次)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GGP20250218R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海南金政采项目管理有限公司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的委托， </w:t>
      </w:r>
      <w:r>
        <w:rPr>
          <w:rFonts w:ascii="仿宋_GB2312" w:hAnsi="仿宋_GB2312" w:cs="仿宋_GB2312" w:eastAsia="仿宋_GB2312"/>
        </w:rPr>
        <w:t>海南金政采项目管理有限公司</w:t>
      </w:r>
      <w:r>
        <w:rPr>
          <w:rFonts w:ascii="仿宋_GB2312" w:hAnsi="仿宋_GB2312" w:cs="仿宋_GB2312" w:eastAsia="仿宋_GB2312"/>
        </w:rPr>
        <w:t xml:space="preserve"> 对 </w:t>
      </w:r>
      <w:r>
        <w:rPr>
          <w:rFonts w:ascii="仿宋_GB2312" w:hAnsi="仿宋_GB2312" w:cs="仿宋_GB2312" w:eastAsia="仿宋_GB2312"/>
        </w:rPr>
        <w:t>运动员体能康复保障服务(二次)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GGP20250218R</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运动员体能康复保障服务(二次)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自签订合同之日起至项目结束。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1、具有政府有关行政主管部门颁发的《旅行社业务经营许可证》，许可经营业务需包含出境旅游业务：提供企业有效的旅行社业务经营许可证复印件并加盖公章</w:t>
      </w:r>
    </w:p>
    <w:p>
      <w:pPr>
        <w:pStyle w:val="null3"/>
        <w:jc w:val="left"/>
      </w:pPr>
      <w:r>
        <w:rPr>
          <w:rFonts w:ascii="仿宋_GB2312" w:hAnsi="仿宋_GB2312" w:cs="仿宋_GB2312" w:eastAsia="仿宋_GB2312"/>
        </w:rPr>
        <w:t>2、参加政府采购活动前三年内，在经营活动中没有环保类行政处罚记录。：提供无环保类行政处罚记录声明函并加盖公章。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0898-65239194</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海南金政采项目管理有限公司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海南省海口市美兰区蓝天路西12号世纪港C1401房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0898-66756504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采购包1：2,975,620.00元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代理服务费收费标准：根据国家发改委（发改价格〔2011〕534号）文件规定的标准及代理协议约定，固定按18600.00元（大写：壹万捌仟陆佰元整）收取代理费用。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联系人：文先生</w:t>
      </w:r>
    </w:p>
    <w:p>
      <w:pPr>
        <w:pStyle w:val="null3"/>
        <w:jc w:val="left"/>
      </w:pPr>
      <w:r>
        <w:rPr>
          <w:rFonts w:ascii="仿宋_GB2312" w:hAnsi="仿宋_GB2312" w:cs="仿宋_GB2312" w:eastAsia="仿宋_GB2312"/>
        </w:rPr>
        <w:t>联系电话：0898-65239194</w:t>
      </w:r>
    </w:p>
    <w:p>
      <w:pPr>
        <w:pStyle w:val="null3"/>
        <w:jc w:val="left"/>
      </w:pPr>
      <w:r>
        <w:rPr>
          <w:rFonts w:ascii="仿宋_GB2312" w:hAnsi="仿宋_GB2312" w:cs="仿宋_GB2312" w:eastAsia="仿宋_GB2312"/>
        </w:rPr>
        <w:t>地址：海南体育职业技术学院</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4"/>
        </w:rPr>
        <w:t>1、项目编号：GGP20250218R</w:t>
      </w:r>
    </w:p>
    <w:p>
      <w:pPr>
        <w:pStyle w:val="null3"/>
        <w:jc w:val="left"/>
      </w:pPr>
      <w:r>
        <w:rPr>
          <w:rFonts w:ascii="仿宋_GB2312" w:hAnsi="仿宋_GB2312" w:cs="仿宋_GB2312" w:eastAsia="仿宋_GB2312"/>
          <w:sz w:val="34"/>
        </w:rPr>
        <w:t>2、项目名称：运动员体能康复保障服务(二次)</w:t>
      </w:r>
    </w:p>
    <w:p>
      <w:pPr>
        <w:pStyle w:val="null3"/>
        <w:jc w:val="left"/>
      </w:pPr>
      <w:r>
        <w:rPr>
          <w:rFonts w:ascii="仿宋_GB2312" w:hAnsi="仿宋_GB2312" w:cs="仿宋_GB2312" w:eastAsia="仿宋_GB2312"/>
          <w:sz w:val="34"/>
        </w:rPr>
        <w:t>3、资金来源：财政性资金</w:t>
      </w:r>
    </w:p>
    <w:p>
      <w:pPr>
        <w:pStyle w:val="null3"/>
        <w:jc w:val="left"/>
      </w:pPr>
      <w:r>
        <w:rPr>
          <w:rFonts w:ascii="仿宋_GB2312" w:hAnsi="仿宋_GB2312" w:cs="仿宋_GB2312" w:eastAsia="仿宋_GB2312"/>
          <w:sz w:val="34"/>
        </w:rPr>
        <w:t>4、采购方式：竞争性磋商</w:t>
      </w:r>
    </w:p>
    <w:p>
      <w:pPr>
        <w:pStyle w:val="null3"/>
        <w:jc w:val="left"/>
      </w:pPr>
      <w:r>
        <w:rPr>
          <w:rFonts w:ascii="仿宋_GB2312" w:hAnsi="仿宋_GB2312" w:cs="仿宋_GB2312" w:eastAsia="仿宋_GB2312"/>
          <w:sz w:val="34"/>
        </w:rPr>
        <w:t>5、预算金额：</w:t>
      </w:r>
      <w:r>
        <w:rPr>
          <w:rFonts w:ascii="仿宋_GB2312" w:hAnsi="仿宋_GB2312" w:cs="仿宋_GB2312" w:eastAsia="仿宋_GB2312"/>
          <w:sz w:val="34"/>
        </w:rPr>
        <w:t>300</w:t>
      </w:r>
      <w:r>
        <w:rPr>
          <w:rFonts w:ascii="仿宋_GB2312" w:hAnsi="仿宋_GB2312" w:cs="仿宋_GB2312" w:eastAsia="仿宋_GB2312"/>
          <w:sz w:val="34"/>
        </w:rPr>
        <w:t>万元</w:t>
      </w:r>
    </w:p>
    <w:p>
      <w:pPr>
        <w:pStyle w:val="null3"/>
        <w:jc w:val="left"/>
      </w:pPr>
      <w:r>
        <w:rPr>
          <w:rFonts w:ascii="仿宋_GB2312" w:hAnsi="仿宋_GB2312" w:cs="仿宋_GB2312" w:eastAsia="仿宋_GB2312"/>
          <w:sz w:val="34"/>
        </w:rPr>
        <w:t>6、最高限价：</w:t>
      </w:r>
      <w:r>
        <w:rPr>
          <w:rFonts w:ascii="仿宋_GB2312" w:hAnsi="仿宋_GB2312" w:cs="仿宋_GB2312" w:eastAsia="仿宋_GB2312"/>
          <w:sz w:val="34"/>
        </w:rPr>
        <w:t>¥</w:t>
      </w:r>
      <w:r>
        <w:rPr>
          <w:rFonts w:ascii="仿宋_GB2312" w:hAnsi="仿宋_GB2312" w:cs="仿宋_GB2312" w:eastAsia="仿宋_GB2312"/>
          <w:sz w:val="34"/>
        </w:rPr>
        <w:t>297.562</w:t>
      </w:r>
      <w:r>
        <w:rPr>
          <w:rFonts w:ascii="仿宋_GB2312" w:hAnsi="仿宋_GB2312" w:cs="仿宋_GB2312" w:eastAsia="仿宋_GB2312"/>
          <w:sz w:val="34"/>
        </w:rPr>
        <w:t>万元，超过最高限价的报价视为无效报价。</w:t>
      </w:r>
    </w:p>
    <w:p>
      <w:pPr>
        <w:pStyle w:val="null3"/>
        <w:jc w:val="left"/>
      </w:pPr>
      <w:r>
        <w:rPr>
          <w:rFonts w:ascii="仿宋_GB2312" w:hAnsi="仿宋_GB2312" w:cs="仿宋_GB2312" w:eastAsia="仿宋_GB2312"/>
          <w:sz w:val="34"/>
        </w:rPr>
        <w:t>7、项目背景：为促进运动员竞技实力稳步提升，创造更多优异成绩，拟委托第三方为乒乓球队复合型保障团队提供赛事地相关保障服务。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2,975,620.00</w:t>
      </w:r>
    </w:p>
    <w:p>
      <w:pPr>
        <w:pStyle w:val="null3"/>
        <w:jc w:val="left"/>
      </w:pPr>
      <w:r>
        <w:rPr>
          <w:rFonts w:ascii="仿宋_GB2312" w:hAnsi="仿宋_GB2312" w:cs="仿宋_GB2312" w:eastAsia="仿宋_GB2312"/>
        </w:rPr>
        <w:t>采购包最高限价（元）: 2,975,620.00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2,975,620.00</w:t>
            </w:r>
          </w:p>
        </w:tc>
        <w:tc>
          <w:tcPr>
            <w:tcW w:type="dxa" w:w="831"/>
          </w:tcPr>
          <w:p>
            <w:pPr>
              <w:pStyle w:val="null3"/>
              <w:jc w:val="left"/>
            </w:pPr>
            <w:r>
              <w:rPr>
                <w:rFonts w:ascii="仿宋_GB2312" w:hAnsi="仿宋_GB2312" w:cs="仿宋_GB2312" w:eastAsia="仿宋_GB2312"/>
              </w:rPr>
              <w:t>次</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运动员体能康复保障服务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2,975,620.00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2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服务内容</w:t>
            </w:r>
          </w:p>
          <w:p>
            <w:pPr>
              <w:pStyle w:val="null3"/>
              <w:ind w:firstLine="424"/>
              <w:jc w:val="both"/>
            </w:pPr>
            <w:r>
              <w:rPr>
                <w:rFonts w:ascii="仿宋_GB2312" w:hAnsi="仿宋_GB2312" w:cs="仿宋_GB2312" w:eastAsia="仿宋_GB2312"/>
                <w:sz w:val="24"/>
                <w:color w:val="000000"/>
              </w:rPr>
              <w:t>1、保障</w:t>
            </w:r>
            <w:r>
              <w:rPr>
                <w:rFonts w:ascii="仿宋_GB2312" w:hAnsi="仿宋_GB2312" w:cs="仿宋_GB2312" w:eastAsia="仿宋_GB2312"/>
                <w:sz w:val="24"/>
                <w:color w:val="000000"/>
              </w:rPr>
              <w:t>服务咨询与规划</w:t>
            </w:r>
          </w:p>
          <w:p>
            <w:pPr>
              <w:pStyle w:val="null3"/>
              <w:ind w:firstLine="424"/>
              <w:jc w:val="both"/>
            </w:pPr>
            <w:r>
              <w:rPr>
                <w:rFonts w:ascii="仿宋_GB2312" w:hAnsi="仿宋_GB2312" w:cs="仿宋_GB2312" w:eastAsia="仿宋_GB2312"/>
                <w:sz w:val="24"/>
                <w:color w:val="000000"/>
              </w:rPr>
              <w:t>根据保障团队需求（包括但不限于赛事日程、训练周期、临时任务等），提供多目的地的</w:t>
            </w:r>
            <w:r>
              <w:rPr>
                <w:rFonts w:ascii="仿宋_GB2312" w:hAnsi="仿宋_GB2312" w:cs="仿宋_GB2312" w:eastAsia="仿宋_GB2312"/>
                <w:sz w:val="24"/>
                <w:color w:val="000000"/>
              </w:rPr>
              <w:t>保障服务</w:t>
            </w:r>
            <w:r>
              <w:rPr>
                <w:rFonts w:ascii="仿宋_GB2312" w:hAnsi="仿宋_GB2312" w:cs="仿宋_GB2312" w:eastAsia="仿宋_GB2312"/>
                <w:sz w:val="24"/>
                <w:color w:val="000000"/>
              </w:rPr>
              <w:t>出行路线规划及</w:t>
            </w:r>
            <w:r>
              <w:rPr>
                <w:rFonts w:ascii="仿宋_GB2312" w:hAnsi="仿宋_GB2312" w:cs="仿宋_GB2312" w:eastAsia="仿宋_GB2312"/>
                <w:sz w:val="24"/>
                <w:color w:val="000000"/>
              </w:rPr>
              <w:t>整体出行计划</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2、出行规划与安排</w:t>
            </w:r>
          </w:p>
          <w:p>
            <w:pPr>
              <w:pStyle w:val="null3"/>
              <w:ind w:firstLine="424"/>
              <w:jc w:val="both"/>
            </w:pPr>
            <w:r>
              <w:rPr>
                <w:rFonts w:ascii="仿宋_GB2312" w:hAnsi="仿宋_GB2312" w:cs="仿宋_GB2312" w:eastAsia="仿宋_GB2312"/>
                <w:sz w:val="24"/>
                <w:color w:val="000000"/>
              </w:rPr>
              <w:t>根据实际保障团队出行需要，</w:t>
            </w:r>
            <w:r>
              <w:rPr>
                <w:rFonts w:ascii="仿宋_GB2312" w:hAnsi="仿宋_GB2312" w:cs="仿宋_GB2312" w:eastAsia="仿宋_GB2312"/>
                <w:sz w:val="24"/>
                <w:color w:val="000000"/>
              </w:rPr>
              <w:t>提供国际航班、当地交通（含租车、接送机等）实时信息及</w:t>
            </w:r>
            <w:r>
              <w:rPr>
                <w:rFonts w:ascii="仿宋_GB2312" w:hAnsi="仿宋_GB2312" w:cs="仿宋_GB2312" w:eastAsia="仿宋_GB2312"/>
                <w:sz w:val="24"/>
                <w:color w:val="000000"/>
              </w:rPr>
              <w:t>赛事地出行方案</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、住宿咨询与安排</w:t>
            </w:r>
          </w:p>
          <w:p>
            <w:pPr>
              <w:pStyle w:val="null3"/>
              <w:ind w:firstLine="424"/>
              <w:jc w:val="both"/>
            </w:pPr>
            <w:r>
              <w:rPr>
                <w:rFonts w:ascii="仿宋_GB2312" w:hAnsi="仿宋_GB2312" w:cs="仿宋_GB2312" w:eastAsia="仿宋_GB2312"/>
                <w:sz w:val="24"/>
                <w:color w:val="000000"/>
              </w:rPr>
              <w:t>根据实际保障团队出行需要，</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赛事举办地及周边区域的酒店</w:t>
            </w:r>
            <w:r>
              <w:rPr>
                <w:rFonts w:ascii="仿宋_GB2312" w:hAnsi="仿宋_GB2312" w:cs="仿宋_GB2312" w:eastAsia="仿宋_GB2312"/>
                <w:sz w:val="24"/>
                <w:color w:val="000000"/>
              </w:rPr>
              <w:t>住宿，根据实际情况提赛事举办地酒店的</w:t>
            </w:r>
            <w:r>
              <w:rPr>
                <w:rFonts w:ascii="仿宋_GB2312" w:hAnsi="仿宋_GB2312" w:cs="仿宋_GB2312" w:eastAsia="仿宋_GB2312"/>
                <w:sz w:val="24"/>
                <w:color w:val="000000"/>
              </w:rPr>
              <w:t>实时信息及</w:t>
            </w:r>
            <w:r>
              <w:rPr>
                <w:rFonts w:ascii="仿宋_GB2312" w:hAnsi="仿宋_GB2312" w:cs="仿宋_GB2312" w:eastAsia="仿宋_GB2312"/>
                <w:sz w:val="24"/>
                <w:color w:val="000000"/>
              </w:rPr>
              <w:t>赛事地住宿方案</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4、签证咨询与办理</w:t>
            </w:r>
          </w:p>
          <w:p>
            <w:pPr>
              <w:pStyle w:val="null3"/>
              <w:ind w:firstLine="424"/>
              <w:jc w:val="both"/>
            </w:pPr>
            <w:r>
              <w:rPr>
                <w:rFonts w:ascii="仿宋_GB2312" w:hAnsi="仿宋_GB2312" w:cs="仿宋_GB2312" w:eastAsia="仿宋_GB2312"/>
                <w:sz w:val="24"/>
                <w:color w:val="000000"/>
              </w:rPr>
              <w:t>为保障团队全员提供目标国家签证政策解读、材料清单定制及全程代办服务，包括：</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加急签证申请（如遇紧急任务）；</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多国联签协调（针对连续转场需求）；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签证风险预警及应急预案。</w:t>
            </w:r>
          </w:p>
          <w:p>
            <w:pPr>
              <w:pStyle w:val="null3"/>
              <w:ind w:firstLine="424"/>
              <w:jc w:val="both"/>
            </w:pPr>
            <w:r>
              <w:rPr>
                <w:rFonts w:ascii="仿宋_GB2312" w:hAnsi="仿宋_GB2312" w:cs="仿宋_GB2312" w:eastAsia="仿宋_GB2312"/>
                <w:sz w:val="24"/>
                <w:color w:val="000000"/>
              </w:rPr>
              <w:t>根据保障服务</w:t>
            </w:r>
            <w:r>
              <w:rPr>
                <w:rFonts w:ascii="仿宋_GB2312" w:hAnsi="仿宋_GB2312" w:cs="仿宋_GB2312" w:eastAsia="仿宋_GB2312"/>
                <w:sz w:val="24"/>
                <w:color w:val="000000"/>
              </w:rPr>
              <w:t>出行路线规划及</w:t>
            </w:r>
            <w:r>
              <w:rPr>
                <w:rFonts w:ascii="仿宋_GB2312" w:hAnsi="仿宋_GB2312" w:cs="仿宋_GB2312" w:eastAsia="仿宋_GB2312"/>
                <w:sz w:val="24"/>
                <w:color w:val="000000"/>
              </w:rPr>
              <w:t>整体出行计划，提供签证办理方案。</w:t>
            </w:r>
          </w:p>
          <w:p>
            <w:pPr>
              <w:pStyle w:val="null3"/>
              <w:ind w:firstLine="424"/>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、赛事门票及</w:t>
            </w:r>
            <w:r>
              <w:rPr>
                <w:rFonts w:ascii="仿宋_GB2312" w:hAnsi="仿宋_GB2312" w:cs="仿宋_GB2312" w:eastAsia="仿宋_GB2312"/>
                <w:sz w:val="24"/>
                <w:color w:val="000000"/>
              </w:rPr>
              <w:t>赛事方</w:t>
            </w:r>
            <w:r>
              <w:rPr>
                <w:rFonts w:ascii="仿宋_GB2312" w:hAnsi="仿宋_GB2312" w:cs="仿宋_GB2312" w:eastAsia="仿宋_GB2312"/>
                <w:sz w:val="24"/>
                <w:color w:val="000000"/>
              </w:rPr>
              <w:t>协调</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）协助获取国际赛事观赛门票（需确保合法合规渠道），优先保障靠近运动员区域的席位；</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）协调赛事方、组委会及当地接待机构，确保团队通行权限及特殊需求响应。</w:t>
            </w:r>
          </w:p>
          <w:p>
            <w:pPr>
              <w:pStyle w:val="null3"/>
              <w:ind w:firstLine="424"/>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、后勤综合支持</w:t>
            </w:r>
            <w:r>
              <w:rPr>
                <w:rFonts w:ascii="仿宋_GB2312" w:hAnsi="仿宋_GB2312" w:cs="仿宋_GB2312" w:eastAsia="仿宋_GB2312"/>
                <w:sz w:val="24"/>
                <w:color w:val="000000"/>
              </w:rPr>
              <w:t>服务</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地餐饮</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方案（含运动员特殊营养需求定制）；</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）紧急情况下的医疗联络、翻译服务及当地</w:t>
            </w:r>
            <w:r>
              <w:rPr>
                <w:rFonts w:ascii="仿宋_GB2312" w:hAnsi="仿宋_GB2312" w:cs="仿宋_GB2312" w:eastAsia="仿宋_GB2312"/>
                <w:sz w:val="24"/>
                <w:color w:val="000000"/>
              </w:rPr>
              <w:t>相应</w:t>
            </w:r>
            <w:r>
              <w:rPr>
                <w:rFonts w:ascii="仿宋_GB2312" w:hAnsi="仿宋_GB2312" w:cs="仿宋_GB2312" w:eastAsia="仿宋_GB2312"/>
                <w:sz w:val="24"/>
                <w:color w:val="000000"/>
              </w:rPr>
              <w:t>资源对接</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）全球主要城市地接服务（含中文翻译、安全须知等）。</w:t>
            </w:r>
          </w:p>
          <w:p>
            <w:pPr>
              <w:pStyle w:val="null3"/>
              <w:ind w:firstLine="424"/>
              <w:jc w:val="both"/>
            </w:pPr>
            <w:r>
              <w:rPr>
                <w:rFonts w:ascii="仿宋_GB2312" w:hAnsi="仿宋_GB2312" w:cs="仿宋_GB2312" w:eastAsia="仿宋_GB2312"/>
                <w:sz w:val="24"/>
                <w:color w:val="000000"/>
              </w:rPr>
              <w:t>7、赛事地（暂定，以最终采购人确定赛事地为准。）</w:t>
            </w:r>
          </w:p>
          <w:tbl>
            <w:tblPr>
              <w:tblBorders>
                <w:top w:val="none" w:color="000000" w:sz="4"/>
                <w:left w:val="none" w:color="000000" w:sz="4"/>
                <w:bottom w:val="none" w:color="000000" w:sz="4"/>
                <w:right w:val="none" w:color="000000" w:sz="4"/>
                <w:insideH w:val="none"/>
                <w:insideV w:val="none"/>
              </w:tblBorders>
            </w:tblPr>
            <w:tblGrid>
              <w:gridCol w:w="227"/>
              <w:gridCol w:w="434"/>
              <w:gridCol w:w="818"/>
              <w:gridCol w:w="806"/>
              <w:gridCol w:w="269"/>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赛事地</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服务期</w:t>
                  </w:r>
                </w:p>
                <w:p>
                  <w:pPr>
                    <w:pStyle w:val="null3"/>
                    <w:jc w:val="center"/>
                  </w:pPr>
                  <w:r>
                    <w:rPr>
                      <w:rFonts w:ascii="仿宋_GB2312" w:hAnsi="仿宋_GB2312" w:cs="仿宋_GB2312" w:eastAsia="仿宋_GB2312"/>
                      <w:sz w:val="24"/>
                      <w:b/>
                      <w:color w:val="000000"/>
                    </w:rPr>
                    <w:t>（以赛事最终时间为准）</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预算金额（单位：元）</w:t>
                  </w:r>
                </w:p>
                <w:p>
                  <w:pPr>
                    <w:pStyle w:val="null3"/>
                    <w:jc w:val="left"/>
                  </w:pPr>
                  <w:r>
                    <w:rPr>
                      <w:rFonts w:ascii="仿宋_GB2312" w:hAnsi="仿宋_GB2312" w:cs="仿宋_GB2312" w:eastAsia="仿宋_GB2312"/>
                      <w:sz w:val="24"/>
                      <w:b/>
                      <w:color w:val="000000"/>
                    </w:rPr>
                    <w:t>（以实际发生金额为准）</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伦敦站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10月20日-26日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207230.00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日本站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8月7日-11日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171350.00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澳门站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9月9日-14日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161690.00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蒙彼利埃站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11月28日-11月2日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232760.00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德国站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11月4日-9日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251160.00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总决赛</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11月25日-30日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231380.00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大满贯北京站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9月28日-10月5日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70835.</w:t>
                  </w:r>
                  <w:r>
                    <w:rPr>
                      <w:rFonts w:ascii="仿宋_GB2312" w:hAnsi="仿宋_GB2312" w:cs="仿宋_GB2312" w:eastAsia="仿宋_GB2312"/>
                      <w:sz w:val="24"/>
                      <w:color w:val="000000"/>
                    </w:rPr>
                    <w:t>0</w:t>
                  </w:r>
                  <w:r>
                    <w:rPr>
                      <w:rFonts w:ascii="仿宋_GB2312" w:hAnsi="仿宋_GB2312" w:cs="仿宋_GB2312" w:eastAsia="仿宋_GB2312"/>
                      <w:sz w:val="24"/>
                      <w:color w:val="000000"/>
                    </w:rPr>
                    <w:t>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大满贯全新站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8月14日-24日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241500.00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突尼斯站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4月22日-27日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212405.00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卡塔尔多哈世乒赛</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5月17日-25日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194810.00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北马其顿斯科普里站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6月9日-15日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183885.00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斯洛文尼亚卢布尔雅那站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6月17日-22日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190785.00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克罗地亚萨格勒布站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6月23日-29日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215970.00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哈萨克斯坦阿拉木图站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9月1日-7日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207115.00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巴西圣保罗站</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7月29日-8月3日</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202745.00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color w:val="000000"/>
              </w:rPr>
              <w:t>8、保障团队人数：4人，若采购人因保障任务临时有人数增加不超2人的，服务报价费用应包含在本次保障团队人数内。</w:t>
            </w:r>
          </w:p>
          <w:p>
            <w:pPr>
              <w:pStyle w:val="null3"/>
              <w:ind w:firstLine="424"/>
              <w:jc w:val="both"/>
            </w:pPr>
            <w:r>
              <w:rPr>
                <w:rFonts w:ascii="仿宋_GB2312" w:hAnsi="仿宋_GB2312" w:cs="仿宋_GB2312" w:eastAsia="仿宋_GB2312"/>
                <w:sz w:val="24"/>
                <w:color w:val="000000"/>
              </w:rPr>
              <w:t>（二）服务要求</w:t>
            </w:r>
          </w:p>
          <w:p>
            <w:pPr>
              <w:pStyle w:val="null3"/>
              <w:ind w:firstLine="424"/>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赛事举办地</w:t>
            </w:r>
            <w:r>
              <w:rPr>
                <w:rFonts w:ascii="仿宋_GB2312" w:hAnsi="仿宋_GB2312" w:cs="仿宋_GB2312" w:eastAsia="仿宋_GB2312"/>
                <w:sz w:val="24"/>
                <w:color w:val="000000"/>
              </w:rPr>
              <w:t>出行及住宿基本</w:t>
            </w:r>
            <w:r>
              <w:rPr>
                <w:rFonts w:ascii="仿宋_GB2312" w:hAnsi="仿宋_GB2312" w:cs="仿宋_GB2312" w:eastAsia="仿宋_GB2312"/>
                <w:sz w:val="24"/>
                <w:color w:val="000000"/>
              </w:rPr>
              <w:t>标准：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安全性：优先选择治安良好、交通便利区域，</w:t>
            </w:r>
            <w:r>
              <w:rPr>
                <w:rFonts w:ascii="仿宋_GB2312" w:hAnsi="仿宋_GB2312" w:cs="仿宋_GB2312" w:eastAsia="仿宋_GB2312"/>
                <w:sz w:val="24"/>
                <w:color w:val="000000"/>
              </w:rPr>
              <w:t>租车、用车等方便高效</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功能性：</w:t>
            </w:r>
            <w:r>
              <w:rPr>
                <w:rFonts w:ascii="仿宋_GB2312" w:hAnsi="仿宋_GB2312" w:cs="仿宋_GB2312" w:eastAsia="仿宋_GB2312"/>
                <w:sz w:val="24"/>
                <w:color w:val="000000"/>
              </w:rPr>
              <w:t>住宿地或周边</w:t>
            </w:r>
            <w:r>
              <w:rPr>
                <w:rFonts w:ascii="仿宋_GB2312" w:hAnsi="仿宋_GB2312" w:cs="仿宋_GB2312" w:eastAsia="仿宋_GB2312"/>
                <w:sz w:val="24"/>
                <w:color w:val="000000"/>
              </w:rPr>
              <w:t>需配备基础医疗设备存放空间、小型会议场所等；</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灵活性：</w:t>
            </w:r>
            <w:r>
              <w:rPr>
                <w:rFonts w:ascii="仿宋_GB2312" w:hAnsi="仿宋_GB2312" w:cs="仿宋_GB2312" w:eastAsia="仿宋_GB2312"/>
                <w:sz w:val="24"/>
                <w:color w:val="000000"/>
              </w:rPr>
              <w:t>住宿、交通工具应</w:t>
            </w:r>
            <w:r>
              <w:rPr>
                <w:rFonts w:ascii="仿宋_GB2312" w:hAnsi="仿宋_GB2312" w:cs="仿宋_GB2312" w:eastAsia="仿宋_GB2312"/>
                <w:sz w:val="24"/>
                <w:color w:val="000000"/>
              </w:rPr>
              <w:t>支持按日</w:t>
            </w:r>
            <w:r>
              <w:rPr>
                <w:rFonts w:ascii="仿宋_GB2312" w:hAnsi="仿宋_GB2312" w:cs="仿宋_GB2312" w:eastAsia="仿宋_GB2312"/>
                <w:sz w:val="24"/>
                <w:color w:val="000000"/>
              </w:rPr>
              <w:t>/周/月短租，可随时根据</w:t>
            </w:r>
            <w:r>
              <w:rPr>
                <w:rFonts w:ascii="仿宋_GB2312" w:hAnsi="仿宋_GB2312" w:cs="仿宋_GB2312" w:eastAsia="仿宋_GB2312"/>
                <w:sz w:val="24"/>
                <w:color w:val="000000"/>
              </w:rPr>
              <w:t>保障</w:t>
            </w:r>
            <w:r>
              <w:rPr>
                <w:rFonts w:ascii="仿宋_GB2312" w:hAnsi="仿宋_GB2312" w:cs="仿宋_GB2312" w:eastAsia="仿宋_GB2312"/>
                <w:sz w:val="24"/>
                <w:color w:val="000000"/>
              </w:rPr>
              <w:t>任务调整；</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）提供不同预算档位的住宿、</w:t>
            </w:r>
            <w:r>
              <w:rPr>
                <w:rFonts w:ascii="仿宋_GB2312" w:hAnsi="仿宋_GB2312" w:cs="仿宋_GB2312" w:eastAsia="仿宋_GB2312"/>
                <w:sz w:val="24"/>
                <w:color w:val="000000"/>
              </w:rPr>
              <w:t>出行</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应包</w:t>
            </w:r>
            <w:r>
              <w:rPr>
                <w:rFonts w:ascii="仿宋_GB2312" w:hAnsi="仿宋_GB2312" w:cs="仿宋_GB2312" w:eastAsia="仿宋_GB2312"/>
                <w:sz w:val="24"/>
                <w:color w:val="000000"/>
              </w:rPr>
              <w:t>含协议价格谈判</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服务人员配置要求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1）服务人员拟配备3-5人，负责执行各项具体工作，包括但不限于制定出行方案、住宿方案、签证办理、赛事门票办理、主办方协调、保障服务餐安排、</w:t>
            </w:r>
            <w:r>
              <w:rPr>
                <w:rFonts w:ascii="仿宋_GB2312" w:hAnsi="仿宋_GB2312" w:cs="仿宋_GB2312" w:eastAsia="仿宋_GB2312"/>
                <w:sz w:val="24"/>
                <w:color w:val="000000"/>
              </w:rPr>
              <w:t>医疗联络、翻译服务</w:t>
            </w:r>
            <w:r>
              <w:rPr>
                <w:rFonts w:ascii="仿宋_GB2312" w:hAnsi="仿宋_GB2312" w:cs="仿宋_GB2312" w:eastAsia="仿宋_GB2312"/>
                <w:sz w:val="24"/>
                <w:color w:val="000000"/>
              </w:rPr>
              <w:t>等工作内容。</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其中拟派旅行规划师1人，具备相关证书或有相关类似经验，拟派外语协调专员1人，具备英语沟通交流能力，另需具备小语种能力，如日语、法语、德语，提供现场录音，速记，多语种同声传译服务并配备相关设备。</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3）其中拟配备项目负责人1人，负责协调和管理与项目相关的行政、人事、财务、后勤保障等工作。</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4）非不必要人员不得以服务名义参与项目保障服务。</w:t>
            </w:r>
          </w:p>
          <w:p>
            <w:pPr>
              <w:pStyle w:val="null3"/>
              <w:ind w:firstLine="424"/>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、服务响应标准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）需求确认后</w:t>
            </w:r>
            <w:r>
              <w:rPr>
                <w:rFonts w:ascii="仿宋_GB2312" w:hAnsi="仿宋_GB2312" w:cs="仿宋_GB2312" w:eastAsia="仿宋_GB2312"/>
                <w:sz w:val="24"/>
                <w:color w:val="000000"/>
              </w:rPr>
              <w:t>24小时内提供初步</w:t>
            </w:r>
            <w:r>
              <w:rPr>
                <w:rFonts w:ascii="仿宋_GB2312" w:hAnsi="仿宋_GB2312" w:cs="仿宋_GB2312" w:eastAsia="仿宋_GB2312"/>
                <w:sz w:val="24"/>
                <w:color w:val="000000"/>
              </w:rPr>
              <w:t>出行</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并提报采购人确认后开展实施</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）紧急事务（如签证加急、行程变更）确保</w:t>
            </w:r>
            <w:r>
              <w:rPr>
                <w:rFonts w:ascii="仿宋_GB2312" w:hAnsi="仿宋_GB2312" w:cs="仿宋_GB2312" w:eastAsia="仿宋_GB2312"/>
                <w:sz w:val="24"/>
                <w:color w:val="000000"/>
              </w:rPr>
              <w:t>30分钟内响应并启动处理；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）全程配备专属项目经理及</w:t>
            </w:r>
            <w:r>
              <w:rPr>
                <w:rFonts w:ascii="仿宋_GB2312" w:hAnsi="仿宋_GB2312" w:cs="仿宋_GB2312" w:eastAsia="仿宋_GB2312"/>
                <w:sz w:val="24"/>
                <w:color w:val="000000"/>
              </w:rPr>
              <w:t>7×24小时应急联络通道。</w:t>
            </w:r>
          </w:p>
          <w:p>
            <w:pPr>
              <w:pStyle w:val="null3"/>
              <w:ind w:firstLine="424"/>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、合规与保密</w:t>
            </w:r>
            <w:r>
              <w:rPr>
                <w:rFonts w:ascii="仿宋_GB2312" w:hAnsi="仿宋_GB2312" w:cs="仿宋_GB2312" w:eastAsia="仿宋_GB2312"/>
                <w:sz w:val="24"/>
                <w:color w:val="000000"/>
              </w:rPr>
              <w:t>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）严格遵守中国及目的地国家法律法规，杜绝违规操作风险；</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）签署保密协议，确保团队行程、人员信息及任务内容不外泄。</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3）供应商应对所有非公开的项目信息（无论是由采购人提供或供应商从其他渠道获悉）严格保密，直至相关信息公开为止。供应商应承担其自身原因造成非公开的项目信息泄露所产生的经济和法律责任</w:t>
            </w:r>
            <w:r>
              <w:rPr>
                <w:rFonts w:ascii="仿宋_GB2312" w:hAnsi="仿宋_GB2312" w:cs="仿宋_GB2312" w:eastAsia="仿宋_GB2312"/>
                <w:sz w:val="24"/>
                <w:b/>
                <w:color w:val="000000"/>
              </w:rPr>
              <w:t>（提供承诺函）</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5、具体服务要求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1）供应商应当将服务要求进行分解细化，形成各个相互关联的子项目，并形成书面工作方案。成交供应商应当定期向采购人递交、汇报工作方案，以便双方确认和认可项目推进进度。</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2）供应商承诺合同签订之日起的5个工作日为准备期，在准备期内成交供应商做好采购文件要求或承诺的各项软件、硬件的准备工作（提供承诺函）。</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应在项目具体操作过程中，根据采购人具体要求及所提供的赛事服务保障任务相关资料，按照相关行业技术规范要求，按服务响应标准要求向采购人提供合作内容有关信息、方案，并由采购人进行核定、确认。如供应商向采购人提供的方案未能通过采购人确认，需及时向采购人说明情况或进行修改。</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4）供应商在服务过程中应积极主动与采购人进行沟通，本着诚实信用的原则高效率地提供各项服务，按规定的时限范围内高质量地完成工作并提供最终执行结果报告。</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5）在服务保障任务过程中，采购人需要供应商陪同的，供应商应当配合；供应商在赛事地的各类资源，采购人有权免费享有。</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6）供应商不得利用采购人的委托，从事超越保障服务内容要求范围的非正常活动和违法行为。</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供应商应保证在本项目使用的任何产品和服务（包括部分使用）时，不会产生因第三方提出侵犯其专利权、商标权或其他知识产权而引起的法律和经济纠纷，如因专利权、商标权或其他知识产权而引起法律和经济纠纷，由供应商承担所有相关责任。</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8）采购人享有本项目实施过程中产生的知识成果及知识产权。</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供应商如欲在项目实施过程中采用自有知识成果，需在响应文件中声明，并提供相关知识产权证明文件。使用该知识成果后，供应商需向采购人承诺提供无限期技术支持，采购人享有永久使用权（含采购人委托第三方在该项目后续开发的使用权）。如供应商使用其所不拥有的知识产权，则在报价中必须包括合法获取该知识产权的相关费用。</w:t>
            </w:r>
          </w:p>
          <w:p>
            <w:pPr>
              <w:pStyle w:val="null3"/>
              <w:ind w:firstLine="424"/>
              <w:jc w:val="both"/>
            </w:pPr>
            <w:r>
              <w:rPr>
                <w:rFonts w:ascii="仿宋_GB2312" w:hAnsi="仿宋_GB2312" w:cs="仿宋_GB2312" w:eastAsia="仿宋_GB2312"/>
                <w:sz w:val="24"/>
                <w:color w:val="000000"/>
              </w:rPr>
              <w:t>6、其他要求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供应商需具有应对突发事件的解决能力，做到快速响应并及时与采购方工作人员沟通，妥当处理突发事件（含意识形态），以保障</w:t>
            </w:r>
            <w:r>
              <w:rPr>
                <w:rFonts w:ascii="仿宋_GB2312" w:hAnsi="仿宋_GB2312" w:cs="仿宋_GB2312" w:eastAsia="仿宋_GB2312"/>
                <w:sz w:val="24"/>
                <w:color w:val="000000"/>
              </w:rPr>
              <w:t>任务</w:t>
            </w:r>
            <w:r>
              <w:rPr>
                <w:rFonts w:ascii="仿宋_GB2312" w:hAnsi="仿宋_GB2312" w:cs="仿宋_GB2312" w:eastAsia="仿宋_GB2312"/>
                <w:sz w:val="24"/>
                <w:color w:val="000000"/>
              </w:rPr>
              <w:t>顺利进行；</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w:t>
            </w:r>
            <w:r>
              <w:rPr>
                <w:rFonts w:ascii="仿宋_GB2312" w:hAnsi="仿宋_GB2312" w:cs="仿宋_GB2312" w:eastAsia="仿宋_GB2312"/>
                <w:sz w:val="24"/>
                <w:color w:val="000000"/>
              </w:rPr>
              <w:t>有效期内，成交供应商需提供每周</w:t>
            </w:r>
            <w:r>
              <w:rPr>
                <w:rFonts w:ascii="仿宋_GB2312" w:hAnsi="仿宋_GB2312" w:cs="仿宋_GB2312" w:eastAsia="仿宋_GB2312"/>
                <w:sz w:val="24"/>
                <w:color w:val="000000"/>
              </w:rPr>
              <w:t>7个工作日×</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小时热线和长期免费服务支持，无条件响应采购方在该项目上的时间安排（提供承诺函）。</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所投报价为完成该项目的一切费用总和（固定总价），包括相关服务人员的管理费、人工费、差旅费、会务费、资料费、税金、后续服务费及合同包括的所有风险、责任等全部费用</w:t>
            </w:r>
            <w:r>
              <w:rPr>
                <w:rFonts w:ascii="仿宋_GB2312" w:hAnsi="仿宋_GB2312" w:cs="仿宋_GB2312" w:eastAsia="仿宋_GB2312"/>
                <w:sz w:val="24"/>
                <w:color w:val="000000"/>
              </w:rPr>
              <w:t>，最终结算费用按实际发生费用据实结算，但不超供应商投标报价</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供应商应充分考虑所有可能影响到报价的价格及政策等风险因素，一旦成交，服务总价将包定，不予调整。</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供应商的任何错漏、优惠、竞争性报价不得作为减轻责任、减少服务、增加收费、降低质量的理由。</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供应商所用人员必须按照《中华人民共和国劳动法》及相关法律法规的规定执行，如遇到工资、保险、人身伤害、事故、安全生产等纠纷问题均由供应商自行负责、解决。</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供应商报价除包含采购文件中列明的项目外还应包括保障服务正常运行应当具有的物资和服务，对服务正常运行应当具有的物资和服务理解不一致的以采购人理解为准。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如项目实施过程中出现成交供应商不按响应文件或合同内容要求执行，无法满足于项目实施标准要求、偷工减料、降低质量标准等行为，采购人有权终止合同，并报政府采购管理部门严肃处理。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供应商必须根据所投服务的技术参数、资质资料编写响应文件。在成交结果公示期间，采购人有权对成交候选人所投服务的技术指标、资质证书资料等进行任何形式的核查，如发现与其响应文件中的描述不一或所提供的材料为虚假材料，采购人有权拒签合同，并报政府采购主管部门严肃处理。</w:t>
            </w:r>
          </w:p>
          <w:p>
            <w:pPr>
              <w:pStyle w:val="null3"/>
              <w:ind w:firstLine="424"/>
              <w:jc w:val="both"/>
            </w:pPr>
            <w:r>
              <w:rPr>
                <w:rFonts w:ascii="仿宋_GB2312" w:hAnsi="仿宋_GB2312" w:cs="仿宋_GB2312" w:eastAsia="仿宋_GB2312"/>
                <w:sz w:val="28"/>
                <w:b/>
                <w:color w:val="000000"/>
              </w:rPr>
              <w:t>注：技术和服务要求的全部内容均需在《技术响应表》中逐条进行响应说明，响应时应根据条款要求提供相关材料。</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4"/>
              <w:jc w:val="both"/>
            </w:pPr>
            <w:r>
              <w:rPr>
                <w:rFonts w:ascii="仿宋_GB2312" w:hAnsi="仿宋_GB2312" w:cs="仿宋_GB2312" w:eastAsia="仿宋_GB2312"/>
                <w:sz w:val="24"/>
                <w:color w:val="000000"/>
              </w:rPr>
              <w:t>1、供应商应充分了解本项目特点，项目费用须包括采购范围内全部内容的费用，并配合采购人完成相关工作及不可预见风险等所有费用。直到验收合格为止，采购人不再支付除合同价款以外的任何费用。</w:t>
            </w:r>
          </w:p>
          <w:p>
            <w:pPr>
              <w:pStyle w:val="null3"/>
              <w:ind w:firstLine="424"/>
              <w:jc w:val="both"/>
            </w:pPr>
            <w:r>
              <w:rPr>
                <w:rFonts w:ascii="仿宋_GB2312" w:hAnsi="仿宋_GB2312" w:cs="仿宋_GB2312" w:eastAsia="仿宋_GB2312"/>
                <w:sz w:val="24"/>
                <w:color w:val="000000"/>
              </w:rPr>
              <w:t>2、供应商在报价时应充分考虑本次采购的各种风险（包括漏项风险），在合同执行期间成交价不再实行政策性调整和变动。</w:t>
            </w:r>
          </w:p>
          <w:p>
            <w:pPr>
              <w:pStyle w:val="null3"/>
              <w:ind w:firstLine="424"/>
              <w:jc w:val="both"/>
            </w:pPr>
            <w:r>
              <w:rPr>
                <w:rFonts w:ascii="仿宋_GB2312" w:hAnsi="仿宋_GB2312" w:cs="仿宋_GB2312" w:eastAsia="仿宋_GB2312"/>
                <w:sz w:val="24"/>
                <w:color w:val="000000"/>
              </w:rPr>
              <w:t>3、评标委员会根据财办库{2024}265号文件规定判定供应商的报价明显低于其他通过符合性审查供应商的报价，有可能影响服务或者不能诚信履约的，应当要求其在评标现场合理的时间内提供书面说明，必要时提交成本核算等相关证明材料；供应商人不能证明其报价合理性的，评标委员会应当将其作为无效投标处理。</w:t>
            </w:r>
          </w:p>
          <w:p>
            <w:pPr>
              <w:pStyle w:val="null3"/>
              <w:ind w:firstLine="424"/>
              <w:jc w:val="both"/>
            </w:pPr>
            <w:r>
              <w:rPr>
                <w:rFonts w:ascii="仿宋_GB2312" w:hAnsi="仿宋_GB2312" w:cs="仿宋_GB2312" w:eastAsia="仿宋_GB2312"/>
                <w:sz w:val="24"/>
                <w:color w:val="000000"/>
              </w:rPr>
              <w:t>4、付款方式：每月根据实际保障行程的需求，在行前3个工作日支付保障任务预算费用的50%，保障任务结束后根据实际发生费用据实结算（具体细节以最终合同约定为准）。</w:t>
            </w:r>
          </w:p>
          <w:p>
            <w:pPr>
              <w:pStyle w:val="null3"/>
              <w:ind w:firstLine="424"/>
              <w:jc w:val="both"/>
            </w:pPr>
            <w:r>
              <w:rPr>
                <w:rFonts w:ascii="仿宋_GB2312" w:hAnsi="仿宋_GB2312" w:cs="仿宋_GB2312" w:eastAsia="仿宋_GB2312"/>
                <w:sz w:val="24"/>
                <w:color w:val="000000"/>
              </w:rPr>
              <w:t>5、合同履行期限（服务期）：自签订合同之日起至项目结束。</w:t>
            </w:r>
          </w:p>
          <w:p>
            <w:pPr>
              <w:pStyle w:val="null3"/>
              <w:ind w:firstLine="424"/>
              <w:jc w:val="both"/>
            </w:pPr>
            <w:r>
              <w:rPr>
                <w:rFonts w:ascii="仿宋_GB2312" w:hAnsi="仿宋_GB2312" w:cs="仿宋_GB2312" w:eastAsia="仿宋_GB2312"/>
                <w:sz w:val="24"/>
                <w:color w:val="000000"/>
              </w:rPr>
              <w:t>6、服务地点：</w:t>
            </w:r>
            <w:r>
              <w:rPr>
                <w:rFonts w:ascii="仿宋_GB2312" w:hAnsi="仿宋_GB2312" w:cs="仿宋_GB2312" w:eastAsia="仿宋_GB2312"/>
                <w:sz w:val="24"/>
                <w:color w:val="000000"/>
              </w:rPr>
              <w:t>采购人指定地点</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7、质量标准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满足国家及省市相关文件、服务规范的要求。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提供的服务内容须满足本项目采购需求的要求、投标文件中的相关承诺及合同约定要求。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所提供的服务内容应符合国家或行业标准，必须保证提供的服务内容完全满足采购需求，全程跟踪调整及高效处理出行问题等关键内容，如发现供应商所提供服务内容不符合国家或行业标准，采购人有权终止合同，并拒付货款，供应商需承担全部责任并赔偿所造成的的一切损失。</w:t>
            </w:r>
          </w:p>
          <w:p>
            <w:pPr>
              <w:pStyle w:val="null3"/>
              <w:ind w:firstLine="424"/>
              <w:jc w:val="both"/>
            </w:pPr>
            <w:r>
              <w:rPr>
                <w:rFonts w:ascii="仿宋_GB2312" w:hAnsi="仿宋_GB2312" w:cs="仿宋_GB2312" w:eastAsia="仿宋_GB2312"/>
                <w:sz w:val="24"/>
                <w:color w:val="000000"/>
              </w:rPr>
              <w:t>8、验收标准及方法</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符合国家及省市相关文件、技术规范要求的要求。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满足采购人履约验收要求，供应商遵守合同约定，按时间进度计划，高效、高质量完成合同要求的服务。</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采购文件的技术服务要求、成交供应商的响应文件以及合同约定标准进行验收。</w:t>
            </w:r>
          </w:p>
          <w:p>
            <w:pPr>
              <w:pStyle w:val="null3"/>
              <w:ind w:firstLine="424"/>
              <w:jc w:val="both"/>
            </w:pPr>
            <w:r>
              <w:rPr>
                <w:rFonts w:ascii="仿宋_GB2312" w:hAnsi="仿宋_GB2312" w:cs="仿宋_GB2312" w:eastAsia="仿宋_GB2312"/>
                <w:sz w:val="24"/>
                <w:color w:val="000000"/>
              </w:rPr>
              <w:t>9、知识产权归属</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应保证，采购人在中华人民共和国使用供应商提供的货物或服务的任何一部分时，采购人免受第三方提出侵犯其专利权、商标权或其它知识产权的起诉。如采购人因此遭受到第三方的索赔、诉讼或任何权利请求，供应商有义务负责处理纠纷，承担全部赔偿责任，并赔偿采购人因此产生的一切损失（包括但不限于赔偿金</w:t>
            </w:r>
            <w:r>
              <w:rPr>
                <w:rFonts w:ascii="仿宋_GB2312" w:hAnsi="仿宋_GB2312" w:cs="仿宋_GB2312" w:eastAsia="仿宋_GB2312"/>
                <w:sz w:val="24"/>
                <w:color w:val="000000"/>
              </w:rPr>
              <w:t>/和解款、律师费、诉讼费/仲裁费、差旅费等损失）。</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合同总价应包括所有应支付的对专利权和版权、设计或其他知识产权而需要向其他方支付的版税。</w:t>
            </w:r>
          </w:p>
          <w:p>
            <w:pPr>
              <w:pStyle w:val="null3"/>
              <w:ind w:firstLine="424"/>
              <w:jc w:val="both"/>
            </w:pPr>
            <w:r>
              <w:rPr>
                <w:rFonts w:ascii="仿宋_GB2312" w:hAnsi="仿宋_GB2312" w:cs="仿宋_GB2312" w:eastAsia="仿宋_GB2312"/>
                <w:sz w:val="24"/>
                <w:color w:val="000000"/>
              </w:rPr>
              <w:t>10、其他要求</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当成交供应商存在拒签合同或因履约不力被解除合同时，采购人有从拟成交候选人中重新确定成交供应商并签订合同或重新进行采购确定成交供应商的权利。</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因成交供应商原因造成采购合同无法按时签订，视为成交供应商违约，成交供应商违约对采购人造成的损失的，需另行支付相应的赔偿。</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在签定采购合同之后，成交供应商要求解除合同的，视为成交供应商违约，对采购人造成的损失的，成交供应商需支付相应的赔偿。</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成交供应商因自身原因需提前终止合同的，须至少提前</w:t>
            </w:r>
            <w:r>
              <w:rPr>
                <w:rFonts w:ascii="仿宋_GB2312" w:hAnsi="仿宋_GB2312" w:cs="仿宋_GB2312" w:eastAsia="仿宋_GB2312"/>
                <w:sz w:val="24"/>
                <w:color w:val="000000"/>
              </w:rPr>
              <w:t>30日历天以书面形式向采购人提出申请，经采购人同意后终止合同。</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因成交供应商原因发生重大质量事故，除依约承担赔偿责任外，还将按有关质量管理办法规定执行。同时，采购人有权保留更换成交供应商的权利，并报相关行政主管部门处罚。</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在明确违约责任后，成交供应商应在接到书面通知书起七天内支付违约金、赔偿金等。</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其他未尽事宜由采购人与成交供应商在采购合同中进行约定。</w:t>
            </w:r>
          </w:p>
          <w:p>
            <w:pPr>
              <w:pStyle w:val="null3"/>
              <w:ind w:firstLine="424"/>
              <w:jc w:val="both"/>
            </w:pPr>
            <w:r>
              <w:rPr>
                <w:rFonts w:ascii="仿宋_GB2312" w:hAnsi="仿宋_GB2312" w:cs="仿宋_GB2312" w:eastAsia="仿宋_GB2312"/>
                <w:sz w:val="28"/>
                <w:b/>
                <w:color w:val="000000"/>
              </w:rPr>
              <w:t>注：商务要求的全部内容均需在《商务响应表》中逐条进行响应说明，响应时应根据条款要求提供相关材料。</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具有政府有关行政主管部门颁发的《旅行社业务经营许可证》，许可经营业务需包含出境旅游业务</w:t>
            </w:r>
          </w:p>
        </w:tc>
        <w:tc>
          <w:tcPr>
            <w:tcW w:type="dxa" w:w="3322"/>
          </w:tcPr>
          <w:p>
            <w:pPr>
              <w:pStyle w:val="null3"/>
              <w:jc w:val="left"/>
            </w:pPr>
            <w:r>
              <w:rPr>
                <w:rFonts w:ascii="仿宋_GB2312" w:hAnsi="仿宋_GB2312" w:cs="仿宋_GB2312" w:eastAsia="仿宋_GB2312"/>
              </w:rPr>
              <w:t>提供企业有效的旅行社业务经营许可证复印件并加盖公章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供应商无不良信用记录的承诺函 其他材料 残疾人福利性单位声明函 供应商应提交的相关证明材料 无重大违法记录声明函 法定代表人资格证明书或法定代表人授权委托书 法律、行政法规规定的其他条件的承诺函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供应商根据项目需求内容制定合理的项目实施方案，其内容包括但不限于：项目实施计划、服务团队人员配置、服务流程及质量标准等内容等；综合评分如下： （1）内容详细完整，条理清晰，针对实际情况，考虑问题周全，可操作性强的得15分； （2）与项目实际匹配、符合项目特点，具有针对性，但考虑问题不够周全的得11分； （3）符合项目要求、项目特点，但内容覆盖不够细化的得7分 （4）基本符合项目要求，但操作有难度的得3分； （5）完全不适用本项目、不提供的不得分。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行程保障服务方案</w:t>
            </w:r>
          </w:p>
        </w:tc>
        <w:tc>
          <w:tcPr>
            <w:tcW w:type="dxa" w:w="2492"/>
          </w:tcPr>
          <w:p>
            <w:pPr>
              <w:pStyle w:val="null3"/>
              <w:jc w:val="left"/>
            </w:pPr>
            <w:r>
              <w:rPr>
                <w:rFonts w:ascii="仿宋_GB2312" w:hAnsi="仿宋_GB2312" w:cs="仿宋_GB2312" w:eastAsia="仿宋_GB2312"/>
              </w:rPr>
              <w:t>供应商根据项目需求内容制定合理的行程保障服务方案，其内容包括但不限于：人员签证代办、出行交通保障方案、住宿及餐食安排计划等内容等；综合评分如下： （1）内容详细完整，条理清晰，针对实际情况，考虑问题周全，可操作性强的得15分； （2）与项目实际匹配、符合项目特点，具有针对性，但考虑问题不够周全的得11分； （3）符合项目要求、项目特点，但内容覆盖不够细化的得7分 （4）基本符合项目要求，但操作有难度的得3分； （5）完全不适用本项目、不提供的不得分。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赛事及运动员服务方案</w:t>
            </w:r>
          </w:p>
        </w:tc>
        <w:tc>
          <w:tcPr>
            <w:tcW w:type="dxa" w:w="2492"/>
          </w:tcPr>
          <w:p>
            <w:pPr>
              <w:pStyle w:val="null3"/>
              <w:jc w:val="left"/>
            </w:pPr>
            <w:r>
              <w:rPr>
                <w:rFonts w:ascii="仿宋_GB2312" w:hAnsi="仿宋_GB2312" w:cs="仿宋_GB2312" w:eastAsia="仿宋_GB2312"/>
              </w:rPr>
              <w:t>供应商根据项目需求内容制定合理的赛事及运动员服务方案，其内容包括但不限于：随行人员赛事门票安排、运动员餐食制定、当地医疗资源对接等；综合评分如下： （1）内容详细完整，条理清晰，针对实际情况，考虑问题周全，可操作性强的得15分； （2）与项目实际匹配、符合项目特点，具有针对性，但考虑问题不够周全的得11分； （3）符合项目要求、项目特点，但内容覆盖不够细化的得7分 （4）基本符合项目要求，但操作有难度的得3分； （5）完全不适用本项目、不提供的不得分。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突发事件处理措施</w:t>
            </w:r>
          </w:p>
        </w:tc>
        <w:tc>
          <w:tcPr>
            <w:tcW w:type="dxa" w:w="2492"/>
          </w:tcPr>
          <w:p>
            <w:pPr>
              <w:pStyle w:val="null3"/>
              <w:jc w:val="left"/>
            </w:pPr>
            <w:r>
              <w:rPr>
                <w:rFonts w:ascii="仿宋_GB2312" w:hAnsi="仿宋_GB2312" w:cs="仿宋_GB2312" w:eastAsia="仿宋_GB2312"/>
              </w:rPr>
              <w:t>供应商根据项目需求内容制定合理的突发事件处理措施，其内容包括但不限于：应急小组人员配备、应急保障预案、突发事件处理流程等内容等；综合评分如下： （1）内容详细完整，条理清晰，针对实际情况，考虑问题周全，可操作性强的得15分； （2）与项目实际匹配、符合项目特点，具有针对性，但考虑问题不够周全的得11分； （3）符合项目要求、项目特点，但内容覆盖不够细化的得7分 （4）基本符合项目要求，但操作有难度的得3分； （5）完全不适用本项目、不提供的不得分。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供应商2022年1月1日至今具有承担过类似项目业绩，服务内容含海外定制出行住宿或类似服务的，得5分。 证明材料：提供2022年1月1日以来合同关键页（需体现服务内容和合同签订时间）复印件并加盖供应商公章，不提供不得分。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供应商2022年1月1日至今具有承担过类似项目业绩，服务内容含运动员保障或类似服务的，得5分。 证明材料：提供2022年1月1日以来合同关键页（需体现服务内容和合同签订时间）复印件并加盖供应商公章，不提供不得分。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服务人员</w:t>
            </w:r>
          </w:p>
        </w:tc>
        <w:tc>
          <w:tcPr>
            <w:tcW w:type="dxa" w:w="2492"/>
          </w:tcPr>
          <w:p>
            <w:pPr>
              <w:pStyle w:val="null3"/>
              <w:jc w:val="left"/>
            </w:pPr>
            <w:r>
              <w:rPr>
                <w:rFonts w:ascii="仿宋_GB2312" w:hAnsi="仿宋_GB2312" w:cs="仿宋_GB2312" w:eastAsia="仿宋_GB2312"/>
              </w:rPr>
              <w:t>基于采购需求，供应商承诺： 拟投入本项目的服务人员不少于3人的得1分，不少于5人的得3分，不少于7人的得5分。 证明材料：提供承诺函及人员清单并附人员身份证复印件以及在供应商单位2024年至今连续3个月社保证明并加盖供应商公章，不提供得不得分。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服务人员</w:t>
            </w:r>
          </w:p>
        </w:tc>
        <w:tc>
          <w:tcPr>
            <w:tcW w:type="dxa" w:w="2492"/>
          </w:tcPr>
          <w:p>
            <w:pPr>
              <w:pStyle w:val="null3"/>
              <w:jc w:val="left"/>
            </w:pPr>
            <w:r>
              <w:rPr>
                <w:rFonts w:ascii="仿宋_GB2312" w:hAnsi="仿宋_GB2312" w:cs="仿宋_GB2312" w:eastAsia="仿宋_GB2312"/>
              </w:rPr>
              <w:t>供应商拟投入的旅行规划师： 供应商承诺拟投入本项目的旅行规划师具备旅行规划证书或具有类似服务经验（需含海外旅行规划或运动员保障服务）的的得5分。 证明材料：提供人员身份证复印件、对应证书复印件或服务经验证明材料以及在供应商单位2024年至今连续3个月社保证明并加盖供应商公章，不提供得不得分。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服务人员</w:t>
            </w:r>
          </w:p>
        </w:tc>
        <w:tc>
          <w:tcPr>
            <w:tcW w:type="dxa" w:w="2492"/>
          </w:tcPr>
          <w:p>
            <w:pPr>
              <w:pStyle w:val="null3"/>
              <w:jc w:val="left"/>
            </w:pPr>
            <w:r>
              <w:rPr>
                <w:rFonts w:ascii="仿宋_GB2312" w:hAnsi="仿宋_GB2312" w:cs="仿宋_GB2312" w:eastAsia="仿宋_GB2312"/>
              </w:rPr>
              <w:t>供应商拟投入的外语协调专员： 供应商承诺拟投入本项目的外语协调专员具备雅思（或托福或其他同类外语考试）成绩均分7分以上（或同类级别）的得5分。 证明材料：提供人员身份证复印件、对应考试成绩截图以及在供应商单位2024年至今连续3个月社保证明并加盖供应商公章，不提供得不得分。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服务响应</w:t>
            </w:r>
          </w:p>
        </w:tc>
        <w:tc>
          <w:tcPr>
            <w:tcW w:type="dxa" w:w="2492"/>
          </w:tcPr>
          <w:p>
            <w:pPr>
              <w:pStyle w:val="null3"/>
              <w:jc w:val="left"/>
            </w:pPr>
            <w:r>
              <w:rPr>
                <w:rFonts w:ascii="仿宋_GB2312" w:hAnsi="仿宋_GB2312" w:cs="仿宋_GB2312" w:eastAsia="仿宋_GB2312"/>
              </w:rPr>
              <w:t>基于采购需求，供应商承诺： （1）需求确认后12小时内提供初步出行方案并提报采购人的； （2）紧急事务（如签证加急、行程变更）确保20分钟内响应并启动处理； （3）除配备专属项目经理7×24小时应急联络通道外，还配备项目助理7×24小时应急联络通道的。 提供以上承诺的得5分。 证明材料：提供承诺函并加盖供应商公章，不提供得不得分。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GGP20250218R</w:t>
      </w:r>
    </w:p>
    <w:p>
      <w:pPr>
        <w:pStyle w:val="null3"/>
        <w:jc w:val="left"/>
      </w:pPr>
      <w:r>
        <w:rPr>
          <w:rFonts w:ascii="仿宋_GB2312" w:hAnsi="仿宋_GB2312" w:cs="仿宋_GB2312" w:eastAsia="仿宋_GB2312"/>
        </w:rPr>
        <w:t>项目名称：</w:t>
      </w:r>
      <w:r>
        <w:rPr>
          <w:rFonts w:ascii="仿宋_GB2312" w:hAnsi="仿宋_GB2312" w:cs="仿宋_GB2312" w:eastAsia="仿宋_GB2312"/>
        </w:rPr>
        <w:t>运动员体能康复保障服务(二次)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运动员体能康复保障服务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服务范围</w:t>
            </w:r>
          </w:p>
        </w:tc>
        <w:tc>
          <w:tcPr>
            <w:tcW w:type="dxa" w:w="831"/>
          </w:tcPr>
          <w:p>
            <w:pPr>
              <w:pStyle w:val="null3"/>
              <w:jc w:val="left"/>
            </w:pPr>
            <w:r>
              <w:rPr>
                <w:rFonts w:ascii="仿宋_GB2312" w:hAnsi="仿宋_GB2312" w:cs="仿宋_GB2312" w:eastAsia="仿宋_GB2312"/>
              </w:rPr>
              <w:t xml:space="preserve"> 服务期限</w:t>
            </w:r>
          </w:p>
        </w:tc>
        <w:tc>
          <w:tcPr>
            <w:tcW w:type="dxa" w:w="831"/>
          </w:tcPr>
          <w:p>
            <w:pPr>
              <w:pStyle w:val="null3"/>
              <w:jc w:val="left"/>
            </w:pPr>
            <w:r>
              <w:rPr>
                <w:rFonts w:ascii="仿宋_GB2312" w:hAnsi="仿宋_GB2312" w:cs="仿宋_GB2312" w:eastAsia="仿宋_GB2312"/>
              </w:rPr>
              <w:t xml:space="preserve"> 服务地点</w:t>
            </w:r>
          </w:p>
        </w:tc>
        <w:tc>
          <w:tcPr>
            <w:tcW w:type="dxa" w:w="831"/>
          </w:tcPr>
          <w:p>
            <w:pPr>
              <w:pStyle w:val="null3"/>
              <w:jc w:val="left"/>
            </w:pPr>
            <w:r>
              <w:rPr>
                <w:rFonts w:ascii="仿宋_GB2312" w:hAnsi="仿宋_GB2312" w:cs="仿宋_GB2312" w:eastAsia="仿宋_GB2312"/>
              </w:rPr>
              <w:t xml:space="preserve"> 响应磋商有效期</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运动员体能康复保障服务</w:t>
            </w:r>
          </w:p>
        </w:tc>
        <w:tc>
          <w:tcPr>
            <w:tcW w:type="dxa" w:w="831"/>
          </w:tcPr>
          <w:p>
            <w:pPr>
              <w:pStyle w:val="null3"/>
              <w:jc w:val="left"/>
            </w:pPr>
            <w:r>
              <w:rPr>
                <w:rFonts w:ascii="仿宋_GB2312" w:hAnsi="仿宋_GB2312" w:cs="仿宋_GB2312" w:eastAsia="仿宋_GB2312"/>
              </w:rPr>
              <w:t xml:space="preserve"> 1.00项</w:t>
            </w:r>
          </w:p>
        </w:tc>
        <w:tc>
          <w:tcPr>
            <w:tcW w:type="dxa" w:w="831"/>
          </w:tcPr>
          <w:p>
            <w:pPr>
              <w:pStyle w:val="null3"/>
              <w:jc w:val="left"/>
            </w:pPr>
            <w:r>
              <w:rPr>
                <w:rFonts w:ascii="仿宋_GB2312" w:hAnsi="仿宋_GB2312" w:cs="仿宋_GB2312" w:eastAsia="仿宋_GB2312"/>
              </w:rPr>
              <w:t xml:space="preserve"> 2975620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