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</w:rPr>
        <w:t>分项报价明细表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</w:rPr>
        <w:t>招标编号：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</w:rPr>
        <w:t>包号：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包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 xml:space="preserve"> </w:t>
      </w:r>
    </w:p>
    <w:p w14:paraId="33BCB7AB">
      <w:pPr>
        <w:jc w:val="center"/>
        <w:rPr>
          <w:rFonts w:ascii="宋体" w:hAnsi="宋体" w:eastAsia="宋体" w:cs="宋体"/>
          <w:b/>
          <w:bCs/>
          <w:color w:val="auto"/>
          <w:sz w:val="24"/>
        </w:rPr>
      </w:pPr>
    </w:p>
    <w:tbl>
      <w:tblPr>
        <w:tblStyle w:val="6"/>
        <w:tblW w:w="4995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76"/>
        <w:gridCol w:w="696"/>
        <w:gridCol w:w="1656"/>
        <w:gridCol w:w="1296"/>
        <w:gridCol w:w="696"/>
        <w:gridCol w:w="1603"/>
        <w:gridCol w:w="696"/>
      </w:tblGrid>
      <w:tr w14:paraId="57A40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品名名称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品牌规格型号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数量/单位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1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0A887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7B34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F622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4D59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6729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739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25B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1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5B4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4409718C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  <w:bookmarkStart w:id="0" w:name="_GoBack"/>
      <w:bookmarkEnd w:id="0"/>
    </w:p>
    <w:p w14:paraId="13BD57E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①投标人必须按“分项报价明细表”的格式详细报出投标总价的各个组成部分的报价，否则作无效投标处理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3EB58CB9">
      <w:pPr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</w:rPr>
        <w:t>②“分项报价明细表”各分项报价合计应当与“开标一览表”报价合计相等。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14DD647F"/>
    <w:rsid w:val="3561658F"/>
    <w:rsid w:val="3A372257"/>
    <w:rsid w:val="56CF7A9E"/>
    <w:rsid w:val="65736F26"/>
    <w:rsid w:val="6E270787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176</Characters>
  <Lines>0</Lines>
  <Paragraphs>0</Paragraphs>
  <TotalTime>1</TotalTime>
  <ScaleCrop>false</ScaleCrop>
  <LinksUpToDate>false</LinksUpToDate>
  <CharactersWithSpaces>231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2025-04-15T02:45:17Z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