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三叶鱼藤除治项目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[HNRH]20250400001[GK]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海南清澜省级自然保护区管理站</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海南仁合建设工程咨询有限公司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海南清澜省级自然保护区管理站</w:t>
      </w:r>
      <w:r>
        <w:rPr>
          <w:rFonts w:ascii="仿宋_GB2312" w:hAnsi="仿宋_GB2312" w:cs="仿宋_GB2312" w:eastAsia="仿宋_GB2312"/>
        </w:rPr>
        <w:t xml:space="preserve"> 委托， </w:t>
      </w:r>
      <w:r>
        <w:rPr>
          <w:rFonts w:ascii="仿宋_GB2312" w:hAnsi="仿宋_GB2312" w:cs="仿宋_GB2312" w:eastAsia="仿宋_GB2312"/>
        </w:rPr>
        <w:t>海南仁合建设工程咨询有限公司</w:t>
      </w:r>
      <w:r>
        <w:rPr>
          <w:rFonts w:ascii="仿宋_GB2312" w:hAnsi="仿宋_GB2312" w:cs="仿宋_GB2312" w:eastAsia="仿宋_GB2312"/>
        </w:rPr>
        <w:t xml:space="preserve"> 对 </w:t>
      </w:r>
      <w:r>
        <w:rPr>
          <w:rFonts w:ascii="仿宋_GB2312" w:hAnsi="仿宋_GB2312" w:cs="仿宋_GB2312" w:eastAsia="仿宋_GB2312"/>
        </w:rPr>
        <w:t>三叶鱼藤除治项目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[HNRH]20250400001[GK]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三叶鱼藤除治项目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2,430,000.00元</w:t>
      </w:r>
      <w:r>
        <w:rPr>
          <w:rFonts w:ascii="仿宋_GB2312" w:hAnsi="仿宋_GB2312" w:cs="仿宋_GB2312" w:eastAsia="仿宋_GB2312"/>
        </w:rPr>
        <w:t>贰佰肆拾叁万元整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自签订合同之日起至2026年3月前完成工作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1、参加政府采购活动前三年内，无环保类行政处罚记录：参加政府采购活动前三年内，无环保类行政处罚记录。（提供声明函，加盖单位公章）</w:t>
      </w:r>
    </w:p>
    <w:p>
      <w:pPr>
        <w:pStyle w:val="null3"/>
        <w:jc w:val="left"/>
      </w:pPr>
      <w:r>
        <w:rPr>
          <w:rFonts w:ascii="仿宋_GB2312" w:hAnsi="仿宋_GB2312" w:cs="仿宋_GB2312" w:eastAsia="仿宋_GB2312"/>
        </w:rPr>
        <w:t>2、信用承诺：未被列入“信用中国”网站（www.creditchina.gov.cn）的“重大税收违法失信主体”、“政府采购严重违法失信行为记录名单”和中国政府采购网 (www.ccgp.gov.cn) 的“政府采购严重违法失信行为记录名单”以及中国执行信息公开网（http://zxgk.court.gov.cn/shixin/）“失信被执 行人”（提供承诺函，加盖单位公章）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发布媒体：海南省政府采购网上发布，有关本项目文件的补遗、澄清及变更信息以上述网站公告与下载为准，文件与更正公告的内容相互矛盾时，以最后发出的更正公告内容为准。2、有关本项目采购文件的补遗、澄清及变更信息以上述网站公告与下载为准，采购代理机构不再另行通知，采购文件与更正公告的内容相互矛盾时，以最后发出的更正公告内容为准。3、供应商须在海南政府采购网(https://ccgphainan.gov.cn/maincms-web/)中的海南省政府采购智慧云平台进行注册并完善信息，然后下载参与投标项目电子招标文件（数据包）及其他文件。4、注意事项：电子标采用全程电子化操作，供应商应详细阅读海南政府采购网的通知《海南省财政厅关于进一步推进政府采购全流程电子化的通知》，供应商使用交易系统遇到问题可致电技术支持：0591-38352553。5、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海南清澜省级自然保护区管理站</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海南省文昌市文城镇清澜圩老水产码头北侧海南清澜省级自然保护区管理站</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吕工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0898-63328856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海南仁合建设工程咨询有限公司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海南省海口市龙华区海垦街道金垦路一街一巷58号金牛生态小区A2栋二十号2003室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0898-68921235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采购包1：2,430,000.00元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从提交投标文件的截止之日起算的60天内有效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代理服务费收费标准：参照《招标代理服务收费管理暂行办法》(计价格(2002)1980号)文件规定的取费标准计算向中标方收取，招标代理服务费为￥15864.00元(大写:壹万伍仟捌佰陆拾肆元整)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在投标有效期内，经核实，若投标人所提供的相关证明材料有虚假材料，采购人将并保留提请行政主管部门将其列入不良企业名单的权利，若给采购人造成损失的，应给予赔偿，若其为中标单位，将取消其中标资格。 2.投标人自行踏勘，凡参加投标的投标人都将视其为对现场情况已充分了解。 3.本项目依据《关于在相关自由贸易试验区和自由贸易港开展推动解决政府采购异常低价问题试点工作的通知（财办库〔2024〕265 号）》的要求强化政府采购异常低价审查。符合该文要求的异常低价将启动异常低价投标（响应）审查程序。 评审委员会评审中出现下列情形之一的，应当启动异常低价投标（响应）审查程序：（一）投标（响应）报价低于全部通过符合性审查供应商投标（响应）报价平均值 50%的，即投标（响应）报价&lt;全部通过符合性审查供应商投标（响应）报价平均值×50%；（二）投标（响应）报价低于通过符合性审查且报价次低供应商投标（响应）报价 50%的，即投标（响应）报价&lt;通过符合性审查且报价次低供应商投标（响应）报价×50%；（三）投标（响应）报价低于采购项目最高限价 45%的，即投标（响应）报价&lt;采购项目最高限价×45%；（四）其他评审委员会认为供应商报价过低，有可能影响产品质量或者不能诚信履约的情形。启动异常低价投标（响应）审查后，评审委员会将要求相关供应商在评审现场合理的时间内提供书面说明及必要的证明材料，对投标（响应）价格作出解释。书面说明、证明材料主要是项目具体成本测算等与报价合理性相关的说明、材料。评审委员会将会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将会在评审报告中记录。 4.本项目所属行业：其他未列明行业。 5.开评标工作结束后，由中标单位在领取中标通知书时提供纸质投标文件正本1份、副本2份及投标文件电子文档1份至招标代理单位指定地点，纸质投标文件内容须与电子版投标文件内容一致。</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联系电话：0898-68921235</w:t>
      </w:r>
    </w:p>
    <w:p>
      <w:pPr>
        <w:pStyle w:val="null3"/>
        <w:jc w:val="left"/>
      </w:pPr>
      <w:r>
        <w:rPr>
          <w:rFonts w:ascii="仿宋_GB2312" w:hAnsi="仿宋_GB2312" w:cs="仿宋_GB2312" w:eastAsia="仿宋_GB2312"/>
        </w:rPr>
        <w:t>地址：海口市龙华区金岭路金牛生态小区A2栋2003室</w:t>
      </w:r>
    </w:p>
    <w:p>
      <w:pPr>
        <w:pStyle w:val="null3"/>
        <w:jc w:val="left"/>
      </w:pPr>
      <w:r>
        <w:rPr>
          <w:rFonts w:ascii="仿宋_GB2312" w:hAnsi="仿宋_GB2312" w:cs="仿宋_GB2312" w:eastAsia="仿宋_GB2312"/>
        </w:rPr>
        <w:t>邮编：570000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rPr>
        <w:t>改善红树林生长状况，恢复自然保护区红树林与水禽栖息环境，提高保护生物多样性及促进红树林生长，提升红树林防风、消浪、护岸、促淤保滩、净化水质等生态防护作用</w:t>
      </w:r>
      <w:r>
        <w:rPr>
          <w:rFonts w:ascii="仿宋_GB2312" w:hAnsi="仿宋_GB2312" w:cs="仿宋_GB2312" w:eastAsia="仿宋_GB2312"/>
        </w:rPr>
        <w:t>,保护海岸免受风浪侵蚀，为鸟类提供丰富的食物资源和栖息繁殖场所。努力将保护区建成集资源保护、科研监测、宣传教育于一体的自然保护区</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2,430,000.00</w:t>
      </w:r>
    </w:p>
    <w:p>
      <w:pPr>
        <w:pStyle w:val="null3"/>
        <w:jc w:val="left"/>
      </w:pPr>
      <w:r>
        <w:rPr>
          <w:rFonts w:ascii="仿宋_GB2312" w:hAnsi="仿宋_GB2312" w:cs="仿宋_GB2312" w:eastAsia="仿宋_GB2312"/>
        </w:rPr>
        <w:t>采购包最高限价（元）: 2,430,000.00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C09020400-林业有害生物防治服务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C09020400-林业有害生物防治服务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标的名称：C09020400-林业有害生物防治服务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rPr>
                    <w:t>一、建设目标</w:t>
                  </w:r>
                </w:p>
                <w:p>
                  <w:pPr>
                    <w:pStyle w:val="null3"/>
                    <w:ind w:firstLine="400"/>
                    <w:jc w:val="both"/>
                  </w:pPr>
                  <w:r>
                    <w:rPr>
                      <w:rFonts w:ascii="仿宋_GB2312" w:hAnsi="仿宋_GB2312" w:cs="仿宋_GB2312" w:eastAsia="仿宋_GB2312"/>
                      <w:sz w:val="20"/>
                    </w:rPr>
                    <w:t>改善红树林生长状况，恢复自然保护区红树林与水禽栖息环境，提高保护生物多样性及促进红树林生长，提升红树林防风、消浪、护岸、促淤保滩、净化水质等生态防护作用</w:t>
                  </w:r>
                  <w:r>
                    <w:rPr>
                      <w:rFonts w:ascii="仿宋_GB2312" w:hAnsi="仿宋_GB2312" w:cs="仿宋_GB2312" w:eastAsia="仿宋_GB2312"/>
                      <w:sz w:val="20"/>
                    </w:rPr>
                    <w:t>,保护海岸免受风浪侵蚀，为鸟类提供丰富的食物资源和栖息繁殖场所。努力将保护区建成集资源保护、科研监测、宣传教育于一体的自然保护区。</w:t>
                  </w:r>
                </w:p>
                <w:p>
                  <w:pPr>
                    <w:pStyle w:val="null3"/>
                    <w:jc w:val="both"/>
                  </w:pPr>
                  <w:r>
                    <w:rPr>
                      <w:rFonts w:ascii="仿宋_GB2312" w:hAnsi="仿宋_GB2312" w:cs="仿宋_GB2312" w:eastAsia="仿宋_GB2312"/>
                      <w:sz w:val="20"/>
                      <w:b/>
                    </w:rPr>
                    <w:t>二、建设规模与内容</w:t>
                  </w:r>
                </w:p>
                <w:p>
                  <w:pPr>
                    <w:pStyle w:val="null3"/>
                    <w:ind w:firstLine="400"/>
                    <w:jc w:val="left"/>
                  </w:pPr>
                  <w:r>
                    <w:rPr>
                      <w:rFonts w:ascii="仿宋_GB2312" w:hAnsi="仿宋_GB2312" w:cs="仿宋_GB2312" w:eastAsia="仿宋_GB2312"/>
                      <w:sz w:val="20"/>
                    </w:rPr>
                    <w:t>本次三叶鱼藤防治区位于海南清澜省级自然保护区范围内，涉及文昌市文城镇、东阁镇、文教镇、东郊镇、会文镇、锦山镇、铺前镇和龙楼镇等</w:t>
                  </w:r>
                  <w:r>
                    <w:rPr>
                      <w:rFonts w:ascii="仿宋_GB2312" w:hAnsi="仿宋_GB2312" w:cs="仿宋_GB2312" w:eastAsia="仿宋_GB2312"/>
                      <w:sz w:val="20"/>
                    </w:rPr>
                    <w:t>8个，主要是在保护区内开展三叶鱼藤有害生物防治，防治面积3216亩，共计57个地块。</w:t>
                  </w:r>
                </w:p>
                <w:p>
                  <w:pPr>
                    <w:pStyle w:val="null3"/>
                    <w:ind w:firstLine="402"/>
                    <w:jc w:val="center"/>
                  </w:pPr>
                  <w:r>
                    <w:rPr>
                      <w:rFonts w:ascii="仿宋_GB2312" w:hAnsi="仿宋_GB2312" w:cs="仿宋_GB2312" w:eastAsia="仿宋_GB2312"/>
                      <w:sz w:val="20"/>
                      <w:b/>
                    </w:rPr>
                    <w:t>表</w:t>
                  </w:r>
                  <w:r>
                    <w:rPr>
                      <w:rFonts w:ascii="仿宋_GB2312" w:hAnsi="仿宋_GB2312" w:cs="仿宋_GB2312" w:eastAsia="仿宋_GB2312"/>
                      <w:sz w:val="20"/>
                      <w:b/>
                    </w:rPr>
                    <w:t>1防治任务统计表</w:t>
                  </w:r>
                </w:p>
                <w:tbl>
                  <w:tblPr>
                    <w:tblBorders>
                      <w:top w:val="none" w:color="000000" w:sz="4"/>
                      <w:left w:val="none" w:color="000000" w:sz="4"/>
                      <w:bottom w:val="none" w:color="000000" w:sz="4"/>
                      <w:right w:val="none" w:color="000000" w:sz="4"/>
                      <w:insideH w:val="none"/>
                      <w:insideV w:val="none"/>
                    </w:tblBorders>
                  </w:tblPr>
                  <w:tblGrid>
                    <w:gridCol w:w="584"/>
                    <w:gridCol w:w="584"/>
                    <w:gridCol w:w="584"/>
                    <w:gridCol w:w="584"/>
                  </w:tblGrid>
                  <w:tr>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乡镇</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发生面积</w:t>
                        </w:r>
                        <w:r>
                          <w:rPr>
                            <w:rFonts w:ascii="仿宋_GB2312" w:hAnsi="仿宋_GB2312" w:cs="仿宋_GB2312" w:eastAsia="仿宋_GB2312"/>
                            <w:sz w:val="20"/>
                          </w:rPr>
                          <w:t>/亩</w:t>
                        </w:r>
                      </w:p>
                    </w:tc>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地块</w:t>
                        </w:r>
                        <w:r>
                          <w:rPr>
                            <w:rFonts w:ascii="仿宋_GB2312" w:hAnsi="仿宋_GB2312" w:cs="仿宋_GB2312" w:eastAsia="仿宋_GB2312"/>
                            <w:sz w:val="20"/>
                          </w:rPr>
                          <w:t>/个</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东阁镇</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东郊镇</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179.00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会文镇</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155.00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文城镇</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2032.00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文教镇</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575.00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锦山镇</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龙楼镇</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铺前镇</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116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合计</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3216.00</w:t>
                        </w:r>
                      </w:p>
                    </w:tc>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r>
                </w:tbl>
                <w:p>
                  <w:pPr>
                    <w:pStyle w:val="null3"/>
                    <w:jc w:val="both"/>
                  </w:pPr>
                  <w:r>
                    <w:rPr>
                      <w:rFonts w:ascii="仿宋_GB2312" w:hAnsi="仿宋_GB2312" w:cs="仿宋_GB2312" w:eastAsia="仿宋_GB2312"/>
                      <w:sz w:val="20"/>
                      <w:b/>
                    </w:rPr>
                    <w:t>三、建设内容及技术方案</w:t>
                  </w:r>
                </w:p>
                <w:p>
                  <w:pPr>
                    <w:pStyle w:val="null3"/>
                    <w:ind w:firstLine="402"/>
                    <w:jc w:val="left"/>
                  </w:pPr>
                  <w:r>
                    <w:rPr>
                      <w:rFonts w:ascii="仿宋_GB2312" w:hAnsi="仿宋_GB2312" w:cs="仿宋_GB2312" w:eastAsia="仿宋_GB2312"/>
                      <w:sz w:val="20"/>
                      <w:b/>
                    </w:rPr>
                    <w:t>3.1总体防治方案</w:t>
                  </w:r>
                </w:p>
                <w:p>
                  <w:pPr>
                    <w:pStyle w:val="null3"/>
                    <w:ind w:firstLine="400"/>
                    <w:jc w:val="left"/>
                  </w:pPr>
                  <w:r>
                    <w:rPr>
                      <w:rFonts w:ascii="仿宋_GB2312" w:hAnsi="仿宋_GB2312" w:cs="仿宋_GB2312" w:eastAsia="仿宋_GB2312"/>
                      <w:sz w:val="20"/>
                    </w:rPr>
                    <w:t>深入贯彻习近平生态文明思想，巩固</w:t>
                  </w:r>
                  <w:r>
                    <w:rPr>
                      <w:rFonts w:ascii="仿宋_GB2312" w:hAnsi="仿宋_GB2312" w:cs="仿宋_GB2312" w:eastAsia="仿宋_GB2312"/>
                      <w:sz w:val="20"/>
                    </w:rPr>
                    <w:t>“绿水青山就是金山银山”实践地建设成效，坚持“山水林田湖草沙”一体化保护和系统治理设立初衷，坚持预防为主、分类施策、综合治理的原则。把森林有害生物防治（三叶鱼藤等）工作放在第一位，强化监测预警。针对不同地域特征，坚持统筹规划、合理布局、突出重点、分步实施的原则。</w:t>
                  </w:r>
                </w:p>
                <w:p>
                  <w:pPr>
                    <w:pStyle w:val="null3"/>
                    <w:ind w:firstLine="402"/>
                    <w:jc w:val="left"/>
                  </w:pPr>
                  <w:r>
                    <w:rPr>
                      <w:rFonts w:ascii="仿宋_GB2312" w:hAnsi="仿宋_GB2312" w:cs="仿宋_GB2312" w:eastAsia="仿宋_GB2312"/>
                      <w:sz w:val="20"/>
                      <w:b/>
                    </w:rPr>
                    <w:t>以人为本，注重生态安全。</w:t>
                  </w:r>
                  <w:r>
                    <w:rPr>
                      <w:rFonts w:ascii="仿宋_GB2312" w:hAnsi="仿宋_GB2312" w:cs="仿宋_GB2312" w:eastAsia="仿宋_GB2312"/>
                      <w:sz w:val="20"/>
                    </w:rPr>
                    <w:t>三叶鱼藤是红树林危害性较大的有害生物，坚持严格控制林业有害生物传播的原则；坚持以人为本、注重生态安全的原则。</w:t>
                  </w:r>
                </w:p>
                <w:p>
                  <w:pPr>
                    <w:pStyle w:val="null3"/>
                    <w:ind w:firstLine="402"/>
                    <w:jc w:val="left"/>
                  </w:pPr>
                  <w:r>
                    <w:rPr>
                      <w:rFonts w:ascii="仿宋_GB2312" w:hAnsi="仿宋_GB2312" w:cs="仿宋_GB2312" w:eastAsia="仿宋_GB2312"/>
                      <w:sz w:val="20"/>
                      <w:b/>
                    </w:rPr>
                    <w:t>因地制宜，因林施策。</w:t>
                  </w:r>
                  <w:r>
                    <w:rPr>
                      <w:rFonts w:ascii="仿宋_GB2312" w:hAnsi="仿宋_GB2312" w:cs="仿宋_GB2312" w:eastAsia="仿宋_GB2312"/>
                      <w:sz w:val="20"/>
                    </w:rPr>
                    <w:t>加强生物多样性保护，维护原生植被，提高水土保持功能，保护野生动物栖息地，避免生境破碎化。</w:t>
                  </w:r>
                </w:p>
                <w:p>
                  <w:pPr>
                    <w:pStyle w:val="null3"/>
                    <w:ind w:firstLine="402"/>
                    <w:jc w:val="left"/>
                  </w:pPr>
                  <w:r>
                    <w:rPr>
                      <w:rFonts w:ascii="仿宋_GB2312" w:hAnsi="仿宋_GB2312" w:cs="仿宋_GB2312" w:eastAsia="仿宋_GB2312"/>
                      <w:sz w:val="20"/>
                      <w:b/>
                    </w:rPr>
                    <w:t>3.2三叶鱼藤除治方法</w:t>
                  </w:r>
                </w:p>
                <w:p>
                  <w:pPr>
                    <w:pStyle w:val="null3"/>
                    <w:ind w:firstLine="400"/>
                    <w:jc w:val="left"/>
                  </w:pPr>
                  <w:r>
                    <w:rPr>
                      <w:rFonts w:ascii="仿宋_GB2312" w:hAnsi="仿宋_GB2312" w:cs="仿宋_GB2312" w:eastAsia="仿宋_GB2312"/>
                      <w:sz w:val="20"/>
                    </w:rPr>
                    <w:t>项目的实施区域均位于保护区内，且为沿海红树林。三叶鱼藤属于红树林本土伴生植物，为了确保红树林生态系统的完整性和稳定性，结合之前海南省内保护区清理三叶鱼藤措施，本项目将以人工清理为主。</w:t>
                  </w:r>
                </w:p>
                <w:p>
                  <w:pPr>
                    <w:pStyle w:val="null3"/>
                    <w:ind w:firstLine="400"/>
                    <w:jc w:val="left"/>
                  </w:pPr>
                  <w:r>
                    <w:rPr>
                      <w:rFonts w:ascii="仿宋_GB2312" w:hAnsi="仿宋_GB2312" w:cs="仿宋_GB2312" w:eastAsia="仿宋_GB2312"/>
                      <w:sz w:val="20"/>
                    </w:rPr>
                    <w:t>三叶鱼藤生长在红树林内，受潮间带每天涨退潮的影响，无法使用化学药剂进行防治，以免产生污染对海洋生物构成危害。本次防治方法参考李隆飞，林江</w:t>
                  </w:r>
                  <w:r>
                    <w:rPr>
                      <w:rFonts w:ascii="仿宋_GB2312" w:hAnsi="仿宋_GB2312" w:cs="仿宋_GB2312" w:eastAsia="仿宋_GB2312"/>
                      <w:sz w:val="20"/>
                    </w:rPr>
                    <w:t>.海南东寨港国家级自然保护区三叶鱼藤的分布及防治建议[J].热带林业，2019.6（2），具体方法：三叶鱼藤割除后木质化的基部有萌蘖现象，在人工清理时采用拔除或挖除。地径小于5厘米的鱼藤待低潮时，采取连根拔除（挖除）的方式彻底清理；地径大于5厘米的鱼藤由于根系较大，从根茎处砍割清理。拔除或砍割后的鱼藤需扎紧挂在树枝上，避免其接触水体，让其自然死亡，或者收集三叶鱼藤之后远离红树林，统一进行销毁。</w:t>
                  </w:r>
                </w:p>
                <w:p>
                  <w:pPr>
                    <w:pStyle w:val="null3"/>
                    <w:ind w:firstLine="400"/>
                    <w:jc w:val="left"/>
                  </w:pPr>
                  <w:r>
                    <w:rPr>
                      <w:rFonts w:ascii="仿宋_GB2312" w:hAnsi="仿宋_GB2312" w:cs="仿宋_GB2312" w:eastAsia="仿宋_GB2312"/>
                      <w:sz w:val="20"/>
                    </w:rPr>
                    <w:t>三叶鱼藤种子成熟期为每年</w:t>
                  </w:r>
                  <w:r>
                    <w:rPr>
                      <w:rFonts w:ascii="仿宋_GB2312" w:hAnsi="仿宋_GB2312" w:cs="仿宋_GB2312" w:eastAsia="仿宋_GB2312"/>
                      <w:sz w:val="20"/>
                    </w:rPr>
                    <w:t>6月-10月，因此人工清理时间应在种子成熟前，避免种子成熟后扩散到林内繁殖生长。</w:t>
                  </w:r>
                </w:p>
                <w:p>
                  <w:pPr>
                    <w:pStyle w:val="null3"/>
                    <w:ind w:firstLine="402"/>
                    <w:jc w:val="center"/>
                  </w:pPr>
                  <w:r>
                    <w:rPr>
                      <w:rFonts w:ascii="仿宋_GB2312" w:hAnsi="仿宋_GB2312" w:cs="仿宋_GB2312" w:eastAsia="仿宋_GB2312"/>
                      <w:sz w:val="20"/>
                      <w:b/>
                    </w:rPr>
                    <w:t>表</w:t>
                  </w:r>
                  <w:r>
                    <w:rPr>
                      <w:rFonts w:ascii="仿宋_GB2312" w:hAnsi="仿宋_GB2312" w:cs="仿宋_GB2312" w:eastAsia="仿宋_GB2312"/>
                      <w:sz w:val="20"/>
                      <w:b/>
                    </w:rPr>
                    <w:t>2 三叶鱼藤防治规模</w:t>
                  </w:r>
                </w:p>
                <w:tbl>
                  <w:tblPr>
                    <w:tblBorders>
                      <w:top w:val="none" w:color="000000" w:sz="4"/>
                      <w:left w:val="none" w:color="000000" w:sz="4"/>
                      <w:bottom w:val="none" w:color="000000" w:sz="4"/>
                      <w:right w:val="none" w:color="000000" w:sz="4"/>
                      <w:insideH w:val="none"/>
                      <w:insideV w:val="none"/>
                    </w:tblBorders>
                  </w:tblPr>
                  <w:tblGrid>
                    <w:gridCol w:w="918"/>
                    <w:gridCol w:w="918"/>
                    <w:gridCol w:w="502"/>
                  </w:tblGrid>
                  <w:tr>
                    <w:tc>
                      <w:tcPr>
                        <w:tcW w:type="dxa" w:w="9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乡镇</w:t>
                        </w:r>
                      </w:p>
                    </w:tc>
                    <w:tc>
                      <w:tcPr>
                        <w:tcW w:type="dxa" w:w="9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村委会</w:t>
                        </w:r>
                      </w:p>
                    </w:tc>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发生面积</w:t>
                        </w:r>
                        <w:r>
                          <w:rPr>
                            <w:rFonts w:ascii="仿宋_GB2312" w:hAnsi="仿宋_GB2312" w:cs="仿宋_GB2312" w:eastAsia="仿宋_GB2312"/>
                            <w:sz w:val="20"/>
                          </w:rPr>
                          <w:t>/亩</w:t>
                        </w:r>
                      </w:p>
                    </w:tc>
                  </w:tr>
                  <w:tr>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东阁镇</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良丰村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群建村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小计</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70.00</w:t>
                        </w:r>
                      </w:p>
                    </w:tc>
                  </w:tr>
                  <w:tr>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东郊镇</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宝玉村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椰海村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小计</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179.00</w:t>
                        </w:r>
                      </w:p>
                    </w:tc>
                  </w:tr>
                  <w:tr>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会文镇</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边海村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冠南村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阳光村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小计</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155.00</w:t>
                        </w:r>
                      </w:p>
                    </w:tc>
                  </w:tr>
                  <w:tr>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文城镇</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横山村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后港村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燎原村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清群村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147.00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堂福村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431.00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头苑村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1335.00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小计</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2032.00</w:t>
                        </w:r>
                      </w:p>
                    </w:tc>
                  </w:tr>
                  <w:tr>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文教镇</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水吼村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520.00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文南村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小计</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575.00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锦山镇</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罗豆农场</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小计</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龙楼镇</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山海村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小计</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20.00</w:t>
                        </w:r>
                      </w:p>
                    </w:tc>
                  </w:tr>
                  <w:tr>
                    <w:tc>
                      <w:tcPr>
                        <w:tcW w:type="dxa" w:w="9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铺前镇</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铺龙村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w:t>
                        </w:r>
                      </w:p>
                    </w:tc>
                  </w:tr>
                  <w:tr>
                    <w:tc>
                      <w:tcPr>
                        <w:tcW w:type="dxa" w:w="918"/>
                        <w:vMerge/>
                        <w:tcBorders>
                          <w:top w:val="none" w:color="000000" w:sz="4"/>
                          <w:left w:val="single" w:color="000000" w:sz="4"/>
                          <w:bottom w:val="single" w:color="000000" w:sz="4"/>
                          <w:right w:val="single" w:color="000000" w:sz="4"/>
                        </w:tcBorders>
                      </w:tc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铺前村</w:t>
                        </w: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小计</w:t>
                        </w: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110.00</w:t>
                        </w:r>
                      </w:p>
                    </w:tc>
                  </w:tr>
                  <w:tr>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9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3216.00</w:t>
                        </w:r>
                      </w:p>
                    </w:tc>
                  </w:tr>
                </w:tbl>
                <w:p>
                  <w:pPr>
                    <w:pStyle w:val="null3"/>
                    <w:jc w:val="left"/>
                  </w:pPr>
                  <w:r>
                    <w:rPr>
                      <w:rFonts w:ascii="仿宋_GB2312" w:hAnsi="仿宋_GB2312" w:cs="仿宋_GB2312" w:eastAsia="仿宋_GB2312"/>
                      <w:sz w:val="20"/>
                      <w:b/>
                    </w:rPr>
                    <w:t>3.3防治效果验收评价</w:t>
                  </w:r>
                </w:p>
                <w:p>
                  <w:pPr>
                    <w:pStyle w:val="null3"/>
                    <w:ind w:firstLine="400"/>
                    <w:jc w:val="left"/>
                  </w:pPr>
                  <w:r>
                    <w:rPr>
                      <w:rFonts w:ascii="仿宋_GB2312" w:hAnsi="仿宋_GB2312" w:cs="仿宋_GB2312" w:eastAsia="仿宋_GB2312"/>
                      <w:sz w:val="20"/>
                    </w:rPr>
                    <w:t>施工单位完成三叶鱼藤全面人工除治后，由项目建设单位组织工作人员和行业专家对所有防治小班进行检查验收，同时对防治合格的小班在验收表上签名确认，对防治不合格的小班提出整改意见。采取外业抽查和内业评审相结合方式进行。具体验收标准如下：</w:t>
                  </w:r>
                </w:p>
                <w:p>
                  <w:pPr>
                    <w:pStyle w:val="null3"/>
                    <w:ind w:firstLine="402"/>
                    <w:jc w:val="left"/>
                  </w:pPr>
                  <w:r>
                    <w:rPr>
                      <w:rFonts w:ascii="仿宋_GB2312" w:hAnsi="仿宋_GB2312" w:cs="仿宋_GB2312" w:eastAsia="仿宋_GB2312"/>
                      <w:sz w:val="20"/>
                      <w:b/>
                    </w:rPr>
                    <w:t>1、阶段验收。</w:t>
                  </w:r>
                  <w:r>
                    <w:rPr>
                      <w:rFonts w:ascii="仿宋_GB2312" w:hAnsi="仿宋_GB2312" w:cs="仿宋_GB2312" w:eastAsia="仿宋_GB2312"/>
                      <w:sz w:val="20"/>
                    </w:rPr>
                    <w:t>①外业检查验收：成立由项目建设单位和3名行业专家组成的验收小组，按照一定比例随机抽取防治小班进行现场查验，具体步骤如下：以每步行20步，作为一个抽查取样点，停下来察看周围5米范围内有无未杀死三叶鱼藤，每个防治地块总抽查取样点数不少于10个。小班防除率要达到9</w:t>
                  </w:r>
                  <w:r>
                    <w:rPr>
                      <w:rFonts w:ascii="仿宋_GB2312" w:hAnsi="仿宋_GB2312" w:cs="仿宋_GB2312" w:eastAsia="仿宋_GB2312"/>
                      <w:sz w:val="20"/>
                    </w:rPr>
                    <w:t>5</w:t>
                  </w:r>
                  <w:r>
                    <w:rPr>
                      <w:rFonts w:ascii="仿宋_GB2312" w:hAnsi="仿宋_GB2312" w:cs="仿宋_GB2312" w:eastAsia="仿宋_GB2312"/>
                      <w:sz w:val="20"/>
                    </w:rPr>
                    <w:t>%以上，抽查小班总数查验合格率90%以上为项目外业验收合格。②内业检查验收：行业专家组对项目成果资料进行审查，根据内业资料情况和外业抽查结果出具阶段性防治成效评审意见。</w:t>
                  </w:r>
                </w:p>
                <w:p>
                  <w:pPr>
                    <w:pStyle w:val="null3"/>
                    <w:ind w:firstLine="402"/>
                    <w:jc w:val="left"/>
                  </w:pPr>
                  <w:r>
                    <w:rPr>
                      <w:rFonts w:ascii="仿宋_GB2312" w:hAnsi="仿宋_GB2312" w:cs="仿宋_GB2312" w:eastAsia="仿宋_GB2312"/>
                      <w:sz w:val="20"/>
                      <w:b/>
                    </w:rPr>
                    <w:t>2、竣工验收。</w:t>
                  </w:r>
                  <w:r>
                    <w:rPr>
                      <w:rFonts w:ascii="仿宋_GB2312" w:hAnsi="仿宋_GB2312" w:cs="仿宋_GB2312" w:eastAsia="仿宋_GB2312"/>
                      <w:sz w:val="20"/>
                    </w:rPr>
                    <w:t>①外业检查验收：成立由项目建设单位和3名行业专家组成的验收小组，按照一定比例随机抽取防治小班进行竣工现场验收，具体步骤如下：以每步行20步，作为一个抽查取样点，停下来察看周围5米范围内有无未杀死三叶鱼藤，每个防治地块总抽查取样点数不少于10个。小班防除率要达到9</w:t>
                  </w:r>
                  <w:r>
                    <w:rPr>
                      <w:rFonts w:ascii="仿宋_GB2312" w:hAnsi="仿宋_GB2312" w:cs="仿宋_GB2312" w:eastAsia="仿宋_GB2312"/>
                      <w:sz w:val="20"/>
                    </w:rPr>
                    <w:t>5</w:t>
                  </w:r>
                  <w:r>
                    <w:rPr>
                      <w:rFonts w:ascii="仿宋_GB2312" w:hAnsi="仿宋_GB2312" w:cs="仿宋_GB2312" w:eastAsia="仿宋_GB2312"/>
                      <w:sz w:val="20"/>
                    </w:rPr>
                    <w:t>%以上，竣工验收抽查小班总数合格率90%以上为竣工外业验收合格。②内业检查验收：行业专家组对项目全部成果资料进行审查，根据内业资料审查情况和外业抽查结果出具项目竣工成效验收意见。</w:t>
                  </w:r>
                </w:p>
                <w:p>
                  <w:pPr>
                    <w:pStyle w:val="null3"/>
                    <w:jc w:val="left"/>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、编制依据</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1）工程材料价格参考《海南省工程造价信息》信息价，信息价上没有的主材单价，根据市场价格计取；</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2）《防护林造林工程投资估算指标》；</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3）参考海南省类似项目的估算情况及市场价。</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、项目建设期</w:t>
                  </w:r>
                </w:p>
                <w:p>
                  <w:pPr>
                    <w:pStyle w:val="null3"/>
                    <w:ind w:firstLine="400"/>
                    <w:jc w:val="left"/>
                  </w:pPr>
                  <w:r>
                    <w:rPr>
                      <w:rFonts w:ascii="仿宋_GB2312" w:hAnsi="仿宋_GB2312" w:cs="仿宋_GB2312" w:eastAsia="仿宋_GB2312"/>
                      <w:sz w:val="20"/>
                    </w:rPr>
                    <w:t>项目建设期</w:t>
                  </w:r>
                  <w:r>
                    <w:rPr>
                      <w:rFonts w:ascii="仿宋_GB2312" w:hAnsi="仿宋_GB2312" w:cs="仿宋_GB2312" w:eastAsia="仿宋_GB2312"/>
                      <w:sz w:val="20"/>
                    </w:rPr>
                    <w:t>13个月，具体时间为2025年3月-2026年3月。</w:t>
                  </w:r>
                </w:p>
                <w:p>
                  <w:pPr>
                    <w:pStyle w:val="null3"/>
                    <w:jc w:val="left"/>
                  </w:pPr>
                  <w:r>
                    <w:rPr>
                      <w:rFonts w:ascii="仿宋_GB2312" w:hAnsi="仿宋_GB2312" w:cs="仿宋_GB2312" w:eastAsia="仿宋_GB2312"/>
                      <w:sz w:val="20"/>
                      <w:b/>
                    </w:rPr>
                    <w:t>三</w:t>
                  </w:r>
                  <w:r>
                    <w:rPr>
                      <w:rFonts w:ascii="仿宋_GB2312" w:hAnsi="仿宋_GB2312" w:cs="仿宋_GB2312" w:eastAsia="仿宋_GB2312"/>
                      <w:sz w:val="20"/>
                      <w:b/>
                    </w:rPr>
                    <w:t>、项目进度安排</w:t>
                  </w:r>
                </w:p>
                <w:p>
                  <w:pPr>
                    <w:pStyle w:val="null3"/>
                    <w:ind w:firstLine="400"/>
                    <w:jc w:val="left"/>
                  </w:pPr>
                  <w:r>
                    <w:rPr>
                      <w:rFonts w:ascii="仿宋_GB2312" w:hAnsi="仿宋_GB2312" w:cs="仿宋_GB2312" w:eastAsia="仿宋_GB2312"/>
                      <w:sz w:val="20"/>
                    </w:rPr>
                    <w:t>2025年4月完成编制《海南清澜红树林省级自然保护区三叶鱼藤除治项目作业设计》以及招投标等前期工作；</w:t>
                  </w:r>
                </w:p>
                <w:p>
                  <w:pPr>
                    <w:pStyle w:val="null3"/>
                    <w:ind w:firstLine="400"/>
                    <w:jc w:val="left"/>
                  </w:pPr>
                  <w:r>
                    <w:rPr>
                      <w:rFonts w:ascii="仿宋_GB2312" w:hAnsi="仿宋_GB2312" w:cs="仿宋_GB2312" w:eastAsia="仿宋_GB2312"/>
                      <w:sz w:val="20"/>
                    </w:rPr>
                    <w:t>2025年5月-2025年9月，按照作业设计要求开展人工清理工作；</w:t>
                  </w:r>
                </w:p>
                <w:p>
                  <w:pPr>
                    <w:pStyle w:val="null3"/>
                    <w:ind w:firstLine="400"/>
                    <w:jc w:val="left"/>
                  </w:pPr>
                  <w:r>
                    <w:rPr>
                      <w:rFonts w:ascii="仿宋_GB2312" w:hAnsi="仿宋_GB2312" w:cs="仿宋_GB2312" w:eastAsia="仿宋_GB2312"/>
                      <w:sz w:val="20"/>
                    </w:rPr>
                    <w:t>2025年10月，开展阶段验收；</w:t>
                  </w:r>
                </w:p>
                <w:p>
                  <w:pPr>
                    <w:pStyle w:val="null3"/>
                    <w:ind w:firstLine="400"/>
                    <w:jc w:val="left"/>
                  </w:pPr>
                  <w:r>
                    <w:rPr>
                      <w:rFonts w:ascii="仿宋_GB2312" w:hAnsi="仿宋_GB2312" w:cs="仿宋_GB2312" w:eastAsia="仿宋_GB2312"/>
                      <w:sz w:val="20"/>
                    </w:rPr>
                    <w:t>2025年11月-2026年2月，定期对防治区进行巡查，及时现和清理新出现的三叶鱼藤；</w:t>
                  </w:r>
                </w:p>
                <w:p>
                  <w:pPr>
                    <w:pStyle w:val="null3"/>
                    <w:ind w:firstLine="400"/>
                    <w:jc w:val="left"/>
                  </w:pPr>
                  <w:r>
                    <w:rPr>
                      <w:rFonts w:ascii="仿宋_GB2312" w:hAnsi="仿宋_GB2312" w:cs="仿宋_GB2312" w:eastAsia="仿宋_GB2312"/>
                      <w:sz w:val="20"/>
                    </w:rPr>
                    <w:t>2026年3月，建设单位组织做最终验收。</w:t>
                  </w:r>
                </w:p>
                <w:p>
                  <w:pPr>
                    <w:pStyle w:val="null3"/>
                    <w:jc w:val="left"/>
                  </w:pPr>
                  <w:r>
                    <w:rPr>
                      <w:rFonts w:ascii="仿宋_GB2312" w:hAnsi="仿宋_GB2312" w:cs="仿宋_GB2312" w:eastAsia="仿宋_GB2312"/>
                      <w:sz w:val="20"/>
                      <w:b/>
                    </w:rPr>
                    <w:t>四</w:t>
                  </w:r>
                  <w:r>
                    <w:rPr>
                      <w:rFonts w:ascii="仿宋_GB2312" w:hAnsi="仿宋_GB2312" w:cs="仿宋_GB2312" w:eastAsia="仿宋_GB2312"/>
                      <w:sz w:val="20"/>
                      <w:b/>
                    </w:rPr>
                    <w:t>、服务期限和地点</w:t>
                  </w:r>
                </w:p>
                <w:p>
                  <w:pPr>
                    <w:pStyle w:val="null3"/>
                    <w:ind w:firstLine="400"/>
                    <w:jc w:val="both"/>
                  </w:pPr>
                  <w:r>
                    <w:rPr>
                      <w:rFonts w:ascii="仿宋_GB2312" w:hAnsi="仿宋_GB2312" w:cs="仿宋_GB2312" w:eastAsia="仿宋_GB2312"/>
                      <w:sz w:val="20"/>
                    </w:rPr>
                    <w:t>服务期限：自签订合同之日起至</w:t>
                  </w:r>
                  <w:r>
                    <w:rPr>
                      <w:rFonts w:ascii="仿宋_GB2312" w:hAnsi="仿宋_GB2312" w:cs="仿宋_GB2312" w:eastAsia="仿宋_GB2312"/>
                      <w:sz w:val="20"/>
                    </w:rPr>
                    <w:t>2026年3月前完成工作</w:t>
                  </w:r>
                </w:p>
                <w:p>
                  <w:pPr>
                    <w:pStyle w:val="null3"/>
                    <w:jc w:val="both"/>
                  </w:pPr>
                  <w:r>
                    <w:rPr>
                      <w:rFonts w:ascii="仿宋_GB2312" w:hAnsi="仿宋_GB2312" w:cs="仿宋_GB2312" w:eastAsia="仿宋_GB2312"/>
                      <w:sz w:val="20"/>
                    </w:rPr>
                    <w:t>服务地点</w:t>
                  </w:r>
                  <w:r>
                    <w:rPr>
                      <w:rFonts w:ascii="仿宋_GB2312" w:hAnsi="仿宋_GB2312" w:cs="仿宋_GB2312" w:eastAsia="仿宋_GB2312"/>
                      <w:sz w:val="20"/>
                    </w:rPr>
                    <w:t>：采购人指定地点</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参加政府采购活动前三年内，无环保类行政处罚记录。（提供声明函，加盖单位公章）</w:t>
            </w:r>
          </w:p>
        </w:tc>
        <w:tc>
          <w:tcPr>
            <w:tcW w:type="dxa" w:w="1661"/>
          </w:tcPr>
          <w:p>
            <w:pPr>
              <w:pStyle w:val="null3"/>
              <w:jc w:val="left"/>
            </w:pPr>
            <w:r>
              <w:rPr>
                <w:rFonts w:ascii="仿宋_GB2312" w:hAnsi="仿宋_GB2312" w:cs="仿宋_GB2312" w:eastAsia="仿宋_GB2312"/>
              </w:rPr>
              <w:t>无环保类行政处罚记录声明函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信用承诺</w:t>
            </w:r>
          </w:p>
        </w:tc>
        <w:tc>
          <w:tcPr>
            <w:tcW w:type="dxa" w:w="3322"/>
          </w:tcPr>
          <w:p>
            <w:pPr>
              <w:pStyle w:val="null3"/>
              <w:jc w:val="left"/>
            </w:pPr>
            <w:r>
              <w:rPr>
                <w:rFonts w:ascii="仿宋_GB2312" w:hAnsi="仿宋_GB2312" w:cs="仿宋_GB2312" w:eastAsia="仿宋_GB2312"/>
              </w:rPr>
              <w:t>未被列入“信用中国”网站（www.creditchina.gov.cn）的“重大税收违法失信主体”、“政府采购严重违法失信行为记录名单”和中国政府采购网 (www.ccgp.gov.cn) 的“政府采购严重违法失信行为记录名单”以及中国执行信息公开网（http://zxgk.court.gov.cn/shixin/）“失信被执 行人”（提供承诺函，加盖单位公章）</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其他材料 投标（响应）报价明细表 供应商应提交的相关证明材料 无重大违法记录声明函 法定代表人资格证明书或法定代表人授权委托书 符合法律、行政法规规定的其他条件的声明函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无环保类行政处罚记录声明函 开标（报价）一览表 商务应答表 自觉抵制政府采购领域商业贿赂行为承诺书 封面 商业信誉、财务会计制度、缴纳税收和社保的承诺函 具有独立承担民事责任的能力证明文件 投标人承诺函 投标（响应）报价明细表 供应商应提交的相关证明材料 无重大违法记录声明函 法定代表人资格证明书或法定代表人授权委托书 符合法律、行政法规规定的其他条件的声明函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 供应商应提交的相关证明材料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 商务应答表 符合法律、行政法规规定的其他条件的声明函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无环保类行政处罚记录声明函 其他材料 自觉抵制政府采购领域商业贿赂行为承诺书 无重大违法记录声明函 资格承诺函 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开标（报价）一览表 投标（响应）报价明细表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技术部分75.00分</w:t>
            </w:r>
          </w:p>
          <w:p>
            <w:pPr>
              <w:pStyle w:val="null3"/>
              <w:jc w:val="both"/>
            </w:pPr>
            <w:r>
              <w:rPr>
                <w:rFonts w:ascii="仿宋_GB2312" w:hAnsi="仿宋_GB2312" w:cs="仿宋_GB2312" w:eastAsia="仿宋_GB2312"/>
              </w:rPr>
              <w:t>商务部分15.00分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项目分析情况</w:t>
            </w:r>
          </w:p>
        </w:tc>
        <w:tc>
          <w:tcPr>
            <w:tcW w:type="dxa" w:w="2492"/>
          </w:tcPr>
          <w:p>
            <w:pPr>
              <w:pStyle w:val="null3"/>
              <w:jc w:val="both"/>
            </w:pPr>
            <w:r>
              <w:rPr>
                <w:rFonts w:ascii="仿宋_GB2312" w:hAnsi="仿宋_GB2312" w:cs="仿宋_GB2312" w:eastAsia="仿宋_GB2312"/>
              </w:rPr>
              <w:t>根据投标人对项目分析理解程度（包括但不限于实施目的、工作内容、预期达到的目标）进行综合评审： 本项满分15分，每缺少一项扣5分，每有一项内容存在缺陷的该项扣1分，该项缺陷最高扣5分，未提供不得分。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技术服务方案</w:t>
            </w:r>
          </w:p>
        </w:tc>
        <w:tc>
          <w:tcPr>
            <w:tcW w:type="dxa" w:w="2492"/>
          </w:tcPr>
          <w:p>
            <w:pPr>
              <w:pStyle w:val="null3"/>
              <w:jc w:val="both"/>
            </w:pPr>
            <w:r>
              <w:rPr>
                <w:rFonts w:ascii="仿宋_GB2312" w:hAnsi="仿宋_GB2312" w:cs="仿宋_GB2312" w:eastAsia="仿宋_GB2312"/>
              </w:rPr>
              <w:t>根据投标人提供对技术服务方案（包括但不限于质量承诺及保障措施、提交成果内容、重点难点分析）进行综合评审： 本项满分15分，每缺少一项扣5分，每有一项内容存在缺陷的该项扣1分，该项缺陷最高扣5分，未提供不得分。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应急预案</w:t>
            </w:r>
          </w:p>
        </w:tc>
        <w:tc>
          <w:tcPr>
            <w:tcW w:type="dxa" w:w="2492"/>
          </w:tcPr>
          <w:p>
            <w:pPr>
              <w:pStyle w:val="null3"/>
              <w:jc w:val="both"/>
            </w:pPr>
            <w:r>
              <w:rPr>
                <w:rFonts w:ascii="仿宋_GB2312" w:hAnsi="仿宋_GB2312" w:cs="仿宋_GB2312" w:eastAsia="仿宋_GB2312"/>
              </w:rPr>
              <w:t>根据投标人提供的应急预案（包括但不限于应急保障内容、保障方式、保障计划）进行综合评审： 本项满分15分，每缺少一项扣5分，每有一项内容存在缺陷的该项扣1分，该项缺陷最高扣5分，未提供不得分。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安全保障措施方案</w:t>
            </w:r>
          </w:p>
        </w:tc>
        <w:tc>
          <w:tcPr>
            <w:tcW w:type="dxa" w:w="2492"/>
          </w:tcPr>
          <w:p>
            <w:pPr>
              <w:pStyle w:val="null3"/>
              <w:jc w:val="both"/>
            </w:pPr>
            <w:r>
              <w:rPr>
                <w:rFonts w:ascii="仿宋_GB2312" w:hAnsi="仿宋_GB2312" w:cs="仿宋_GB2312" w:eastAsia="仿宋_GB2312"/>
              </w:rPr>
              <w:t>根据投标人提供的安全保障措施方案（包括但不限于安全管理目标、安全保证组织措施、安全检查制度）进行综合评审： 本项满分15分，每缺少一项扣5分，每有一项内容存在缺陷的该项扣1分，该项缺陷最高扣5分，未提供不得分。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组织实施方案</w:t>
            </w:r>
          </w:p>
        </w:tc>
        <w:tc>
          <w:tcPr>
            <w:tcW w:type="dxa" w:w="2492"/>
          </w:tcPr>
          <w:p>
            <w:pPr>
              <w:pStyle w:val="null3"/>
              <w:jc w:val="both"/>
            </w:pPr>
            <w:r>
              <w:rPr>
                <w:rFonts w:ascii="仿宋_GB2312" w:hAnsi="仿宋_GB2312" w:cs="仿宋_GB2312" w:eastAsia="仿宋_GB2312"/>
              </w:rPr>
              <w:t>根据供投标人提供的组织实施方案（包括但不限于服务期承诺保障、组织管理机构、工作内容及方法）进行综合评审： 本项满分15分，每缺少一项扣5分，每有一项内容存在缺陷的该项扣1分，该项缺陷最高扣5分，未提供不得分。 注：内容存在缺陷是指：方案内容生搬硬造，与实际情况明显不符或存在与项目明显无关的文字内容或内容明显不适用项目实际情况或对采购需求理解缺位混乱。</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2022年至今具有类似项目的案例，每提供一个得5分，满分10分；(以合同签订时间为准，须提合同复印件并加盖公章，不提供不得分)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拟投入本项目的项目负责人：（1）具有林业类专业高级职称的，得5分；（2）具有林业类专业中级职称的，得3分； 本小项最高得5分。 注：提供上述人员相关职称证书复印件及2025年1月至今任意1个月本单位社保缴费证明（已退休人员提供退休证明及双方签定的劳动合同复印件），未提供不得分。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[HNRH]20250400001[GK]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三叶鱼藤除治项目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三叶鱼藤除治项目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投标有效期</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C09020400-林业有害生物防治服务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