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响应文件格式要求</w:t>
      </w:r>
    </w:p>
    <w:p w14:paraId="367955C7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</w:p>
    <w:p w14:paraId="12B4591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</w:p>
    <w:p w14:paraId="71ACCE15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响应文件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46718A53">
      <w:pPr>
        <w:rPr>
          <w:rFonts w:hint="eastAsia" w:ascii="仿宋" w:hAnsi="仿宋" w:eastAsia="仿宋" w:cs="仿宋"/>
          <w:color w:val="auto"/>
          <w:highlight w:val="none"/>
        </w:rPr>
      </w:pPr>
    </w:p>
    <w:p w14:paraId="375C1248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4E34F24F">
      <w:pPr>
        <w:pStyle w:val="2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3C16B5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4213019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4377344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2.4交付（服务）期、交付（服务）地点、响应有效期一览表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01880E20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736A6CCD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04BCA9F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注：供应商须在响应文件中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30F8E33B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52C6F7F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46B28D56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D1434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“响应情况说明”应按下列规定填写对磋商文件资格性审查条款的响应情况：优于的视为正偏离，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5338E740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304943F5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517B4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609BD0F2">
      <w:pPr>
        <w:spacing w:before="156" w:beforeLines="5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sz w:val="44"/>
          <w:szCs w:val="44"/>
          <w:highlight w:val="none"/>
        </w:rPr>
        <w:t>自觉抵制政府采购领域</w:t>
      </w:r>
    </w:p>
    <w:p w14:paraId="572181E6">
      <w:pPr>
        <w:spacing w:after="312" w:afterLines="10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sz w:val="44"/>
          <w:szCs w:val="44"/>
          <w:highlight w:val="none"/>
        </w:rPr>
        <w:t>商业贿赂行为承诺书</w:t>
      </w:r>
    </w:p>
    <w:p w14:paraId="5635EA58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海南省政府采购中心：</w:t>
      </w:r>
    </w:p>
    <w:p w14:paraId="5A20035B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6A66F72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一、依法参与政府采购活动，遵纪守法，诚信经营，公平竞争。</w:t>
      </w:r>
    </w:p>
    <w:p w14:paraId="013A165A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sz w:val="24"/>
          <w:highlight w:val="none"/>
        </w:rPr>
        <w:t>和纪检监察机关举报。</w:t>
      </w:r>
    </w:p>
    <w:p w14:paraId="015D27B1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三、不以提供虚假资质文件等形式参与政府采购活动，不以虚假材料谋取中标。</w:t>
      </w:r>
    </w:p>
    <w:p w14:paraId="3EC4B3FF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保持良性的竞争关系。</w:t>
      </w:r>
    </w:p>
    <w:p w14:paraId="36B64A78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0EE2E7BF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31EF76C1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2E433F82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sz w:val="24"/>
          <w:highlight w:val="none"/>
        </w:rPr>
        <w:t>和纪检监察机关依法实施的监督检查，如实反映情况，及时提供有关证明材料。</w:t>
      </w:r>
    </w:p>
    <w:p w14:paraId="2B3CD9BC">
      <w:pPr>
        <w:spacing w:line="312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</w:p>
    <w:p w14:paraId="6B568192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        </w:t>
      </w:r>
    </w:p>
    <w:p w14:paraId="474BB046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                </w:t>
      </w:r>
    </w:p>
    <w:p w14:paraId="06EE623D">
      <w:pPr>
        <w:spacing w:before="312" w:beforeLines="100" w:after="312" w:afterLines="100"/>
        <w:rPr>
          <w:rFonts w:hint="eastAsia" w:ascii="仿宋" w:hAnsi="仿宋" w:eastAsia="仿宋" w:cs="仿宋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0B8150D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sz w:val="44"/>
          <w:szCs w:val="44"/>
          <w:highlight w:val="none"/>
        </w:rPr>
        <w:t>承诺函</w:t>
      </w:r>
    </w:p>
    <w:p w14:paraId="22D0910F">
      <w:pPr>
        <w:spacing w:after="156" w:afterLines="50"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海南省政府采购中心：</w:t>
      </w:r>
    </w:p>
    <w:p w14:paraId="2D7AC4F2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sz w:val="24"/>
          <w:highlight w:val="none"/>
        </w:rPr>
        <w:t>授权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sz w:val="24"/>
          <w:highlight w:val="none"/>
        </w:rPr>
        <w:t>为我方代表，参加你单位组织的</w:t>
      </w:r>
    </w:p>
    <w:p w14:paraId="25EF3DB9">
      <w:pPr>
        <w:spacing w:line="312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highlight w:val="none"/>
        </w:rPr>
        <w:t>参与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E1AD115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要求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电子响应文件</w:t>
      </w:r>
      <w:r>
        <w:rPr>
          <w:rFonts w:hint="eastAsia" w:ascii="仿宋" w:hAnsi="仿宋" w:eastAsia="仿宋" w:cs="仿宋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磋商保证金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778C913D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磋商保证金</w:t>
      </w:r>
      <w:r>
        <w:rPr>
          <w:rFonts w:hint="eastAsia" w:ascii="仿宋" w:hAnsi="仿宋" w:eastAsia="仿宋" w:cs="仿宋"/>
          <w:sz w:val="24"/>
          <w:highlight w:val="none"/>
        </w:rPr>
        <w:t>可以被你单位没收。</w:t>
      </w:r>
    </w:p>
    <w:p w14:paraId="2B33AD76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6DEBD5DA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sz w:val="24"/>
          <w:lang w:eastAsia="zh-CN"/>
        </w:rPr>
      </w:pPr>
      <w:r>
        <w:rPr>
          <w:rFonts w:hint="eastAsia" w:ascii="仿宋" w:hAnsi="仿宋" w:eastAsia="仿宋" w:cs="仿宋"/>
          <w:b/>
          <w:sz w:val="24"/>
        </w:rPr>
        <w:t>四、</w:t>
      </w:r>
      <w:r>
        <w:rPr>
          <w:rFonts w:hint="eastAsia" w:ascii="仿宋" w:hAnsi="仿宋" w:eastAsia="仿宋" w:cs="仿宋"/>
          <w:b/>
          <w:bCs w:val="0"/>
          <w:color w:val="auto"/>
          <w:sz w:val="24"/>
        </w:rPr>
        <w:t>如果我方</w:t>
      </w:r>
      <w:r>
        <w:rPr>
          <w:rFonts w:hint="eastAsia" w:ascii="仿宋" w:hAnsi="仿宋" w:eastAsia="仿宋" w:cs="仿宋"/>
          <w:b/>
          <w:bCs w:val="0"/>
          <w:color w:val="auto"/>
          <w:sz w:val="24"/>
          <w:lang w:eastAsia="zh-CN"/>
        </w:rPr>
        <w:t>获得成交资格</w:t>
      </w:r>
      <w:r>
        <w:rPr>
          <w:rFonts w:hint="eastAsia" w:ascii="仿宋" w:hAnsi="仿宋" w:eastAsia="仿宋" w:cs="仿宋"/>
          <w:b/>
          <w:bCs w:val="0"/>
          <w:color w:val="auto"/>
          <w:sz w:val="24"/>
        </w:rPr>
        <w:t>，我方承诺在领取</w:t>
      </w:r>
      <w:r>
        <w:rPr>
          <w:rFonts w:hint="eastAsia" w:ascii="仿宋" w:hAnsi="仿宋" w:eastAsia="仿宋" w:cs="仿宋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仿宋" w:hAnsi="仿宋" w:eastAsia="仿宋" w:cs="仿宋"/>
          <w:b/>
          <w:bCs w:val="0"/>
          <w:color w:val="auto"/>
          <w:sz w:val="24"/>
        </w:rPr>
        <w:t>通知书的同时按</w:t>
      </w:r>
      <w:r>
        <w:rPr>
          <w:rFonts w:hint="eastAsia" w:ascii="仿宋" w:hAnsi="仿宋" w:eastAsia="仿宋" w:cs="仿宋"/>
          <w:b/>
          <w:bCs w:val="0"/>
          <w:color w:val="auto"/>
          <w:sz w:val="24"/>
          <w:lang w:eastAsia="zh-CN"/>
        </w:rPr>
        <w:t>磋商</w:t>
      </w:r>
      <w:r>
        <w:rPr>
          <w:rFonts w:hint="eastAsia" w:ascii="仿宋" w:hAnsi="仿宋" w:eastAsia="仿宋" w:cs="仿宋"/>
          <w:b/>
          <w:bCs w:val="0"/>
          <w:color w:val="auto"/>
          <w:sz w:val="24"/>
        </w:rPr>
        <w:t>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</w:rPr>
        <w:t>一次性支付</w:t>
      </w:r>
      <w:r>
        <w:rPr>
          <w:rFonts w:hint="eastAsia" w:ascii="仿宋" w:hAnsi="仿宋" w:eastAsia="仿宋" w:cs="仿宋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仿宋" w:hAnsi="仿宋" w:eastAsia="仿宋" w:cs="仿宋"/>
          <w:b/>
          <w:bCs w:val="0"/>
          <w:color w:val="auto"/>
          <w:sz w:val="24"/>
        </w:rPr>
        <w:t>服务费</w:t>
      </w:r>
      <w:r>
        <w:rPr>
          <w:rFonts w:hint="eastAsia" w:ascii="仿宋" w:hAnsi="仿宋" w:eastAsia="仿宋" w:cs="仿宋"/>
          <w:b/>
          <w:bCs w:val="0"/>
          <w:color w:val="auto"/>
          <w:sz w:val="24"/>
          <w:lang w:eastAsia="zh-CN"/>
        </w:rPr>
        <w:t>。</w:t>
      </w:r>
    </w:p>
    <w:p w14:paraId="45E0238B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  <w:lang w:eastAsia="zh-CN"/>
        </w:rPr>
        <w:t>五、</w:t>
      </w:r>
      <w:r>
        <w:rPr>
          <w:rFonts w:hint="eastAsia" w:ascii="仿宋" w:hAnsi="仿宋" w:eastAsia="仿宋" w:cs="仿宋"/>
          <w:b/>
          <w:sz w:val="24"/>
        </w:rPr>
        <w:t>我方承诺接受</w:t>
      </w:r>
      <w:r>
        <w:rPr>
          <w:rFonts w:hint="eastAsia" w:ascii="仿宋" w:hAnsi="仿宋" w:eastAsia="仿宋" w:cs="仿宋"/>
          <w:b/>
          <w:sz w:val="24"/>
          <w:lang w:eastAsia="zh-CN"/>
        </w:rPr>
        <w:t>磋商文件</w:t>
      </w:r>
      <w:r>
        <w:rPr>
          <w:rFonts w:hint="eastAsia" w:ascii="仿宋" w:hAnsi="仿宋" w:eastAsia="仿宋" w:cs="仿宋"/>
          <w:b/>
          <w:sz w:val="24"/>
        </w:rPr>
        <w:t>中政府采购合同条款的全部条款且无任何异议。</w:t>
      </w:r>
      <w:r>
        <w:rPr>
          <w:rFonts w:hint="eastAsia" w:ascii="仿宋" w:hAnsi="仿宋" w:eastAsia="仿宋" w:cs="仿宋"/>
          <w:b/>
          <w:bCs w:val="0"/>
          <w:color w:val="auto"/>
          <w:sz w:val="24"/>
        </w:rPr>
        <w:t>如果我方</w:t>
      </w:r>
      <w:r>
        <w:rPr>
          <w:rFonts w:hint="eastAsia" w:ascii="仿宋" w:hAnsi="仿宋" w:eastAsia="仿宋" w:cs="仿宋"/>
          <w:b/>
          <w:bCs w:val="0"/>
          <w:color w:val="auto"/>
          <w:sz w:val="24"/>
          <w:lang w:eastAsia="zh-CN"/>
        </w:rPr>
        <w:t>获得成交资格</w:t>
      </w:r>
      <w:r>
        <w:rPr>
          <w:rFonts w:hint="eastAsia" w:ascii="仿宋" w:hAnsi="仿宋" w:eastAsia="仿宋" w:cs="仿宋"/>
          <w:b/>
          <w:sz w:val="24"/>
        </w:rPr>
        <w:t>，我们将按</w:t>
      </w:r>
      <w:r>
        <w:rPr>
          <w:rFonts w:hint="eastAsia" w:ascii="仿宋" w:hAnsi="仿宋" w:eastAsia="仿宋" w:cs="仿宋"/>
          <w:b/>
          <w:sz w:val="24"/>
          <w:lang w:eastAsia="zh-CN"/>
        </w:rPr>
        <w:t>磋商文件</w:t>
      </w:r>
      <w:r>
        <w:rPr>
          <w:rFonts w:hint="eastAsia" w:ascii="仿宋" w:hAnsi="仿宋" w:eastAsia="仿宋" w:cs="仿宋"/>
          <w:b/>
          <w:sz w:val="24"/>
        </w:rPr>
        <w:t>的规定，保证忠实地履行双方所签订的政府采购合同，并承担政府采购合同规定的责任和义务。</w:t>
      </w:r>
    </w:p>
    <w:p w14:paraId="2D1AF8DC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6DE039C2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sz w:val="24"/>
          <w:highlight w:val="none"/>
        </w:rPr>
        <w:t>吊销营业执照；构成犯罪的，提请司法部门依法追究刑事责任：</w:t>
      </w:r>
    </w:p>
    <w:p w14:paraId="12DD3868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（1）提供虚假材料谋取成交的；</w:t>
      </w:r>
    </w:p>
    <w:p w14:paraId="2BE96AD4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（2）向采购单位、采购代理机构行贿或者提供其它不正当利益的；</w:t>
      </w:r>
    </w:p>
    <w:p w14:paraId="4C60233D">
      <w:pPr>
        <w:spacing w:line="312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（3）拒绝有关部门监督检查或提供虚假情况的。 </w:t>
      </w:r>
    </w:p>
    <w:p w14:paraId="609FEF97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        </w:t>
      </w:r>
    </w:p>
    <w:p w14:paraId="655222F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交付（服务）期、交付（服务）地点、响应有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响应有效期（从递交响应文件的截止之日起算）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1.响应有效期为从递交响应文件的截止之日起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个日历日，有效期短于此规定的响应文件将被视为无效。 2.在特殊情况下，采购中心可于响应有效期满之前，征得供应商同意延长响应有效期，要求与答复均应以书面形式进行。供应商可以拒绝接受这一要求而放弃报价，磋商保证金将尽快无息退还。同意这一要求的供应商，无需也不允许修改其响应文件，但须相应延长响应有效期。受响应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13712DF3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对磋商文件符合性审查条款的响应情况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351FADD6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</w:p>
    <w:p w14:paraId="19CEA656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</w:p>
    <w:p w14:paraId="7913D980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</w:p>
    <w:p w14:paraId="7296D8B3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</w:p>
    <w:p w14:paraId="1EA12C3D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sz w:val="44"/>
          <w:szCs w:val="44"/>
          <w:highlight w:val="none"/>
        </w:rPr>
        <w:t>技术、商务响应表</w:t>
      </w:r>
    </w:p>
    <w:p w14:paraId="5D03E9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磋商文件“第三章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0CB26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0E53666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CB0CB2F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EDB0F02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磋商文件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6032EBC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F66D507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2EE72E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备注</w:t>
            </w:r>
          </w:p>
        </w:tc>
      </w:tr>
      <w:tr w14:paraId="145F4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37A5DD5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0C1BEC2F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B40078F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DED1EA8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3AF7CED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00C3322E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</w:tr>
      <w:tr w14:paraId="2D2ED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EFE5AB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2149A239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729B481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4EBC46D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1FD3DF9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F22360F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</w:tr>
      <w:tr w14:paraId="626D7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ED6CB24">
            <w:pP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3648C124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24B08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BA2B4EA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365EA57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9DD9D79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</w:tr>
      <w:tr w14:paraId="2847D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8B9F965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4B146A93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ED1365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E227A9E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BFC23FA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DB05072">
            <w:pPr>
              <w:snapToGrid w:val="0"/>
              <w:jc w:val="center"/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</w:pPr>
          </w:p>
        </w:tc>
      </w:tr>
    </w:tbl>
    <w:p w14:paraId="516A9E94">
      <w:pPr>
        <w:spacing w:line="360" w:lineRule="auto"/>
        <w:ind w:firstLine="360" w:firstLineChars="200"/>
        <w:rPr>
          <w:rFonts w:hint="eastAsia" w:ascii="仿宋" w:hAnsi="仿宋" w:eastAsia="仿宋" w:cs="仿宋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 xml:space="preserve">全称（公章）：                </w:t>
      </w:r>
    </w:p>
    <w:p w14:paraId="217B0363">
      <w:pPr>
        <w:spacing w:line="360" w:lineRule="auto"/>
        <w:ind w:firstLine="360" w:firstLineChars="200"/>
        <w:rPr>
          <w:rFonts w:hint="eastAsia" w:ascii="仿宋" w:hAnsi="仿宋" w:eastAsia="仿宋" w:cs="仿宋"/>
          <w:sz w:val="18"/>
          <w:szCs w:val="18"/>
          <w:highlight w:val="none"/>
        </w:rPr>
      </w:pPr>
    </w:p>
    <w:p w14:paraId="4A775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ab/>
      </w:r>
    </w:p>
    <w:p w14:paraId="627B7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磋商文件“第三章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”未要求在该表中进行响应的技术、商务条款，供应商无需填写；供应商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但不作为无效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响应的依据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4EF91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的详细参数情况。</w:t>
      </w:r>
    </w:p>
    <w:p w14:paraId="565BA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对磋商文件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。</w:t>
      </w:r>
    </w:p>
    <w:p w14:paraId="2883F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有标注“★”条款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为实质性条款，若有任何一条负偏离或不满足则导致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无效。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，将根据评审要求影响其得分，但不作为无效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条款。</w:t>
      </w:r>
    </w:p>
    <w:p w14:paraId="25946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要求提供的相关证明文件，须在“备注”写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明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。</w:t>
      </w:r>
    </w:p>
    <w:p w14:paraId="226CB16D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7BC065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  <w:t>技术、商务评分响应表</w:t>
      </w:r>
    </w:p>
    <w:p w14:paraId="34A2B2F7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2FA7B1F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中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作无效</w:t>
      </w:r>
      <w:r>
        <w:rPr>
          <w:rFonts w:hint="eastAsia" w:ascii="仿宋" w:hAnsi="仿宋" w:eastAsia="仿宋" w:cs="仿宋"/>
          <w:b w:val="0"/>
          <w:bCs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875"/>
        <w:gridCol w:w="2065"/>
        <w:gridCol w:w="3740"/>
        <w:gridCol w:w="1185"/>
      </w:tblGrid>
      <w:tr w14:paraId="4879C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427" w:type="dxa"/>
            <w:gridSpan w:val="3"/>
            <w:noWrap/>
            <w:vAlign w:val="center"/>
          </w:tcPr>
          <w:p w14:paraId="4740960F"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7010FAB9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highlight w:val="none"/>
                <w:lang w:eastAsia="zh-CN"/>
              </w:rPr>
              <w:t>响应文件</w:t>
            </w:r>
          </w:p>
        </w:tc>
      </w:tr>
      <w:tr w14:paraId="7AEB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87" w:type="dxa"/>
            <w:noWrap/>
            <w:vAlign w:val="center"/>
          </w:tcPr>
          <w:p w14:paraId="20FFCBF2">
            <w:pPr>
              <w:jc w:val="center"/>
              <w:rPr>
                <w:rFonts w:hint="eastAsia" w:ascii="仿宋" w:hAnsi="仿宋" w:eastAsia="仿宋" w:cs="仿宋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875" w:type="dxa"/>
            <w:noWrap w:val="0"/>
            <w:vAlign w:val="center"/>
          </w:tcPr>
          <w:p w14:paraId="394FC4CC">
            <w:pPr>
              <w:jc w:val="center"/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0A79BE57">
            <w:pPr>
              <w:jc w:val="center"/>
              <w:rPr>
                <w:rFonts w:hint="eastAsia" w:ascii="仿宋" w:hAnsi="仿宋" w:eastAsia="仿宋" w:cs="仿宋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0570F18B">
            <w:pPr>
              <w:jc w:val="center"/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  <w:t>响应情况说明</w:t>
            </w:r>
          </w:p>
          <w:p w14:paraId="46A69129">
            <w:pPr>
              <w:jc w:val="center"/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17D7B740">
            <w:pPr>
              <w:jc w:val="center"/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highlight w:val="none"/>
                <w:lang w:eastAsia="zh-CN"/>
              </w:rPr>
              <w:t>备注</w:t>
            </w:r>
          </w:p>
        </w:tc>
      </w:tr>
      <w:tr w14:paraId="59C21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487" w:type="dxa"/>
            <w:noWrap/>
            <w:vAlign w:val="center"/>
          </w:tcPr>
          <w:p w14:paraId="291660B1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875" w:type="dxa"/>
            <w:noWrap w:val="0"/>
            <w:vAlign w:val="center"/>
          </w:tcPr>
          <w:p w14:paraId="3977043E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454918DD">
            <w:pPr>
              <w:jc w:val="center"/>
              <w:rPr>
                <w:rFonts w:hint="eastAsia" w:ascii="仿宋" w:hAnsi="仿宋" w:eastAsia="仿宋" w:cs="仿宋"/>
                <w:color w:val="FF00FF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EE6FBF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03830027">
            <w:pP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</w:p>
        </w:tc>
      </w:tr>
      <w:tr w14:paraId="44A3E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87" w:type="dxa"/>
            <w:noWrap w:val="0"/>
            <w:vAlign w:val="center"/>
          </w:tcPr>
          <w:p w14:paraId="750A06D0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875" w:type="dxa"/>
            <w:noWrap w:val="0"/>
            <w:vAlign w:val="center"/>
          </w:tcPr>
          <w:p w14:paraId="4C4B0607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75D8A253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91DB4E7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371F0427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</w:p>
        </w:tc>
      </w:tr>
      <w:tr w14:paraId="4AF32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87" w:type="dxa"/>
            <w:noWrap w:val="0"/>
            <w:vAlign w:val="center"/>
          </w:tcPr>
          <w:p w14:paraId="77690860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875" w:type="dxa"/>
            <w:noWrap w:val="0"/>
            <w:vAlign w:val="center"/>
          </w:tcPr>
          <w:p w14:paraId="3AAF9EFA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60CE2BE0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04552A94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0AEA4147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5980B190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3B9232CD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7714D88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5260AC35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</w:tc>
      </w:tr>
      <w:tr w14:paraId="6A0C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87" w:type="dxa"/>
            <w:noWrap/>
            <w:vAlign w:val="center"/>
          </w:tcPr>
          <w:p w14:paraId="452FE2E0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875" w:type="dxa"/>
            <w:noWrap w:val="0"/>
            <w:vAlign w:val="center"/>
          </w:tcPr>
          <w:p w14:paraId="760B03E3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206FF70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E06C373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6C387623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005866A3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57CB18E7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6150B30A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615BB998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9F138E4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1560B48B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  <w:p w14:paraId="7112FBFD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  <w:t>　</w:t>
            </w:r>
          </w:p>
        </w:tc>
      </w:tr>
      <w:tr w14:paraId="4B3A1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87" w:type="dxa"/>
            <w:noWrap/>
            <w:vAlign w:val="center"/>
          </w:tcPr>
          <w:p w14:paraId="4CA632FB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875" w:type="dxa"/>
            <w:noWrap w:val="0"/>
            <w:vAlign w:val="center"/>
          </w:tcPr>
          <w:p w14:paraId="352B7426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1E2708A">
            <w:pPr>
              <w:jc w:val="center"/>
              <w:rPr>
                <w:rFonts w:hint="eastAsia" w:ascii="仿宋" w:hAnsi="仿宋" w:eastAsia="仿宋" w:cs="仿宋"/>
                <w:color w:val="FF00FF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7272F48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5425C6E">
            <w:pPr>
              <w:jc w:val="center"/>
              <w:rPr>
                <w:rFonts w:hint="eastAsia" w:ascii="仿宋" w:hAnsi="仿宋" w:eastAsia="仿宋" w:cs="仿宋"/>
                <w:sz w:val="20"/>
                <w:szCs w:val="24"/>
                <w:highlight w:val="none"/>
              </w:rPr>
            </w:pPr>
          </w:p>
        </w:tc>
      </w:tr>
    </w:tbl>
    <w:p w14:paraId="0C1A8E03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供应商全称（公章）：</w:t>
      </w:r>
    </w:p>
    <w:p w14:paraId="778ECB3A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sz w:val="21"/>
          <w:szCs w:val="21"/>
          <w:highlight w:val="none"/>
        </w:rPr>
      </w:pPr>
    </w:p>
    <w:p w14:paraId="175C6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1C0B0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70CC8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对磋商文件技术、商务评分条款的响应情况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05883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6A897771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（货物）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郑重声明，根据《政府采购促进中小企业发展暂行办法》（财库[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2.中型、小型、微型企业请在响应文件中附此函。</w:t>
      </w:r>
    </w:p>
    <w:p w14:paraId="6C412146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908BF">
    <w:pPr>
      <w:pStyle w:val="5"/>
      <w:rPr>
        <w:rStyle w:val="11"/>
      </w:rPr>
    </w:pPr>
  </w:p>
  <w:p w14:paraId="5600F32D">
    <w:pPr>
      <w:pStyle w:val="5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C6285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F0228DC"/>
    <w:rsid w:val="16EA7DE2"/>
    <w:rsid w:val="2A41113E"/>
    <w:rsid w:val="2E16287F"/>
    <w:rsid w:val="2F771D55"/>
    <w:rsid w:val="3AE05E43"/>
    <w:rsid w:val="402069B2"/>
    <w:rsid w:val="421D126D"/>
    <w:rsid w:val="4B0F170D"/>
    <w:rsid w:val="4C8B65D2"/>
    <w:rsid w:val="503044CF"/>
    <w:rsid w:val="50615537"/>
    <w:rsid w:val="510B4552"/>
    <w:rsid w:val="69FC0D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AOC</cp:lastModifiedBy>
  <dcterms:modified xsi:type="dcterms:W3CDTF">2025-07-03T07:56:53Z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D78073674573484F9E4987AE2B388326_13</vt:lpwstr>
  </property>
</Properties>
</file>