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EDB66C4">
      <w:pPr>
        <w:pStyle w:val="6"/>
        <w:jc w:val="center"/>
        <w:outlineLvl w:val="1"/>
        <w:rPr>
          <w:rFonts w:hint="eastAsia" w:ascii="仿宋_GB2312" w:hAnsi="仿宋_GB2312" w:eastAsia="仿宋_GB2312" w:cs="仿宋_GB2312"/>
          <w:b/>
          <w:sz w:val="36"/>
          <w:lang w:eastAsia="zh-CN"/>
        </w:rPr>
      </w:pPr>
    </w:p>
    <w:p w14:paraId="6FCF24B0">
      <w:pPr>
        <w:pStyle w:val="6"/>
        <w:jc w:val="center"/>
        <w:outlineLvl w:val="1"/>
        <w:rPr>
          <w:rFonts w:ascii="仿宋_GB2312" w:hAnsi="仿宋_GB2312" w:eastAsia="仿宋_GB2312" w:cs="仿宋_GB2312"/>
          <w:b/>
          <w:sz w:val="36"/>
        </w:rPr>
      </w:pPr>
      <w:r>
        <w:rPr>
          <w:rFonts w:ascii="仿宋_GB2312" w:hAnsi="仿宋_GB2312" w:eastAsia="仿宋_GB2312" w:cs="仿宋_GB2312"/>
          <w:sz w:val="28"/>
        </w:rPr>
        <w:t>（因系统自带合同模板，但该模板不满足本项目，本项目合同以此为准，请</w:t>
      </w:r>
      <w:r>
        <w:rPr>
          <w:rFonts w:hint="eastAsia" w:ascii="仿宋_GB2312" w:hAnsi="仿宋_GB2312" w:eastAsia="仿宋_GB2312" w:cs="仿宋_GB2312"/>
          <w:sz w:val="28"/>
          <w:lang w:eastAsia="zh-CN"/>
        </w:rPr>
        <w:t>供应商</w:t>
      </w:r>
      <w:bookmarkStart w:id="0" w:name="_GoBack"/>
      <w:bookmarkEnd w:id="0"/>
      <w:r>
        <w:rPr>
          <w:rFonts w:ascii="仿宋_GB2312" w:hAnsi="仿宋_GB2312" w:eastAsia="仿宋_GB2312" w:cs="仿宋_GB2312"/>
          <w:sz w:val="28"/>
        </w:rPr>
        <w:t>注意）</w:t>
      </w:r>
    </w:p>
    <w:p w14:paraId="70C69E47">
      <w:pPr>
        <w:pStyle w:val="6"/>
        <w:jc w:val="center"/>
        <w:outlineLvl w:val="1"/>
        <w:rPr>
          <w:rFonts w:ascii="仿宋_GB2312" w:hAnsi="仿宋_GB2312" w:eastAsia="仿宋_GB2312" w:cs="仿宋_GB2312"/>
          <w:b/>
          <w:sz w:val="36"/>
        </w:rPr>
      </w:pPr>
    </w:p>
    <w:p w14:paraId="49134857">
      <w:pPr>
        <w:pStyle w:val="6"/>
        <w:jc w:val="center"/>
        <w:outlineLvl w:val="1"/>
        <w:rPr>
          <w:rFonts w:ascii="仿宋_GB2312" w:hAnsi="仿宋_GB2312" w:eastAsia="仿宋_GB2312" w:cs="仿宋_GB2312"/>
          <w:b/>
          <w:sz w:val="36"/>
        </w:rPr>
      </w:pPr>
    </w:p>
    <w:p w14:paraId="4A064455">
      <w:pPr>
        <w:pStyle w:val="6"/>
        <w:jc w:val="center"/>
        <w:outlineLvl w:val="1"/>
      </w:pPr>
      <w:r>
        <w:rPr>
          <w:rFonts w:ascii="仿宋_GB2312" w:hAnsi="仿宋_GB2312" w:eastAsia="仿宋_GB2312" w:cs="仿宋_GB2312"/>
          <w:b/>
          <w:sz w:val="36"/>
        </w:rPr>
        <w:t>第五章 政府采购合同</w:t>
      </w:r>
    </w:p>
    <w:p w14:paraId="3435E18F">
      <w:pPr>
        <w:pStyle w:val="6"/>
        <w:jc w:val="both"/>
        <w:outlineLvl w:val="1"/>
        <w:rPr>
          <w:rFonts w:ascii="仿宋_GB2312" w:hAnsi="仿宋_GB2312" w:eastAsia="仿宋_GB2312" w:cs="仿宋_GB2312"/>
          <w:b/>
          <w:sz w:val="36"/>
        </w:rPr>
      </w:pPr>
    </w:p>
    <w:p w14:paraId="2A30FE47">
      <w:pPr>
        <w:jc w:val="center"/>
        <w:rPr>
          <w:rFonts w:hint="eastAsia"/>
          <w:lang w:val="en-US" w:eastAsia="zh-CN"/>
        </w:rPr>
      </w:pPr>
      <w:r>
        <w:rPr>
          <w:rFonts w:hint="eastAsia" w:ascii="仿宋" w:hAnsi="仿宋" w:eastAsia="仿宋" w:cs="仿宋"/>
          <w:b/>
          <w:sz w:val="36"/>
          <w:szCs w:val="36"/>
          <w:lang w:eastAsia="zh-CN"/>
        </w:rPr>
        <w:t>（家具）合同模板</w:t>
      </w:r>
    </w:p>
    <w:p w14:paraId="34BE97C1">
      <w:pPr>
        <w:jc w:val="right"/>
        <w:rPr>
          <w:rFonts w:hint="eastAsia" w:ascii="仿宋" w:hAnsi="仿宋" w:eastAsia="仿宋" w:cs="仿宋"/>
          <w:sz w:val="24"/>
          <w:lang w:val="en-US" w:eastAsia="zh-CN"/>
        </w:rPr>
      </w:pPr>
    </w:p>
    <w:p w14:paraId="1774D5A6">
      <w:pPr>
        <w:jc w:val="center"/>
        <w:rPr>
          <w:rFonts w:hint="eastAsia" w:ascii="KaiTi_GB2312" w:hAnsi="KaiTi_GB2312" w:eastAsia="KaiTi_GB2312"/>
          <w:b/>
          <w:sz w:val="24"/>
        </w:rPr>
      </w:pPr>
      <w:r>
        <w:rPr>
          <w:rFonts w:hint="eastAsia" w:ascii="仿宋" w:hAnsi="仿宋" w:eastAsia="仿宋" w:cs="仿宋"/>
          <w:sz w:val="24"/>
          <w:lang w:val="en-US" w:eastAsia="zh-CN"/>
        </w:rPr>
        <w:t xml:space="preserve">                                                </w:t>
      </w:r>
      <w:r>
        <w:rPr>
          <w:rFonts w:hint="eastAsia" w:ascii="仿宋" w:hAnsi="仿宋" w:eastAsia="仿宋" w:cs="仿宋"/>
          <w:b/>
          <w:bCs/>
          <w:sz w:val="24"/>
          <w:lang w:val="en-US" w:eastAsia="zh-CN"/>
        </w:rPr>
        <w:t xml:space="preserve"> ID： </w:t>
      </w:r>
      <w:r>
        <w:rPr>
          <w:rFonts w:hint="eastAsia" w:ascii="仿宋" w:hAnsi="仿宋" w:eastAsia="仿宋" w:cs="仿宋"/>
          <w:sz w:val="24"/>
          <w:lang w:val="en-US" w:eastAsia="zh-CN"/>
        </w:rPr>
        <w:t xml:space="preserve">  </w:t>
      </w:r>
      <w:r>
        <w:rPr>
          <w:rFonts w:hint="eastAsia" w:ascii="KaiTi_GB2312" w:hAnsi="KaiTi_GB2312" w:eastAsia="KaiTi_GB2312"/>
          <w:b/>
          <w:sz w:val="24"/>
        </w:rPr>
        <w:t xml:space="preserve">                                                             </w:t>
      </w:r>
    </w:p>
    <w:p w14:paraId="1F0CB322">
      <w:pPr>
        <w:adjustRightInd w:val="0"/>
        <w:snapToGrid w:val="0"/>
        <w:spacing w:line="312" w:lineRule="auto"/>
        <w:ind w:firstLine="480" w:firstLineChars="200"/>
        <w:textAlignment w:val="baseline"/>
        <w:rPr>
          <w:rFonts w:hint="eastAsia" w:ascii="仿宋" w:hAnsi="仿宋" w:eastAsia="仿宋" w:cs="仿宋"/>
          <w:sz w:val="24"/>
        </w:rPr>
      </w:pPr>
    </w:p>
    <w:p w14:paraId="0917D36E">
      <w:pPr>
        <w:adjustRightInd w:val="0"/>
        <w:snapToGrid w:val="0"/>
        <w:spacing w:line="312" w:lineRule="auto"/>
        <w:ind w:firstLine="480" w:firstLineChars="200"/>
        <w:textAlignment w:val="baseline"/>
        <w:rPr>
          <w:rFonts w:hint="eastAsia" w:ascii="仿宋" w:hAnsi="仿宋" w:eastAsia="仿宋" w:cs="仿宋"/>
          <w:sz w:val="24"/>
          <w:u w:val="single"/>
          <w:lang w:eastAsia="zh-CN"/>
        </w:rPr>
      </w:pPr>
      <w:r>
        <w:rPr>
          <w:rFonts w:hint="eastAsia" w:ascii="仿宋" w:hAnsi="仿宋" w:eastAsia="仿宋" w:cs="仿宋"/>
          <w:sz w:val="24"/>
        </w:rPr>
        <w:t>甲方：</w:t>
      </w:r>
      <w:r>
        <w:rPr>
          <w:rFonts w:hint="eastAsia" w:ascii="仿宋" w:hAnsi="仿宋" w:eastAsia="仿宋" w:cs="仿宋"/>
          <w:sz w:val="24"/>
          <w:lang w:eastAsia="zh-CN"/>
        </w:rPr>
        <w:t>海南省妇女儿童医学中心</w:t>
      </w:r>
    </w:p>
    <w:p w14:paraId="2873D60A">
      <w:pPr>
        <w:adjustRightInd w:val="0"/>
        <w:snapToGrid w:val="0"/>
        <w:spacing w:line="312" w:lineRule="auto"/>
        <w:ind w:firstLine="480" w:firstLineChars="200"/>
        <w:textAlignment w:val="baseline"/>
        <w:rPr>
          <w:rFonts w:hint="eastAsia" w:ascii="仿宋" w:hAnsi="仿宋" w:eastAsia="仿宋" w:cs="仿宋"/>
          <w:sz w:val="24"/>
        </w:rPr>
      </w:pPr>
      <w:r>
        <w:rPr>
          <w:rFonts w:hint="eastAsia" w:ascii="仿宋" w:hAnsi="仿宋" w:eastAsia="仿宋" w:cs="仿宋"/>
          <w:sz w:val="24"/>
        </w:rPr>
        <w:t>乙方：</w:t>
      </w:r>
    </w:p>
    <w:p w14:paraId="185E71A8">
      <w:pPr>
        <w:adjustRightInd w:val="0"/>
        <w:snapToGrid w:val="0"/>
        <w:spacing w:line="312" w:lineRule="auto"/>
        <w:ind w:firstLine="480" w:firstLineChars="200"/>
        <w:textAlignment w:val="baseline"/>
        <w:rPr>
          <w:rFonts w:hint="eastAsia" w:ascii="仿宋" w:hAnsi="仿宋" w:eastAsia="仿宋" w:cs="仿宋"/>
          <w:sz w:val="24"/>
        </w:rPr>
      </w:pPr>
      <w:r>
        <w:rPr>
          <w:rFonts w:hint="eastAsia" w:ascii="仿宋" w:hAnsi="仿宋" w:eastAsia="仿宋" w:cs="仿宋"/>
          <w:sz w:val="24"/>
        </w:rPr>
        <w:t>甲、乙双方根据202</w:t>
      </w:r>
      <w:r>
        <w:rPr>
          <w:rFonts w:hint="eastAsia" w:ascii="仿宋" w:hAnsi="仿宋" w:eastAsia="仿宋" w:cs="仿宋"/>
          <w:sz w:val="24"/>
          <w:lang w:val="en-US" w:eastAsia="zh-CN"/>
        </w:rPr>
        <w:t>5</w:t>
      </w:r>
      <w:r>
        <w:rPr>
          <w:rFonts w:hint="eastAsia" w:ascii="仿宋" w:hAnsi="仿宋" w:eastAsia="仿宋" w:cs="仿宋"/>
          <w:sz w:val="24"/>
        </w:rPr>
        <w:t>年</w:t>
      </w:r>
      <w:r>
        <w:rPr>
          <w:rFonts w:hint="eastAsia" w:ascii="仿宋" w:hAnsi="仿宋" w:eastAsia="仿宋" w:cs="仿宋"/>
          <w:sz w:val="24"/>
          <w:lang w:val="en-US" w:eastAsia="zh-CN"/>
        </w:rPr>
        <w:t xml:space="preserve">  </w:t>
      </w:r>
      <w:r>
        <w:rPr>
          <w:rFonts w:hint="eastAsia" w:ascii="仿宋" w:hAnsi="仿宋" w:eastAsia="仿宋" w:cs="仿宋"/>
          <w:sz w:val="24"/>
        </w:rPr>
        <w:t>月</w:t>
      </w:r>
      <w:r>
        <w:rPr>
          <w:rFonts w:hint="eastAsia" w:ascii="仿宋" w:hAnsi="仿宋" w:eastAsia="仿宋" w:cs="仿宋"/>
          <w:sz w:val="24"/>
          <w:lang w:val="en-US" w:eastAsia="zh-CN"/>
        </w:rPr>
        <w:t xml:space="preserve">  </w:t>
      </w:r>
      <w:r>
        <w:rPr>
          <w:rFonts w:hint="eastAsia" w:ascii="仿宋" w:hAnsi="仿宋" w:eastAsia="仿宋" w:cs="仿宋"/>
          <w:sz w:val="24"/>
        </w:rPr>
        <w:t>日海南省妇产科医院物资采购</w:t>
      </w:r>
      <w:r>
        <w:rPr>
          <w:rFonts w:hint="eastAsia" w:ascii="仿宋" w:hAnsi="仿宋" w:eastAsia="仿宋" w:cs="仿宋"/>
          <w:sz w:val="24"/>
          <w:lang w:eastAsia="zh-CN"/>
        </w:rPr>
        <w:t>三</w:t>
      </w:r>
      <w:r>
        <w:rPr>
          <w:rFonts w:hint="eastAsia" w:ascii="仿宋" w:hAnsi="仿宋" w:eastAsia="仿宋" w:cs="仿宋"/>
          <w:sz w:val="24"/>
        </w:rPr>
        <w:t>期（家具）项目（编号</w:t>
      </w:r>
      <w:r>
        <w:rPr>
          <w:rFonts w:hint="eastAsia" w:ascii="仿宋" w:hAnsi="仿宋" w:eastAsia="仿宋" w:cs="仿宋"/>
          <w:b/>
          <w:sz w:val="24"/>
        </w:rPr>
        <w:t>：</w:t>
      </w:r>
      <w:r>
        <w:rPr>
          <w:rFonts w:hint="eastAsia" w:ascii="仿宋" w:hAnsi="仿宋" w:eastAsia="仿宋" w:cs="仿宋"/>
          <w:b/>
          <w:sz w:val="24"/>
          <w:lang w:val="en-US" w:eastAsia="zh-CN"/>
        </w:rPr>
        <w:t xml:space="preserve">       </w:t>
      </w:r>
      <w:r>
        <w:rPr>
          <w:rFonts w:hint="eastAsia" w:ascii="仿宋" w:hAnsi="仿宋" w:eastAsia="仿宋" w:cs="仿宋"/>
          <w:sz w:val="24"/>
        </w:rPr>
        <w:t>）</w:t>
      </w:r>
      <w:r>
        <w:rPr>
          <w:rFonts w:hint="eastAsia" w:ascii="仿宋" w:hAnsi="仿宋" w:eastAsia="仿宋" w:cs="仿宋"/>
          <w:sz w:val="24"/>
          <w:lang w:eastAsia="zh-CN"/>
        </w:rPr>
        <w:t>成交</w:t>
      </w:r>
      <w:r>
        <w:rPr>
          <w:rFonts w:hint="eastAsia" w:ascii="仿宋" w:hAnsi="仿宋" w:eastAsia="仿宋" w:cs="仿宋"/>
          <w:sz w:val="24"/>
        </w:rPr>
        <w:t>结果及</w:t>
      </w:r>
      <w:r>
        <w:rPr>
          <w:rFonts w:hint="eastAsia" w:ascii="仿宋" w:hAnsi="仿宋" w:eastAsia="仿宋" w:cs="仿宋"/>
          <w:sz w:val="24"/>
          <w:lang w:eastAsia="zh-CN"/>
        </w:rPr>
        <w:t>磋商</w:t>
      </w:r>
      <w:r>
        <w:rPr>
          <w:rFonts w:hint="eastAsia" w:ascii="仿宋" w:hAnsi="仿宋" w:eastAsia="仿宋" w:cs="仿宋"/>
          <w:sz w:val="24"/>
        </w:rPr>
        <w:t>文件的要求, 为保证双方的合法权益，根据《中华人民共和国合同法》及有关法律、法规及有关事宜，签署以下合同条款:</w:t>
      </w:r>
    </w:p>
    <w:p w14:paraId="71BF65E6">
      <w:pPr>
        <w:adjustRightInd w:val="0"/>
        <w:snapToGrid w:val="0"/>
        <w:spacing w:line="312" w:lineRule="auto"/>
        <w:ind w:firstLine="482" w:firstLineChars="200"/>
        <w:textAlignment w:val="baseline"/>
        <w:rPr>
          <w:rFonts w:hint="eastAsia" w:ascii="仿宋" w:hAnsi="仿宋" w:eastAsia="仿宋" w:cs="仿宋"/>
          <w:b/>
          <w:bCs/>
          <w:sz w:val="24"/>
        </w:rPr>
      </w:pPr>
      <w:r>
        <w:rPr>
          <w:rFonts w:hint="eastAsia" w:ascii="仿宋" w:hAnsi="仿宋" w:eastAsia="仿宋" w:cs="仿宋"/>
          <w:b/>
          <w:bCs/>
          <w:sz w:val="24"/>
        </w:rPr>
        <w:t>一、货品明细</w:t>
      </w:r>
    </w:p>
    <w:tbl>
      <w:tblPr>
        <w:tblStyle w:val="4"/>
        <w:tblW w:w="8767" w:type="dxa"/>
        <w:tblInd w:w="-45" w:type="dxa"/>
        <w:tblBorders>
          <w:top w:val="single" w:color="000000" w:sz="4" w:space="0"/>
          <w:left w:val="single" w:color="000000" w:sz="4" w:space="0"/>
          <w:bottom w:val="single" w:color="auto"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195"/>
        <w:gridCol w:w="1009"/>
        <w:gridCol w:w="887"/>
        <w:gridCol w:w="750"/>
        <w:gridCol w:w="1126"/>
        <w:gridCol w:w="1557"/>
        <w:gridCol w:w="1243"/>
      </w:tblGrid>
      <w:tr w14:paraId="570B3C21">
        <w:tblPrEx>
          <w:tblBorders>
            <w:top w:val="single" w:color="000000" w:sz="4" w:space="0"/>
            <w:left w:val="single" w:color="000000" w:sz="4" w:space="0"/>
            <w:bottom w:val="single" w:color="auto"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24" w:hRule="atLeast"/>
        </w:trPr>
        <w:tc>
          <w:tcPr>
            <w:tcW w:w="2195" w:type="dxa"/>
            <w:vMerge w:val="restart"/>
            <w:tcBorders>
              <w:top w:val="single" w:color="000000" w:sz="4" w:space="0"/>
              <w:left w:val="single" w:color="000000" w:sz="4" w:space="0"/>
              <w:bottom w:val="single" w:color="000000" w:sz="4" w:space="0"/>
              <w:right w:val="single" w:color="000000" w:sz="4" w:space="0"/>
              <w:tl2br w:val="nil"/>
            </w:tcBorders>
            <w:shd w:val="clear" w:color="auto" w:fill="FFFFFF"/>
            <w:noWrap w:val="0"/>
            <w:tcMar>
              <w:top w:w="15" w:type="dxa"/>
              <w:left w:w="15" w:type="dxa"/>
              <w:bottom w:w="15" w:type="dxa"/>
              <w:right w:w="15" w:type="dxa"/>
            </w:tcMar>
            <w:vAlign w:val="center"/>
          </w:tcPr>
          <w:p w14:paraId="2B984BEC">
            <w:pPr>
              <w:widowControl/>
              <w:jc w:val="center"/>
              <w:textAlignment w:val="center"/>
              <w:rPr>
                <w:rFonts w:hint="eastAsia" w:ascii="仿宋" w:hAnsi="仿宋" w:eastAsia="仿宋" w:cs="仿宋"/>
                <w:b w:val="0"/>
                <w:color w:val="000000"/>
                <w:sz w:val="24"/>
              </w:rPr>
            </w:pPr>
            <w:r>
              <w:rPr>
                <w:rFonts w:hint="eastAsia" w:ascii="仿宋" w:hAnsi="仿宋" w:eastAsia="仿宋" w:cs="仿宋"/>
                <w:b w:val="0"/>
                <w:color w:val="000000"/>
                <w:kern w:val="0"/>
                <w:sz w:val="24"/>
                <w:lang w:bidi="ar"/>
              </w:rPr>
              <w:t>采购货物名称</w:t>
            </w:r>
          </w:p>
        </w:tc>
        <w:tc>
          <w:tcPr>
            <w:tcW w:w="1009" w:type="dxa"/>
            <w:vMerge w:val="restart"/>
            <w:tcBorders>
              <w:top w:val="single" w:color="000000" w:sz="4" w:space="0"/>
              <w:left w:val="single" w:color="000000" w:sz="4" w:space="0"/>
              <w:bottom w:val="single" w:color="000000" w:sz="4" w:space="0"/>
              <w:right w:val="single" w:color="000000" w:sz="4" w:space="0"/>
            </w:tcBorders>
            <w:shd w:val="clear" w:color="auto" w:fill="FFFFFF"/>
            <w:noWrap w:val="0"/>
            <w:tcMar>
              <w:top w:w="15" w:type="dxa"/>
              <w:left w:w="15" w:type="dxa"/>
              <w:bottom w:w="15" w:type="dxa"/>
              <w:right w:w="15" w:type="dxa"/>
            </w:tcMar>
            <w:vAlign w:val="center"/>
          </w:tcPr>
          <w:p w14:paraId="589A0BC9">
            <w:pPr>
              <w:widowControl/>
              <w:jc w:val="center"/>
              <w:textAlignment w:val="center"/>
              <w:rPr>
                <w:rFonts w:hint="eastAsia" w:ascii="仿宋" w:hAnsi="仿宋" w:eastAsia="仿宋" w:cs="仿宋"/>
                <w:b w:val="0"/>
                <w:color w:val="000000"/>
                <w:sz w:val="24"/>
              </w:rPr>
            </w:pPr>
            <w:r>
              <w:rPr>
                <w:rFonts w:hint="eastAsia" w:ascii="仿宋" w:hAnsi="仿宋" w:eastAsia="仿宋" w:cs="仿宋"/>
                <w:b w:val="0"/>
                <w:color w:val="000000"/>
                <w:kern w:val="0"/>
                <w:sz w:val="24"/>
                <w:lang w:bidi="ar"/>
              </w:rPr>
              <w:t>品牌</w:t>
            </w:r>
          </w:p>
        </w:tc>
        <w:tc>
          <w:tcPr>
            <w:tcW w:w="887" w:type="dxa"/>
            <w:vMerge w:val="restart"/>
            <w:tcBorders>
              <w:top w:val="single" w:color="000000" w:sz="4" w:space="0"/>
              <w:left w:val="single" w:color="000000" w:sz="4" w:space="0"/>
              <w:bottom w:val="single" w:color="000000" w:sz="4" w:space="0"/>
              <w:right w:val="single" w:color="000000" w:sz="4" w:space="0"/>
            </w:tcBorders>
            <w:shd w:val="clear" w:color="auto" w:fill="FFFFFF"/>
            <w:noWrap w:val="0"/>
            <w:tcMar>
              <w:top w:w="15" w:type="dxa"/>
              <w:left w:w="15" w:type="dxa"/>
              <w:bottom w:w="15" w:type="dxa"/>
              <w:right w:w="15" w:type="dxa"/>
            </w:tcMar>
            <w:vAlign w:val="center"/>
          </w:tcPr>
          <w:p w14:paraId="7AFEBE31">
            <w:pPr>
              <w:widowControl/>
              <w:jc w:val="center"/>
              <w:textAlignment w:val="center"/>
              <w:rPr>
                <w:rFonts w:hint="eastAsia" w:ascii="仿宋" w:hAnsi="仿宋" w:eastAsia="仿宋" w:cs="仿宋"/>
                <w:b w:val="0"/>
                <w:color w:val="000000"/>
                <w:sz w:val="24"/>
              </w:rPr>
            </w:pPr>
            <w:r>
              <w:rPr>
                <w:rFonts w:hint="eastAsia" w:ascii="仿宋" w:hAnsi="仿宋" w:eastAsia="仿宋" w:cs="仿宋"/>
                <w:b w:val="0"/>
                <w:color w:val="000000"/>
                <w:kern w:val="0"/>
                <w:sz w:val="24"/>
                <w:lang w:bidi="ar"/>
              </w:rPr>
              <w:t>数量</w:t>
            </w:r>
          </w:p>
        </w:tc>
        <w:tc>
          <w:tcPr>
            <w:tcW w:w="750" w:type="dxa"/>
            <w:vMerge w:val="restart"/>
            <w:tcBorders>
              <w:top w:val="single" w:color="000000" w:sz="4" w:space="0"/>
              <w:left w:val="single" w:color="000000" w:sz="4" w:space="0"/>
              <w:bottom w:val="single" w:color="000000" w:sz="4" w:space="0"/>
              <w:right w:val="single" w:color="000000" w:sz="4" w:space="0"/>
            </w:tcBorders>
            <w:shd w:val="clear" w:color="auto" w:fill="FFFFFF"/>
            <w:noWrap w:val="0"/>
            <w:tcMar>
              <w:top w:w="15" w:type="dxa"/>
              <w:left w:w="15" w:type="dxa"/>
              <w:bottom w:w="15" w:type="dxa"/>
              <w:right w:w="15" w:type="dxa"/>
            </w:tcMar>
            <w:vAlign w:val="center"/>
          </w:tcPr>
          <w:p w14:paraId="38004D62">
            <w:pPr>
              <w:widowControl/>
              <w:jc w:val="center"/>
              <w:textAlignment w:val="center"/>
              <w:rPr>
                <w:rFonts w:hint="eastAsia" w:ascii="仿宋" w:hAnsi="仿宋" w:eastAsia="仿宋" w:cs="仿宋"/>
                <w:b w:val="0"/>
                <w:color w:val="000000"/>
                <w:sz w:val="24"/>
              </w:rPr>
            </w:pPr>
            <w:r>
              <w:rPr>
                <w:rFonts w:hint="eastAsia" w:ascii="仿宋" w:hAnsi="仿宋" w:eastAsia="仿宋" w:cs="仿宋"/>
                <w:b w:val="0"/>
                <w:color w:val="000000"/>
                <w:kern w:val="0"/>
                <w:sz w:val="24"/>
                <w:lang w:bidi="ar"/>
              </w:rPr>
              <w:t>单位</w:t>
            </w:r>
          </w:p>
        </w:tc>
        <w:tc>
          <w:tcPr>
            <w:tcW w:w="1126" w:type="dxa"/>
            <w:vMerge w:val="restart"/>
            <w:tcBorders>
              <w:top w:val="single" w:color="000000" w:sz="4" w:space="0"/>
              <w:left w:val="single" w:color="000000" w:sz="4" w:space="0"/>
              <w:bottom w:val="single" w:color="000000" w:sz="4" w:space="0"/>
              <w:right w:val="single" w:color="000000" w:sz="4" w:space="0"/>
            </w:tcBorders>
            <w:shd w:val="clear" w:color="auto" w:fill="FFFFFF"/>
            <w:noWrap w:val="0"/>
            <w:tcMar>
              <w:top w:w="15" w:type="dxa"/>
              <w:left w:w="15" w:type="dxa"/>
              <w:bottom w:w="15" w:type="dxa"/>
              <w:right w:w="15" w:type="dxa"/>
            </w:tcMar>
            <w:vAlign w:val="center"/>
          </w:tcPr>
          <w:p w14:paraId="00AFE202">
            <w:pPr>
              <w:widowControl/>
              <w:jc w:val="center"/>
              <w:textAlignment w:val="center"/>
              <w:rPr>
                <w:rFonts w:hint="eastAsia" w:ascii="仿宋" w:hAnsi="仿宋" w:eastAsia="仿宋" w:cs="仿宋"/>
                <w:b w:val="0"/>
                <w:color w:val="000000"/>
                <w:sz w:val="24"/>
              </w:rPr>
            </w:pPr>
            <w:r>
              <w:rPr>
                <w:rFonts w:hint="eastAsia" w:ascii="仿宋" w:hAnsi="仿宋" w:eastAsia="仿宋" w:cs="仿宋"/>
                <w:b w:val="0"/>
                <w:color w:val="000000"/>
                <w:kern w:val="0"/>
                <w:sz w:val="24"/>
                <w:lang w:bidi="ar"/>
              </w:rPr>
              <w:t>总价（元）</w:t>
            </w:r>
          </w:p>
        </w:tc>
        <w:tc>
          <w:tcPr>
            <w:tcW w:w="1557" w:type="dxa"/>
            <w:vMerge w:val="restart"/>
            <w:tcBorders>
              <w:top w:val="single" w:color="000000" w:sz="4" w:space="0"/>
              <w:left w:val="single" w:color="000000" w:sz="4" w:space="0"/>
              <w:bottom w:val="single" w:color="000000" w:sz="4" w:space="0"/>
              <w:right w:val="single" w:color="000000" w:sz="4" w:space="0"/>
            </w:tcBorders>
            <w:shd w:val="clear" w:color="auto" w:fill="FFFFFF"/>
            <w:noWrap w:val="0"/>
            <w:tcMar>
              <w:top w:w="15" w:type="dxa"/>
              <w:left w:w="15" w:type="dxa"/>
              <w:bottom w:w="15" w:type="dxa"/>
              <w:right w:w="15" w:type="dxa"/>
            </w:tcMar>
            <w:vAlign w:val="center"/>
          </w:tcPr>
          <w:p w14:paraId="501EC540">
            <w:pPr>
              <w:widowControl/>
              <w:jc w:val="center"/>
              <w:textAlignment w:val="center"/>
              <w:rPr>
                <w:rFonts w:hint="eastAsia" w:ascii="仿宋" w:hAnsi="仿宋" w:eastAsia="仿宋" w:cs="仿宋"/>
                <w:b w:val="0"/>
                <w:color w:val="000000"/>
                <w:sz w:val="24"/>
              </w:rPr>
            </w:pPr>
            <w:r>
              <w:rPr>
                <w:rFonts w:hint="eastAsia" w:ascii="仿宋" w:hAnsi="仿宋" w:eastAsia="仿宋" w:cs="仿宋"/>
                <w:b w:val="0"/>
                <w:color w:val="000000"/>
                <w:kern w:val="0"/>
                <w:sz w:val="24"/>
                <w:lang w:bidi="ar"/>
              </w:rPr>
              <w:t>免费保修期</w:t>
            </w:r>
          </w:p>
        </w:tc>
        <w:tc>
          <w:tcPr>
            <w:tcW w:w="1243" w:type="dxa"/>
            <w:vMerge w:val="restart"/>
            <w:tcBorders>
              <w:top w:val="single" w:color="000000" w:sz="4" w:space="0"/>
              <w:left w:val="single" w:color="000000" w:sz="4" w:space="0"/>
              <w:bottom w:val="single" w:color="000000" w:sz="4" w:space="0"/>
              <w:right w:val="single" w:color="000000" w:sz="4" w:space="0"/>
            </w:tcBorders>
            <w:shd w:val="clear" w:color="auto" w:fill="FFFFFF"/>
            <w:noWrap w:val="0"/>
            <w:tcMar>
              <w:top w:w="15" w:type="dxa"/>
              <w:left w:w="15" w:type="dxa"/>
              <w:bottom w:w="15" w:type="dxa"/>
              <w:right w:w="15" w:type="dxa"/>
            </w:tcMar>
            <w:vAlign w:val="center"/>
          </w:tcPr>
          <w:p w14:paraId="34484B0F">
            <w:pPr>
              <w:widowControl/>
              <w:jc w:val="center"/>
              <w:textAlignment w:val="center"/>
              <w:rPr>
                <w:rFonts w:hint="eastAsia" w:ascii="仿宋" w:hAnsi="仿宋" w:eastAsia="仿宋" w:cs="仿宋"/>
                <w:b w:val="0"/>
                <w:color w:val="000000"/>
                <w:sz w:val="24"/>
              </w:rPr>
            </w:pPr>
            <w:r>
              <w:rPr>
                <w:rFonts w:hint="eastAsia" w:ascii="仿宋" w:hAnsi="仿宋" w:eastAsia="仿宋" w:cs="仿宋"/>
                <w:b w:val="0"/>
                <w:color w:val="000000"/>
                <w:kern w:val="0"/>
                <w:sz w:val="24"/>
                <w:lang w:bidi="ar"/>
              </w:rPr>
              <w:t>交货时间</w:t>
            </w:r>
          </w:p>
        </w:tc>
      </w:tr>
      <w:tr w14:paraId="5FA06A11">
        <w:tblPrEx>
          <w:tblBorders>
            <w:top w:val="single" w:color="000000" w:sz="4" w:space="0"/>
            <w:left w:val="single" w:color="000000" w:sz="4" w:space="0"/>
            <w:bottom w:val="single" w:color="auto"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24" w:hRule="atLeast"/>
        </w:trPr>
        <w:tc>
          <w:tcPr>
            <w:tcW w:w="2195"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55B3CBE">
            <w:pPr>
              <w:widowControl/>
              <w:jc w:val="left"/>
              <w:rPr>
                <w:rFonts w:hint="eastAsia" w:ascii="仿宋" w:hAnsi="仿宋" w:eastAsia="仿宋" w:cs="仿宋"/>
                <w:b w:val="0"/>
                <w:color w:val="000000"/>
                <w:sz w:val="24"/>
              </w:rPr>
            </w:pPr>
          </w:p>
        </w:tc>
        <w:tc>
          <w:tcPr>
            <w:tcW w:w="1009"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8C10886">
            <w:pPr>
              <w:widowControl/>
              <w:jc w:val="left"/>
              <w:rPr>
                <w:rFonts w:hint="eastAsia" w:ascii="仿宋" w:hAnsi="仿宋" w:eastAsia="仿宋" w:cs="仿宋"/>
                <w:b w:val="0"/>
                <w:color w:val="000000"/>
                <w:sz w:val="24"/>
              </w:rPr>
            </w:pPr>
          </w:p>
        </w:tc>
        <w:tc>
          <w:tcPr>
            <w:tcW w:w="887"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3EFEFED">
            <w:pPr>
              <w:widowControl/>
              <w:jc w:val="left"/>
              <w:rPr>
                <w:rFonts w:hint="eastAsia" w:ascii="仿宋" w:hAnsi="仿宋" w:eastAsia="仿宋" w:cs="仿宋"/>
                <w:b w:val="0"/>
                <w:color w:val="000000"/>
                <w:sz w:val="24"/>
              </w:rPr>
            </w:pPr>
          </w:p>
        </w:tc>
        <w:tc>
          <w:tcPr>
            <w:tcW w:w="750"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37798F1">
            <w:pPr>
              <w:widowControl/>
              <w:jc w:val="left"/>
              <w:rPr>
                <w:rFonts w:hint="eastAsia" w:ascii="仿宋" w:hAnsi="仿宋" w:eastAsia="仿宋" w:cs="仿宋"/>
                <w:b w:val="0"/>
                <w:color w:val="000000"/>
                <w:sz w:val="24"/>
              </w:rPr>
            </w:pPr>
          </w:p>
        </w:tc>
        <w:tc>
          <w:tcPr>
            <w:tcW w:w="1126"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D38E87B">
            <w:pPr>
              <w:widowControl/>
              <w:jc w:val="left"/>
              <w:rPr>
                <w:rFonts w:hint="eastAsia" w:ascii="仿宋" w:hAnsi="仿宋" w:eastAsia="仿宋" w:cs="仿宋"/>
                <w:b w:val="0"/>
                <w:color w:val="000000"/>
                <w:sz w:val="24"/>
              </w:rPr>
            </w:pPr>
          </w:p>
        </w:tc>
        <w:tc>
          <w:tcPr>
            <w:tcW w:w="1557"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F9D74B8">
            <w:pPr>
              <w:widowControl/>
              <w:jc w:val="left"/>
              <w:rPr>
                <w:rFonts w:hint="eastAsia" w:ascii="仿宋" w:hAnsi="仿宋" w:eastAsia="仿宋" w:cs="仿宋"/>
                <w:b w:val="0"/>
                <w:color w:val="000000"/>
                <w:sz w:val="24"/>
              </w:rPr>
            </w:pPr>
          </w:p>
        </w:tc>
        <w:tc>
          <w:tcPr>
            <w:tcW w:w="1243"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517C877">
            <w:pPr>
              <w:widowControl/>
              <w:jc w:val="left"/>
              <w:rPr>
                <w:rFonts w:hint="eastAsia" w:ascii="仿宋" w:hAnsi="仿宋" w:eastAsia="仿宋" w:cs="仿宋"/>
                <w:b w:val="0"/>
                <w:color w:val="000000"/>
                <w:sz w:val="24"/>
              </w:rPr>
            </w:pPr>
          </w:p>
        </w:tc>
      </w:tr>
      <w:tr w14:paraId="78752593">
        <w:tblPrEx>
          <w:tblBorders>
            <w:top w:val="single" w:color="000000" w:sz="4" w:space="0"/>
            <w:left w:val="single" w:color="000000" w:sz="4" w:space="0"/>
            <w:bottom w:val="single" w:color="auto"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75" w:hRule="atLeast"/>
        </w:trPr>
        <w:tc>
          <w:tcPr>
            <w:tcW w:w="2195" w:type="dxa"/>
            <w:tcBorders>
              <w:top w:val="single" w:color="000000" w:sz="4" w:space="0"/>
              <w:left w:val="single" w:color="000000" w:sz="4" w:space="0"/>
              <w:bottom w:val="single" w:color="000000" w:sz="4" w:space="0"/>
              <w:right w:val="single" w:color="000000" w:sz="4" w:space="0"/>
            </w:tcBorders>
            <w:shd w:val="clear" w:color="auto" w:fill="FFFFFF"/>
            <w:noWrap w:val="0"/>
            <w:tcMar>
              <w:top w:w="15" w:type="dxa"/>
              <w:left w:w="15" w:type="dxa"/>
              <w:bottom w:w="15" w:type="dxa"/>
              <w:right w:w="15" w:type="dxa"/>
            </w:tcMar>
            <w:vAlign w:val="center"/>
          </w:tcPr>
          <w:p w14:paraId="33545EC7">
            <w:pPr>
              <w:widowControl/>
              <w:jc w:val="center"/>
              <w:textAlignment w:val="center"/>
              <w:rPr>
                <w:rFonts w:hint="default" w:ascii="仿宋" w:hAnsi="仿宋" w:eastAsia="仿宋" w:cs="仿宋"/>
                <w:b w:val="0"/>
                <w:color w:val="000000"/>
                <w:sz w:val="24"/>
                <w:lang w:val="en-US" w:eastAsia="zh-CN"/>
              </w:rPr>
            </w:pPr>
            <w:r>
              <w:rPr>
                <w:rFonts w:hint="eastAsia" w:ascii="仿宋" w:hAnsi="仿宋" w:eastAsia="仿宋" w:cs="仿宋"/>
                <w:b w:val="0"/>
                <w:color w:val="000000"/>
                <w:sz w:val="24"/>
                <w:lang w:val="en-US" w:eastAsia="zh-CN"/>
              </w:rPr>
              <w:t>海南省妇产科医院物资采购三期（家具）</w:t>
            </w:r>
          </w:p>
        </w:tc>
        <w:tc>
          <w:tcPr>
            <w:tcW w:w="1009" w:type="dxa"/>
            <w:tcBorders>
              <w:top w:val="single" w:color="000000" w:sz="4" w:space="0"/>
              <w:left w:val="single" w:color="000000" w:sz="4" w:space="0"/>
              <w:bottom w:val="single" w:color="000000" w:sz="4" w:space="0"/>
              <w:right w:val="single" w:color="000000" w:sz="4" w:space="0"/>
            </w:tcBorders>
            <w:shd w:val="clear" w:color="auto" w:fill="FFFFFF"/>
            <w:noWrap w:val="0"/>
            <w:tcMar>
              <w:top w:w="15" w:type="dxa"/>
              <w:left w:w="15" w:type="dxa"/>
              <w:bottom w:w="15" w:type="dxa"/>
              <w:right w:w="15" w:type="dxa"/>
            </w:tcMar>
            <w:vAlign w:val="center"/>
          </w:tcPr>
          <w:p w14:paraId="0BF8D1BC">
            <w:pPr>
              <w:widowControl/>
              <w:jc w:val="both"/>
              <w:textAlignment w:val="center"/>
              <w:rPr>
                <w:rFonts w:hint="default" w:ascii="仿宋" w:hAnsi="仿宋" w:eastAsia="仿宋" w:cs="仿宋"/>
                <w:b w:val="0"/>
                <w:color w:val="000000"/>
                <w:sz w:val="24"/>
                <w:lang w:val="en-US" w:eastAsia="zh-CN"/>
              </w:rPr>
            </w:pPr>
          </w:p>
        </w:tc>
        <w:tc>
          <w:tcPr>
            <w:tcW w:w="887" w:type="dxa"/>
            <w:tcBorders>
              <w:top w:val="single" w:color="000000" w:sz="4" w:space="0"/>
              <w:left w:val="single" w:color="000000" w:sz="4" w:space="0"/>
              <w:bottom w:val="single" w:color="000000" w:sz="4" w:space="0"/>
              <w:right w:val="single" w:color="000000" w:sz="4" w:space="0"/>
            </w:tcBorders>
            <w:shd w:val="clear" w:color="auto" w:fill="FFFFFF"/>
            <w:noWrap w:val="0"/>
            <w:tcMar>
              <w:top w:w="15" w:type="dxa"/>
              <w:left w:w="15" w:type="dxa"/>
              <w:bottom w:w="15" w:type="dxa"/>
              <w:right w:w="15" w:type="dxa"/>
            </w:tcMar>
            <w:vAlign w:val="center"/>
          </w:tcPr>
          <w:p w14:paraId="5F9734FB">
            <w:pPr>
              <w:widowControl/>
              <w:jc w:val="center"/>
              <w:textAlignment w:val="center"/>
              <w:rPr>
                <w:rFonts w:hint="eastAsia" w:ascii="仿宋" w:hAnsi="仿宋" w:eastAsia="仿宋" w:cs="仿宋"/>
                <w:b w:val="0"/>
                <w:color w:val="000000"/>
                <w:sz w:val="24"/>
                <w:lang w:val="en-US" w:eastAsia="zh-CN"/>
              </w:rPr>
            </w:pPr>
            <w:r>
              <w:rPr>
                <w:rFonts w:hint="eastAsia" w:ascii="仿宋" w:hAnsi="仿宋" w:eastAsia="仿宋" w:cs="仿宋"/>
                <w:b w:val="0"/>
                <w:color w:val="000000"/>
                <w:sz w:val="24"/>
                <w:lang w:val="en-US" w:eastAsia="zh-CN"/>
              </w:rPr>
              <w:t>1</w:t>
            </w:r>
          </w:p>
        </w:tc>
        <w:tc>
          <w:tcPr>
            <w:tcW w:w="750" w:type="dxa"/>
            <w:tcBorders>
              <w:top w:val="single" w:color="000000" w:sz="4" w:space="0"/>
              <w:left w:val="single" w:color="000000" w:sz="4" w:space="0"/>
              <w:bottom w:val="single" w:color="000000" w:sz="4" w:space="0"/>
              <w:right w:val="single" w:color="000000" w:sz="4" w:space="0"/>
            </w:tcBorders>
            <w:shd w:val="clear" w:color="auto" w:fill="FFFFFF"/>
            <w:noWrap w:val="0"/>
            <w:tcMar>
              <w:top w:w="15" w:type="dxa"/>
              <w:left w:w="15" w:type="dxa"/>
              <w:bottom w:w="15" w:type="dxa"/>
              <w:right w:w="15" w:type="dxa"/>
            </w:tcMar>
            <w:vAlign w:val="center"/>
          </w:tcPr>
          <w:p w14:paraId="4C82FD4A">
            <w:pPr>
              <w:widowControl/>
              <w:jc w:val="center"/>
              <w:textAlignment w:val="center"/>
              <w:rPr>
                <w:rFonts w:hint="eastAsia" w:ascii="仿宋" w:hAnsi="仿宋" w:eastAsia="仿宋" w:cs="仿宋"/>
                <w:b w:val="0"/>
                <w:color w:val="000000"/>
                <w:sz w:val="24"/>
                <w:lang w:val="en-US" w:eastAsia="zh-CN"/>
              </w:rPr>
            </w:pPr>
            <w:r>
              <w:rPr>
                <w:rFonts w:hint="eastAsia" w:ascii="仿宋" w:hAnsi="仿宋" w:eastAsia="仿宋" w:cs="仿宋"/>
                <w:b w:val="0"/>
                <w:color w:val="000000"/>
                <w:sz w:val="24"/>
                <w:lang w:val="en-US" w:eastAsia="zh-CN"/>
              </w:rPr>
              <w:t>批</w:t>
            </w:r>
          </w:p>
        </w:tc>
        <w:tc>
          <w:tcPr>
            <w:tcW w:w="1126" w:type="dxa"/>
            <w:tcBorders>
              <w:top w:val="single" w:color="000000" w:sz="4" w:space="0"/>
              <w:left w:val="single" w:color="000000" w:sz="4" w:space="0"/>
              <w:bottom w:val="single" w:color="000000" w:sz="4" w:space="0"/>
              <w:right w:val="single" w:color="000000" w:sz="4" w:space="0"/>
            </w:tcBorders>
            <w:shd w:val="clear" w:color="auto" w:fill="FFFFFF"/>
            <w:noWrap w:val="0"/>
            <w:tcMar>
              <w:top w:w="15" w:type="dxa"/>
              <w:left w:w="15" w:type="dxa"/>
              <w:bottom w:w="15" w:type="dxa"/>
              <w:right w:w="15" w:type="dxa"/>
            </w:tcMar>
            <w:vAlign w:val="center"/>
          </w:tcPr>
          <w:p w14:paraId="75A4A465">
            <w:pPr>
              <w:widowControl/>
              <w:jc w:val="center"/>
              <w:textAlignment w:val="center"/>
              <w:rPr>
                <w:rFonts w:hint="default" w:ascii="仿宋" w:hAnsi="仿宋" w:eastAsia="仿宋" w:cs="仿宋"/>
                <w:b w:val="0"/>
                <w:color w:val="000000"/>
                <w:sz w:val="24"/>
                <w:lang w:val="en-US" w:eastAsia="zh-CN"/>
              </w:rPr>
            </w:pPr>
          </w:p>
        </w:tc>
        <w:tc>
          <w:tcPr>
            <w:tcW w:w="1557" w:type="dxa"/>
            <w:tcBorders>
              <w:top w:val="single" w:color="000000" w:sz="4" w:space="0"/>
              <w:left w:val="single" w:color="000000" w:sz="4" w:space="0"/>
              <w:bottom w:val="single" w:color="000000" w:sz="4" w:space="0"/>
              <w:right w:val="single" w:color="000000" w:sz="4" w:space="0"/>
            </w:tcBorders>
            <w:shd w:val="clear" w:color="auto" w:fill="FFFFFF"/>
            <w:noWrap w:val="0"/>
            <w:tcMar>
              <w:top w:w="15" w:type="dxa"/>
              <w:left w:w="15" w:type="dxa"/>
              <w:bottom w:w="15" w:type="dxa"/>
              <w:right w:w="15" w:type="dxa"/>
            </w:tcMar>
            <w:vAlign w:val="center"/>
          </w:tcPr>
          <w:p w14:paraId="52CA8C0C">
            <w:pPr>
              <w:widowControl/>
              <w:jc w:val="center"/>
              <w:textAlignment w:val="center"/>
              <w:rPr>
                <w:rFonts w:hint="eastAsia" w:ascii="仿宋" w:hAnsi="仿宋" w:eastAsia="仿宋" w:cs="仿宋"/>
                <w:b w:val="0"/>
                <w:color w:val="000000"/>
                <w:sz w:val="24"/>
                <w:u w:val="none"/>
                <w:lang w:val="en-US" w:eastAsia="zh-CN"/>
              </w:rPr>
            </w:pPr>
            <w:r>
              <w:rPr>
                <w:rFonts w:hint="eastAsia" w:ascii="仿宋" w:hAnsi="仿宋" w:eastAsia="仿宋" w:cs="仿宋"/>
                <w:b w:val="0"/>
                <w:color w:val="000000"/>
                <w:sz w:val="24"/>
                <w:u w:val="none"/>
                <w:lang w:eastAsia="zh-CN"/>
              </w:rPr>
              <w:t>质保</w:t>
            </w:r>
            <w:r>
              <w:rPr>
                <w:rFonts w:hint="eastAsia" w:ascii="仿宋" w:hAnsi="仿宋" w:eastAsia="仿宋" w:cs="仿宋"/>
                <w:b w:val="0"/>
                <w:color w:val="000000"/>
                <w:sz w:val="24"/>
                <w:u w:val="none"/>
                <w:lang w:val="en-US" w:eastAsia="zh-CN"/>
              </w:rPr>
              <w:t>期5年</w:t>
            </w:r>
          </w:p>
          <w:p w14:paraId="7B390603">
            <w:pPr>
              <w:pStyle w:val="3"/>
              <w:rPr>
                <w:rFonts w:hint="default" w:ascii="仿宋" w:hAnsi="仿宋" w:eastAsia="仿宋" w:cs="仿宋"/>
                <w:b w:val="0"/>
                <w:color w:val="000000"/>
                <w:sz w:val="24"/>
                <w:lang w:val="en-US" w:eastAsia="zh-CN"/>
              </w:rPr>
            </w:pPr>
            <w:r>
              <w:rPr>
                <w:rFonts w:hint="eastAsia" w:ascii="仿宋" w:hAnsi="仿宋" w:eastAsia="仿宋" w:cs="仿宋"/>
                <w:b w:val="0"/>
                <w:color w:val="000000"/>
                <w:sz w:val="24"/>
                <w:u w:val="none"/>
                <w:lang w:val="en-US" w:eastAsia="zh-CN"/>
              </w:rPr>
              <w:t>维修期10年</w:t>
            </w:r>
          </w:p>
        </w:tc>
        <w:tc>
          <w:tcPr>
            <w:tcW w:w="1243" w:type="dxa"/>
            <w:tcBorders>
              <w:top w:val="single" w:color="000000" w:sz="4" w:space="0"/>
              <w:left w:val="single" w:color="000000" w:sz="4" w:space="0"/>
              <w:bottom w:val="single" w:color="000000" w:sz="4" w:space="0"/>
              <w:right w:val="single" w:color="000000" w:sz="4" w:space="0"/>
            </w:tcBorders>
            <w:shd w:val="clear" w:color="auto" w:fill="FFFFFF"/>
            <w:noWrap w:val="0"/>
            <w:tcMar>
              <w:top w:w="15" w:type="dxa"/>
              <w:left w:w="15" w:type="dxa"/>
              <w:bottom w:w="15" w:type="dxa"/>
              <w:right w:w="15" w:type="dxa"/>
            </w:tcMar>
            <w:vAlign w:val="center"/>
          </w:tcPr>
          <w:p w14:paraId="4545DCCB">
            <w:pPr>
              <w:widowControl/>
              <w:tabs>
                <w:tab w:val="left" w:pos="335"/>
              </w:tabs>
              <w:jc w:val="left"/>
              <w:textAlignment w:val="center"/>
              <w:rPr>
                <w:rFonts w:hint="eastAsia" w:ascii="仿宋" w:hAnsi="仿宋" w:eastAsia="仿宋" w:cs="仿宋"/>
                <w:b w:val="0"/>
                <w:color w:val="000000"/>
                <w:sz w:val="24"/>
                <w:lang w:eastAsia="zh-CN"/>
              </w:rPr>
            </w:pPr>
            <w:r>
              <w:rPr>
                <w:rFonts w:hint="eastAsia" w:ascii="仿宋" w:hAnsi="仿宋" w:eastAsia="仿宋" w:cs="仿宋"/>
                <w:b w:val="0"/>
                <w:color w:val="000000"/>
                <w:sz w:val="24"/>
                <w:lang w:eastAsia="zh-CN"/>
              </w:rPr>
              <w:tab/>
            </w:r>
            <w:r>
              <w:rPr>
                <w:rFonts w:hint="eastAsia" w:ascii="仿宋" w:hAnsi="仿宋" w:eastAsia="仿宋" w:cs="仿宋"/>
                <w:b w:val="0"/>
                <w:color w:val="000000"/>
                <w:sz w:val="24"/>
              </w:rPr>
              <w:t>交货时间为合同签定后，确认订单之日起</w:t>
            </w:r>
            <w:r>
              <w:rPr>
                <w:rFonts w:hint="eastAsia" w:ascii="仿宋" w:hAnsi="仿宋" w:eastAsia="仿宋" w:cs="仿宋"/>
                <w:b w:val="0"/>
                <w:color w:val="000000"/>
                <w:sz w:val="24"/>
                <w:u w:val="single"/>
              </w:rPr>
              <w:t xml:space="preserve">25 </w:t>
            </w:r>
            <w:r>
              <w:rPr>
                <w:rFonts w:hint="eastAsia" w:ascii="仿宋" w:hAnsi="仿宋" w:eastAsia="仿宋" w:cs="仿宋"/>
                <w:b w:val="0"/>
                <w:color w:val="000000"/>
                <w:sz w:val="24"/>
              </w:rPr>
              <w:t>日历天完成供货。</w:t>
            </w:r>
          </w:p>
        </w:tc>
      </w:tr>
      <w:tr w14:paraId="36D48A45">
        <w:tblPrEx>
          <w:tblBorders>
            <w:top w:val="single" w:color="000000" w:sz="4" w:space="0"/>
            <w:left w:val="single" w:color="000000" w:sz="4" w:space="0"/>
            <w:bottom w:val="single" w:color="auto"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380" w:hRule="atLeast"/>
        </w:trPr>
        <w:tc>
          <w:tcPr>
            <w:tcW w:w="8767" w:type="dxa"/>
            <w:gridSpan w:val="7"/>
            <w:tcBorders>
              <w:top w:val="single" w:color="000000" w:sz="4" w:space="0"/>
              <w:left w:val="single" w:color="000000" w:sz="4" w:space="0"/>
              <w:bottom w:val="single" w:color="000000" w:sz="4" w:space="0"/>
              <w:right w:val="single" w:color="000000" w:sz="4" w:space="0"/>
            </w:tcBorders>
            <w:shd w:val="clear" w:color="auto" w:fill="FFFFFF"/>
            <w:noWrap w:val="0"/>
            <w:tcMar>
              <w:top w:w="15" w:type="dxa"/>
              <w:left w:w="15" w:type="dxa"/>
              <w:bottom w:w="15" w:type="dxa"/>
              <w:right w:w="15" w:type="dxa"/>
            </w:tcMar>
            <w:vAlign w:val="center"/>
          </w:tcPr>
          <w:p w14:paraId="2B2C2FA4">
            <w:pPr>
              <w:widowControl/>
              <w:textAlignment w:val="center"/>
              <w:rPr>
                <w:rFonts w:hint="default" w:ascii="仿宋" w:hAnsi="仿宋" w:eastAsia="仿宋" w:cs="仿宋"/>
                <w:b w:val="0"/>
                <w:color w:val="000000"/>
                <w:kern w:val="0"/>
                <w:sz w:val="24"/>
                <w:lang w:val="en-US" w:bidi="ar"/>
              </w:rPr>
            </w:pPr>
            <w:r>
              <w:rPr>
                <w:rFonts w:hint="eastAsia" w:ascii="仿宋" w:hAnsi="仿宋" w:eastAsia="仿宋" w:cs="仿宋"/>
                <w:b w:val="0"/>
                <w:bCs/>
                <w:color w:val="000000"/>
                <w:kern w:val="0"/>
                <w:sz w:val="24"/>
                <w:lang w:bidi="ar"/>
              </w:rPr>
              <w:t>合同总金额：人民币（大写）</w:t>
            </w:r>
            <w:r>
              <w:rPr>
                <w:rFonts w:hint="eastAsia" w:ascii="仿宋" w:hAnsi="仿宋" w:eastAsia="仿宋" w:cs="仿宋"/>
                <w:b w:val="0"/>
                <w:bCs/>
                <w:color w:val="000000"/>
                <w:kern w:val="0"/>
                <w:sz w:val="24"/>
                <w:u w:val="single"/>
                <w:lang w:val="en-US" w:eastAsia="zh-CN" w:bidi="ar"/>
              </w:rPr>
              <w:t xml:space="preserve">                 。</w:t>
            </w:r>
            <w:r>
              <w:rPr>
                <w:rFonts w:hint="eastAsia" w:ascii="仿宋" w:hAnsi="仿宋" w:eastAsia="仿宋" w:cs="仿宋"/>
                <w:b w:val="0"/>
                <w:bCs/>
                <w:color w:val="000000"/>
                <w:kern w:val="0"/>
                <w:sz w:val="24"/>
                <w:u w:val="single"/>
                <w:lang w:bidi="ar"/>
              </w:rPr>
              <w:t>￥：</w:t>
            </w:r>
            <w:r>
              <w:rPr>
                <w:rFonts w:hint="eastAsia" w:ascii="仿宋" w:hAnsi="仿宋" w:eastAsia="仿宋" w:cs="仿宋"/>
                <w:b w:val="0"/>
                <w:bCs/>
                <w:color w:val="000000"/>
                <w:kern w:val="0"/>
                <w:sz w:val="24"/>
                <w:u w:val="single"/>
                <w:lang w:val="en-US" w:eastAsia="zh-CN" w:bidi="ar"/>
              </w:rPr>
              <w:t xml:space="preserve">                </w:t>
            </w:r>
            <w:r>
              <w:rPr>
                <w:rFonts w:hint="eastAsia" w:ascii="仿宋" w:hAnsi="仿宋" w:eastAsia="仿宋" w:cs="仿宋"/>
                <w:b w:val="0"/>
                <w:bCs/>
                <w:color w:val="000000"/>
                <w:sz w:val="24"/>
                <w:u w:val="single"/>
                <w:lang w:val="en-US" w:eastAsia="zh-CN"/>
              </w:rPr>
              <w:t>。</w:t>
            </w:r>
          </w:p>
          <w:p w14:paraId="463DC030">
            <w:pPr>
              <w:textAlignment w:val="center"/>
              <w:rPr>
                <w:rFonts w:hint="eastAsia" w:ascii="仿宋" w:hAnsi="仿宋" w:eastAsia="仿宋" w:cs="仿宋"/>
                <w:b w:val="0"/>
                <w:color w:val="000000"/>
                <w:sz w:val="24"/>
              </w:rPr>
            </w:pPr>
            <w:r>
              <w:rPr>
                <w:rFonts w:hint="eastAsia" w:ascii="仿宋" w:hAnsi="仿宋" w:eastAsia="仿宋" w:cs="仿宋"/>
                <w:b w:val="0"/>
                <w:color w:val="000000"/>
                <w:kern w:val="0"/>
                <w:sz w:val="24"/>
                <w:u w:val="none"/>
                <w:lang w:bidi="ar"/>
              </w:rPr>
              <w:t>以上设备清单价格包括主件及零部件的供应、配置、运输（买方指定地点）、含税、安装、调试、培训、售后服务等费用。货物清单（</w:t>
            </w:r>
            <w:r>
              <w:rPr>
                <w:rStyle w:val="7"/>
                <w:rFonts w:hint="default" w:ascii="仿宋" w:hAnsi="仿宋" w:eastAsia="仿宋" w:cs="仿宋"/>
                <w:b w:val="0"/>
                <w:color w:val="000000"/>
                <w:u w:val="none"/>
                <w:lang w:bidi="ar"/>
              </w:rPr>
              <w:t>名称、型号、规格、材质、数量、单价、图片及颜色等）详见附件，</w:t>
            </w:r>
            <w:r>
              <w:rPr>
                <w:rFonts w:hint="eastAsia" w:ascii="仿宋" w:hAnsi="仿宋" w:eastAsia="仿宋" w:cs="仿宋"/>
                <w:b w:val="0"/>
                <w:color w:val="000000"/>
                <w:sz w:val="24"/>
                <w:u w:val="none"/>
              </w:rPr>
              <w:t>最终结算以实际到货为准。</w:t>
            </w:r>
          </w:p>
        </w:tc>
      </w:tr>
    </w:tbl>
    <w:p w14:paraId="4819A218">
      <w:pPr>
        <w:numPr>
          <w:ilvl w:val="0"/>
          <w:numId w:val="1"/>
        </w:numPr>
        <w:adjustRightInd w:val="0"/>
        <w:snapToGrid w:val="0"/>
        <w:spacing w:line="312" w:lineRule="auto"/>
        <w:ind w:firstLine="482" w:firstLineChars="200"/>
        <w:textAlignment w:val="baseline"/>
        <w:rPr>
          <w:rFonts w:hint="eastAsia" w:ascii="仿宋" w:hAnsi="仿宋" w:eastAsia="仿宋" w:cs="仿宋"/>
          <w:b/>
          <w:bCs/>
          <w:sz w:val="24"/>
        </w:rPr>
      </w:pPr>
      <w:r>
        <w:rPr>
          <w:rFonts w:hint="eastAsia" w:ascii="仿宋" w:hAnsi="仿宋" w:eastAsia="仿宋" w:cs="仿宋"/>
          <w:b/>
          <w:bCs/>
          <w:sz w:val="24"/>
        </w:rPr>
        <w:t>付款方式</w:t>
      </w:r>
    </w:p>
    <w:p w14:paraId="7412DE3D">
      <w:pPr>
        <w:tabs>
          <w:tab w:val="left" w:pos="840"/>
        </w:tabs>
        <w:adjustRightInd w:val="0"/>
        <w:snapToGrid w:val="0"/>
        <w:spacing w:line="312" w:lineRule="auto"/>
        <w:ind w:firstLine="480" w:firstLineChars="200"/>
        <w:textAlignment w:val="baseline"/>
        <w:rPr>
          <w:rFonts w:hint="default" w:ascii="仿宋" w:hAnsi="仿宋" w:eastAsia="仿宋" w:cs="仿宋"/>
          <w:b/>
          <w:bCs/>
          <w:sz w:val="24"/>
          <w:u w:val="single"/>
          <w:lang w:val="en-US" w:eastAsia="zh-CN"/>
        </w:rPr>
      </w:pPr>
      <w:r>
        <w:rPr>
          <w:rFonts w:hint="eastAsia" w:ascii="仿宋" w:hAnsi="仿宋" w:eastAsia="仿宋" w:cs="仿宋"/>
          <w:sz w:val="24"/>
        </w:rPr>
        <w:t>1.甲方与乙方签订合同后10个工作日内，乙方提供公司资信良好证明，甲方向乙方支付合同总价30%的货款作为预付款；</w:t>
      </w:r>
      <w:r>
        <w:rPr>
          <w:rFonts w:hint="eastAsia" w:ascii="仿宋" w:hAnsi="仿宋" w:eastAsia="仿宋" w:cs="仿宋"/>
          <w:b/>
          <w:bCs/>
          <w:sz w:val="24"/>
          <w:u w:val="single"/>
          <w:lang w:val="en-US" w:eastAsia="zh-CN"/>
        </w:rPr>
        <w:t>即          ；人民币大写:             。</w:t>
      </w:r>
    </w:p>
    <w:p w14:paraId="410F3F54">
      <w:pPr>
        <w:tabs>
          <w:tab w:val="left" w:pos="840"/>
        </w:tabs>
        <w:adjustRightInd w:val="0"/>
        <w:snapToGrid w:val="0"/>
        <w:spacing w:line="312" w:lineRule="auto"/>
        <w:ind w:firstLine="480" w:firstLineChars="200"/>
        <w:textAlignment w:val="baseline"/>
        <w:rPr>
          <w:rFonts w:hint="eastAsia" w:ascii="仿宋" w:hAnsi="仿宋" w:eastAsia="仿宋" w:cs="仿宋"/>
          <w:sz w:val="24"/>
        </w:rPr>
      </w:pPr>
      <w:r>
        <w:rPr>
          <w:rFonts w:hint="eastAsia" w:ascii="仿宋" w:hAnsi="仿宋" w:eastAsia="仿宋" w:cs="仿宋"/>
          <w:sz w:val="24"/>
        </w:rPr>
        <w:t>2.货物到货、安装调试、培训结束，乙方提供货物合格证、保修单、安装培训工单、安装验收报告和正规的全额税务发票等全部材料，全部货物通过甲方或甲方指定的第三方正式验收合格后，甲方支付合同总价的67%货款；</w:t>
      </w:r>
    </w:p>
    <w:p w14:paraId="7D029E21">
      <w:pPr>
        <w:tabs>
          <w:tab w:val="left" w:pos="840"/>
        </w:tabs>
        <w:adjustRightInd w:val="0"/>
        <w:snapToGrid w:val="0"/>
        <w:spacing w:line="312" w:lineRule="auto"/>
        <w:ind w:firstLine="480" w:firstLineChars="200"/>
        <w:textAlignment w:val="baseline"/>
        <w:rPr>
          <w:rFonts w:hint="eastAsia" w:ascii="仿宋" w:hAnsi="仿宋" w:eastAsia="仿宋" w:cs="仿宋"/>
          <w:sz w:val="24"/>
        </w:rPr>
      </w:pPr>
      <w:r>
        <w:rPr>
          <w:rFonts w:hint="eastAsia" w:ascii="仿宋" w:hAnsi="仿宋" w:eastAsia="仿宋" w:cs="仿宋"/>
          <w:sz w:val="24"/>
        </w:rPr>
        <w:t>3.正式验收合格满2年后，经确认乙方所供设备无产品质量、售后问题且乙方对甲方未负违约或赔偿责任的，在乙方提交完整的付款资料后，甲方需在10个工作日内支付合同剩余3%的款项。</w:t>
      </w:r>
    </w:p>
    <w:p w14:paraId="0239F65C">
      <w:pPr>
        <w:tabs>
          <w:tab w:val="left" w:pos="420"/>
        </w:tabs>
        <w:adjustRightInd w:val="0"/>
        <w:snapToGrid w:val="0"/>
        <w:spacing w:line="312" w:lineRule="auto"/>
        <w:ind w:firstLine="482" w:firstLineChars="200"/>
        <w:textAlignment w:val="baseline"/>
        <w:rPr>
          <w:rFonts w:hint="eastAsia" w:ascii="仿宋" w:hAnsi="仿宋" w:eastAsia="仿宋" w:cs="仿宋"/>
          <w:b/>
          <w:bCs/>
          <w:sz w:val="24"/>
        </w:rPr>
      </w:pPr>
      <w:r>
        <w:rPr>
          <w:rFonts w:hint="eastAsia" w:ascii="仿宋" w:hAnsi="仿宋" w:eastAsia="仿宋" w:cs="仿宋"/>
          <w:b/>
          <w:bCs/>
          <w:sz w:val="24"/>
        </w:rPr>
        <w:t>三、交货地址、时间</w:t>
      </w:r>
    </w:p>
    <w:p w14:paraId="429BBF88">
      <w:pPr>
        <w:tabs>
          <w:tab w:val="left" w:pos="840"/>
        </w:tabs>
        <w:adjustRightInd w:val="0"/>
        <w:snapToGrid w:val="0"/>
        <w:spacing w:line="312" w:lineRule="auto"/>
        <w:ind w:firstLine="480" w:firstLineChars="200"/>
        <w:textAlignment w:val="baseline"/>
        <w:rPr>
          <w:rFonts w:hint="eastAsia" w:ascii="仿宋" w:hAnsi="仿宋" w:eastAsia="仿宋" w:cs="仿宋"/>
          <w:sz w:val="24"/>
        </w:rPr>
      </w:pPr>
      <w:r>
        <w:rPr>
          <w:rFonts w:hint="eastAsia" w:ascii="仿宋" w:hAnsi="仿宋" w:eastAsia="仿宋" w:cs="仿宋"/>
          <w:sz w:val="24"/>
        </w:rPr>
        <w:t>1.交货地址：</w:t>
      </w:r>
      <w:r>
        <w:rPr>
          <w:rFonts w:hint="eastAsia" w:ascii="仿宋" w:hAnsi="仿宋" w:eastAsia="仿宋" w:cs="仿宋"/>
          <w:sz w:val="24"/>
          <w:u w:val="single"/>
        </w:rPr>
        <w:t xml:space="preserve">采购人指定地点 </w:t>
      </w:r>
      <w:r>
        <w:rPr>
          <w:rFonts w:hint="eastAsia" w:ascii="仿宋" w:hAnsi="仿宋" w:eastAsia="仿宋" w:cs="仿宋"/>
          <w:sz w:val="24"/>
        </w:rPr>
        <w:t>。</w:t>
      </w:r>
    </w:p>
    <w:p w14:paraId="455968CC">
      <w:pPr>
        <w:tabs>
          <w:tab w:val="left" w:pos="840"/>
        </w:tabs>
        <w:adjustRightInd w:val="0"/>
        <w:snapToGrid w:val="0"/>
        <w:spacing w:line="312" w:lineRule="auto"/>
        <w:ind w:firstLine="480" w:firstLineChars="200"/>
        <w:textAlignment w:val="baseline"/>
        <w:rPr>
          <w:rFonts w:hint="eastAsia" w:ascii="仿宋" w:hAnsi="仿宋" w:eastAsia="仿宋" w:cs="仿宋"/>
          <w:sz w:val="24"/>
        </w:rPr>
      </w:pPr>
      <w:r>
        <w:rPr>
          <w:rFonts w:hint="eastAsia" w:ascii="仿宋" w:hAnsi="仿宋" w:eastAsia="仿宋" w:cs="仿宋"/>
          <w:sz w:val="24"/>
        </w:rPr>
        <w:t>2.交货时间为合同签定后，确认订单之日起</w:t>
      </w:r>
      <w:r>
        <w:rPr>
          <w:rFonts w:hint="eastAsia" w:ascii="仿宋" w:hAnsi="仿宋" w:eastAsia="仿宋" w:cs="仿宋"/>
          <w:sz w:val="24"/>
          <w:u w:val="single"/>
        </w:rPr>
        <w:t>25</w:t>
      </w:r>
      <w:r>
        <w:rPr>
          <w:rFonts w:hint="eastAsia" w:ascii="仿宋" w:hAnsi="仿宋" w:eastAsia="仿宋" w:cs="仿宋"/>
          <w:sz w:val="24"/>
        </w:rPr>
        <w:t>日历天完成供货。</w:t>
      </w:r>
    </w:p>
    <w:p w14:paraId="7241508B">
      <w:pPr>
        <w:tabs>
          <w:tab w:val="left" w:pos="840"/>
        </w:tabs>
        <w:adjustRightInd w:val="0"/>
        <w:snapToGrid w:val="0"/>
        <w:spacing w:line="312" w:lineRule="auto"/>
        <w:ind w:firstLine="480" w:firstLineChars="200"/>
        <w:textAlignment w:val="baseline"/>
        <w:rPr>
          <w:rFonts w:hint="eastAsia" w:ascii="仿宋" w:hAnsi="仿宋" w:eastAsia="仿宋" w:cs="仿宋"/>
          <w:sz w:val="24"/>
        </w:rPr>
      </w:pPr>
      <w:r>
        <w:rPr>
          <w:rFonts w:hint="eastAsia" w:ascii="仿宋" w:hAnsi="仿宋" w:eastAsia="仿宋" w:cs="仿宋"/>
          <w:sz w:val="24"/>
        </w:rPr>
        <w:t>3.甲方联系人：</w:t>
      </w:r>
      <w:r>
        <w:rPr>
          <w:rFonts w:hint="eastAsia" w:ascii="仿宋" w:hAnsi="仿宋" w:eastAsia="仿宋" w:cs="仿宋"/>
          <w:sz w:val="24"/>
          <w:u w:val="single"/>
          <w:lang w:eastAsia="zh-CN"/>
        </w:rPr>
        <w:t>杨麟麟</w:t>
      </w:r>
      <w:r>
        <w:rPr>
          <w:rFonts w:hint="eastAsia" w:ascii="仿宋" w:hAnsi="仿宋" w:eastAsia="仿宋" w:cs="仿宋"/>
          <w:sz w:val="24"/>
          <w:u w:val="single"/>
        </w:rPr>
        <w:t xml:space="preserve"> </w:t>
      </w:r>
      <w:r>
        <w:rPr>
          <w:rFonts w:hint="eastAsia" w:ascii="仿宋" w:hAnsi="仿宋" w:eastAsia="仿宋" w:cs="仿宋"/>
          <w:sz w:val="24"/>
        </w:rPr>
        <w:t>，联系电话：</w:t>
      </w:r>
      <w:r>
        <w:rPr>
          <w:rFonts w:hint="eastAsia" w:ascii="仿宋" w:hAnsi="仿宋" w:eastAsia="仿宋" w:cs="仿宋"/>
          <w:sz w:val="24"/>
          <w:u w:val="single"/>
          <w:lang w:val="en-US" w:eastAsia="zh-CN"/>
        </w:rPr>
        <w:t>16608933100</w:t>
      </w:r>
      <w:r>
        <w:rPr>
          <w:rFonts w:hint="eastAsia" w:ascii="仿宋" w:hAnsi="仿宋" w:eastAsia="仿宋" w:cs="仿宋"/>
          <w:sz w:val="24"/>
        </w:rPr>
        <w:t>；</w:t>
      </w:r>
    </w:p>
    <w:p w14:paraId="44BC392B">
      <w:pPr>
        <w:tabs>
          <w:tab w:val="left" w:pos="840"/>
        </w:tabs>
        <w:adjustRightInd w:val="0"/>
        <w:snapToGrid w:val="0"/>
        <w:spacing w:line="312" w:lineRule="auto"/>
        <w:ind w:firstLine="720" w:firstLineChars="300"/>
        <w:textAlignment w:val="baseline"/>
        <w:rPr>
          <w:rFonts w:hint="default" w:ascii="仿宋" w:hAnsi="仿宋" w:eastAsia="仿宋" w:cs="仿宋"/>
          <w:sz w:val="24"/>
          <w:lang w:val="en-US"/>
        </w:rPr>
      </w:pPr>
      <w:r>
        <w:rPr>
          <w:rFonts w:hint="eastAsia" w:ascii="仿宋" w:hAnsi="仿宋" w:eastAsia="仿宋" w:cs="仿宋"/>
          <w:sz w:val="24"/>
        </w:rPr>
        <w:t>乙方联系人：</w:t>
      </w:r>
      <w:r>
        <w:rPr>
          <w:rFonts w:hint="eastAsia" w:ascii="仿宋" w:hAnsi="仿宋" w:eastAsia="仿宋" w:cs="仿宋"/>
          <w:sz w:val="24"/>
          <w:u w:val="single"/>
          <w:lang w:val="en-US" w:eastAsia="zh-CN"/>
        </w:rPr>
        <w:t xml:space="preserve">       </w:t>
      </w:r>
      <w:r>
        <w:rPr>
          <w:rFonts w:hint="eastAsia" w:ascii="仿宋" w:hAnsi="仿宋" w:eastAsia="仿宋" w:cs="仿宋"/>
          <w:sz w:val="24"/>
        </w:rPr>
        <w:t>，联系电话：</w:t>
      </w:r>
      <w:r>
        <w:rPr>
          <w:rFonts w:hint="eastAsia" w:ascii="仿宋" w:hAnsi="仿宋" w:eastAsia="仿宋" w:cs="仿宋"/>
          <w:sz w:val="24"/>
          <w:u w:val="single"/>
          <w:lang w:val="en-US" w:eastAsia="zh-CN"/>
        </w:rPr>
        <w:t xml:space="preserve">           。</w:t>
      </w:r>
    </w:p>
    <w:p w14:paraId="6DEADE4F">
      <w:pPr>
        <w:adjustRightInd w:val="0"/>
        <w:snapToGrid w:val="0"/>
        <w:spacing w:line="312" w:lineRule="auto"/>
        <w:ind w:firstLine="482" w:firstLineChars="200"/>
        <w:textAlignment w:val="baseline"/>
        <w:rPr>
          <w:rFonts w:hint="eastAsia" w:ascii="仿宋" w:hAnsi="仿宋" w:eastAsia="仿宋" w:cs="仿宋"/>
          <w:sz w:val="24"/>
        </w:rPr>
      </w:pPr>
      <w:r>
        <w:rPr>
          <w:rFonts w:hint="eastAsia" w:ascii="仿宋" w:hAnsi="仿宋" w:eastAsia="仿宋" w:cs="仿宋"/>
          <w:b/>
          <w:bCs/>
          <w:sz w:val="24"/>
        </w:rPr>
        <w:t>四、货物运输与安装</w:t>
      </w:r>
    </w:p>
    <w:p w14:paraId="140472D3">
      <w:pPr>
        <w:tabs>
          <w:tab w:val="left" w:pos="840"/>
        </w:tabs>
        <w:adjustRightInd w:val="0"/>
        <w:snapToGrid w:val="0"/>
        <w:spacing w:line="312" w:lineRule="auto"/>
        <w:ind w:firstLine="480" w:firstLineChars="200"/>
        <w:textAlignment w:val="baseline"/>
        <w:rPr>
          <w:rFonts w:hint="eastAsia" w:ascii="仿宋" w:hAnsi="仿宋" w:eastAsia="仿宋" w:cs="仿宋"/>
          <w:sz w:val="24"/>
        </w:rPr>
      </w:pPr>
      <w:r>
        <w:rPr>
          <w:rFonts w:hint="eastAsia" w:ascii="仿宋" w:hAnsi="仿宋" w:eastAsia="仿宋" w:cs="仿宋"/>
          <w:sz w:val="24"/>
        </w:rPr>
        <w:t>1.货物运输：由</w:t>
      </w:r>
      <w:r>
        <w:rPr>
          <w:rFonts w:hint="eastAsia" w:ascii="仿宋" w:hAnsi="仿宋" w:eastAsia="仿宋" w:cs="仿宋"/>
          <w:sz w:val="24"/>
          <w:u w:val="single"/>
        </w:rPr>
        <w:t xml:space="preserve">  乙  </w:t>
      </w:r>
      <w:r>
        <w:rPr>
          <w:rFonts w:hint="eastAsia" w:ascii="仿宋" w:hAnsi="仿宋" w:eastAsia="仿宋" w:cs="仿宋"/>
          <w:sz w:val="24"/>
        </w:rPr>
        <w:t>方提供；货物安装：由</w:t>
      </w:r>
      <w:r>
        <w:rPr>
          <w:rFonts w:hint="eastAsia" w:ascii="仿宋" w:hAnsi="仿宋" w:eastAsia="仿宋" w:cs="仿宋"/>
          <w:sz w:val="24"/>
          <w:u w:val="single"/>
        </w:rPr>
        <w:t xml:space="preserve">  乙  </w:t>
      </w:r>
      <w:r>
        <w:rPr>
          <w:rFonts w:hint="eastAsia" w:ascii="仿宋" w:hAnsi="仿宋" w:eastAsia="仿宋" w:cs="仿宋"/>
          <w:sz w:val="24"/>
        </w:rPr>
        <w:t>方提供。</w:t>
      </w:r>
    </w:p>
    <w:p w14:paraId="0BE8018C">
      <w:pPr>
        <w:tabs>
          <w:tab w:val="left" w:pos="840"/>
        </w:tabs>
        <w:adjustRightInd w:val="0"/>
        <w:snapToGrid w:val="0"/>
        <w:spacing w:line="312" w:lineRule="auto"/>
        <w:ind w:firstLine="480" w:firstLineChars="200"/>
        <w:textAlignment w:val="baseline"/>
        <w:rPr>
          <w:rFonts w:hint="eastAsia" w:ascii="仿宋" w:hAnsi="仿宋" w:eastAsia="仿宋" w:cs="仿宋"/>
          <w:sz w:val="24"/>
        </w:rPr>
      </w:pPr>
      <w:r>
        <w:rPr>
          <w:rFonts w:hint="eastAsia" w:ascii="仿宋" w:hAnsi="仿宋" w:eastAsia="仿宋" w:cs="仿宋"/>
          <w:sz w:val="24"/>
        </w:rPr>
        <w:t>2.在乙方安排交货前，甲方须提供适合安装条件的现场给乙方进行货物安装。</w:t>
      </w:r>
    </w:p>
    <w:p w14:paraId="19F8EF17">
      <w:pPr>
        <w:tabs>
          <w:tab w:val="left" w:pos="840"/>
        </w:tabs>
        <w:adjustRightInd w:val="0"/>
        <w:snapToGrid w:val="0"/>
        <w:spacing w:line="312" w:lineRule="auto"/>
        <w:ind w:firstLine="480" w:firstLineChars="200"/>
        <w:textAlignment w:val="baseline"/>
        <w:rPr>
          <w:rFonts w:hint="eastAsia" w:ascii="仿宋" w:hAnsi="仿宋" w:eastAsia="仿宋" w:cs="仿宋"/>
          <w:sz w:val="24"/>
        </w:rPr>
      </w:pPr>
      <w:r>
        <w:rPr>
          <w:rFonts w:hint="eastAsia" w:ascii="仿宋" w:hAnsi="仿宋" w:eastAsia="仿宋" w:cs="仿宋"/>
          <w:sz w:val="24"/>
        </w:rPr>
        <w:t>3.如乙方货到现场，甲方装修正在进行未能及时清场，甲方应及时安排场地摆放乙方货物，并与乙方代表一起清点货物后封存；如甲方安装现场清场后需要进行安装，甲方须提前3个工作日通知乙方，以做调配。（如乙方货物在甲方场地遗失或受损以至产生相关费用，由甲方负责。）</w:t>
      </w:r>
    </w:p>
    <w:p w14:paraId="1569B3B2">
      <w:pPr>
        <w:tabs>
          <w:tab w:val="left" w:pos="840"/>
        </w:tabs>
        <w:adjustRightInd w:val="0"/>
        <w:snapToGrid w:val="0"/>
        <w:spacing w:line="312" w:lineRule="auto"/>
        <w:ind w:firstLine="480" w:firstLineChars="200"/>
        <w:textAlignment w:val="baseline"/>
        <w:rPr>
          <w:rFonts w:hint="eastAsia" w:ascii="仿宋" w:hAnsi="仿宋" w:eastAsia="仿宋" w:cs="仿宋"/>
          <w:sz w:val="24"/>
        </w:rPr>
      </w:pPr>
      <w:r>
        <w:rPr>
          <w:rFonts w:hint="eastAsia" w:ascii="仿宋" w:hAnsi="仿宋" w:eastAsia="仿宋" w:cs="仿宋"/>
          <w:sz w:val="24"/>
        </w:rPr>
        <w:t>4.现场安装按照双方约定位置安装调试, 如任何一方对现场安装有任何异议，需经双方共同协商后在原有图纸上签字确认。</w:t>
      </w:r>
    </w:p>
    <w:p w14:paraId="2900ADFD">
      <w:pPr>
        <w:tabs>
          <w:tab w:val="left" w:pos="840"/>
        </w:tabs>
        <w:adjustRightInd w:val="0"/>
        <w:snapToGrid w:val="0"/>
        <w:spacing w:line="312" w:lineRule="auto"/>
        <w:ind w:firstLine="480" w:firstLineChars="200"/>
        <w:textAlignment w:val="baseline"/>
        <w:rPr>
          <w:rFonts w:hint="eastAsia" w:ascii="仿宋" w:hAnsi="仿宋" w:eastAsia="仿宋" w:cs="仿宋"/>
          <w:sz w:val="24"/>
        </w:rPr>
      </w:pPr>
      <w:r>
        <w:rPr>
          <w:rFonts w:hint="eastAsia" w:ascii="仿宋" w:hAnsi="仿宋" w:eastAsia="仿宋" w:cs="仿宋"/>
          <w:sz w:val="24"/>
        </w:rPr>
        <w:t>5.乙方应遵守甲方施工现场各项管理制度，服从甲方的管理，做好现场文明施工，卫生清理工作。乙方负责自行施工范围内的垃圾清理，并负责运至甲方的指定消纳地点，做到人走场清。一旦发现乙方未能及时清运，由甲方安排工人清理后，甲方有权按500元/次向乙方收取垃圾清理费。</w:t>
      </w:r>
    </w:p>
    <w:p w14:paraId="29D87131">
      <w:pPr>
        <w:tabs>
          <w:tab w:val="left" w:pos="840"/>
        </w:tabs>
        <w:adjustRightInd w:val="0"/>
        <w:snapToGrid w:val="0"/>
        <w:spacing w:line="312" w:lineRule="auto"/>
        <w:ind w:firstLine="480" w:firstLineChars="200"/>
        <w:textAlignment w:val="baseline"/>
        <w:rPr>
          <w:rFonts w:hint="eastAsia" w:ascii="仿宋" w:hAnsi="仿宋" w:eastAsia="仿宋" w:cs="仿宋"/>
          <w:sz w:val="24"/>
        </w:rPr>
      </w:pPr>
      <w:r>
        <w:rPr>
          <w:rFonts w:hint="eastAsia" w:ascii="仿宋" w:hAnsi="仿宋" w:eastAsia="仿宋" w:cs="仿宋"/>
          <w:sz w:val="24"/>
        </w:rPr>
        <w:t>6.乙方负责对已完工程的成品保护工作，按照国家的相关规定对工程质量负责。乙方在家具安装过程中的原材料、半成品，分类、分规格堆放整齐平直，防止变形损坏、防止倾倒。注重成品保护，确保成品不被污染和损坏。保护其他施工单位的成品、半成品，已经装修的地面、墙面不得出现刮花、污点等破坏他人产品的行为；如有上述行为，乙方必须在7日内修复，修复的质量必须达到原标准。乙方逾期不修复或者修复不符合要求，甲方有权委托第三方修复，乙方按修复费用的1.5倍向甲方支付维修费。</w:t>
      </w:r>
    </w:p>
    <w:p w14:paraId="729646D9">
      <w:pPr>
        <w:tabs>
          <w:tab w:val="left" w:pos="840"/>
        </w:tabs>
        <w:adjustRightInd w:val="0"/>
        <w:snapToGrid w:val="0"/>
        <w:spacing w:line="312" w:lineRule="auto"/>
        <w:ind w:firstLine="482" w:firstLineChars="200"/>
        <w:textAlignment w:val="baseline"/>
        <w:rPr>
          <w:rFonts w:hint="eastAsia" w:ascii="仿宋" w:hAnsi="仿宋" w:eastAsia="仿宋" w:cs="仿宋"/>
          <w:b/>
          <w:bCs/>
          <w:sz w:val="24"/>
        </w:rPr>
      </w:pPr>
      <w:r>
        <w:rPr>
          <w:rFonts w:hint="eastAsia" w:ascii="仿宋" w:hAnsi="仿宋" w:eastAsia="仿宋" w:cs="仿宋"/>
          <w:b/>
          <w:bCs/>
          <w:sz w:val="24"/>
        </w:rPr>
        <w:t>五、货物验收与保修期</w:t>
      </w:r>
    </w:p>
    <w:p w14:paraId="4C493CA9">
      <w:pPr>
        <w:tabs>
          <w:tab w:val="left" w:pos="840"/>
        </w:tabs>
        <w:adjustRightInd w:val="0"/>
        <w:snapToGrid w:val="0"/>
        <w:spacing w:line="312" w:lineRule="auto"/>
        <w:ind w:firstLine="480" w:firstLineChars="200"/>
        <w:textAlignment w:val="baseline"/>
        <w:rPr>
          <w:rFonts w:hint="eastAsia" w:ascii="仿宋" w:hAnsi="仿宋" w:eastAsia="仿宋" w:cs="仿宋"/>
          <w:sz w:val="24"/>
        </w:rPr>
      </w:pPr>
      <w:r>
        <w:rPr>
          <w:rFonts w:hint="eastAsia" w:ascii="仿宋" w:hAnsi="仿宋" w:eastAsia="仿宋" w:cs="仿宋"/>
          <w:sz w:val="24"/>
        </w:rPr>
        <w:t>1.乙方货物安装完毕后，向甲方提供总货物清单及验收单，甲方须在5个工作日内安排验收，如甲方未能在约定期内验收，则乙方所交付的货物视为产品验收合格。</w:t>
      </w:r>
    </w:p>
    <w:p w14:paraId="11F252A5">
      <w:pPr>
        <w:tabs>
          <w:tab w:val="left" w:pos="840"/>
        </w:tabs>
        <w:adjustRightInd w:val="0"/>
        <w:snapToGrid w:val="0"/>
        <w:spacing w:line="312" w:lineRule="auto"/>
        <w:ind w:firstLine="480" w:firstLineChars="200"/>
        <w:textAlignment w:val="baseline"/>
        <w:rPr>
          <w:rFonts w:hint="eastAsia" w:ascii="仿宋" w:hAnsi="仿宋" w:eastAsia="仿宋" w:cs="仿宋"/>
          <w:sz w:val="24"/>
        </w:rPr>
      </w:pPr>
      <w:r>
        <w:rPr>
          <w:rFonts w:hint="eastAsia" w:ascii="仿宋" w:hAnsi="仿宋" w:eastAsia="仿宋" w:cs="仿宋"/>
          <w:sz w:val="24"/>
        </w:rPr>
        <w:t>2.验收标准为甲、乙双方共同确认的合同附件内容中的图纸、款式、规格、性能、数量及或提供封样的产品作为工艺和颜色最终的验收标准（颜色以色卡或与乙方所提供的样板为准，因批次不同允许有少许色差。）。</w:t>
      </w:r>
    </w:p>
    <w:p w14:paraId="65FABDD8">
      <w:pPr>
        <w:tabs>
          <w:tab w:val="left" w:pos="840"/>
        </w:tabs>
        <w:adjustRightInd w:val="0"/>
        <w:snapToGrid w:val="0"/>
        <w:spacing w:line="312" w:lineRule="auto"/>
        <w:ind w:firstLine="480" w:firstLineChars="200"/>
        <w:textAlignment w:val="baseline"/>
        <w:rPr>
          <w:rFonts w:hint="eastAsia" w:ascii="仿宋" w:hAnsi="仿宋" w:eastAsia="仿宋" w:cs="仿宋"/>
          <w:sz w:val="24"/>
        </w:rPr>
      </w:pPr>
      <w:r>
        <w:rPr>
          <w:rFonts w:hint="eastAsia" w:ascii="仿宋" w:hAnsi="仿宋" w:eastAsia="仿宋" w:cs="仿宋"/>
          <w:sz w:val="24"/>
        </w:rPr>
        <w:t>3.如甲方发现乙方所提供货物的款式、规格、数量与合同所约定的不符，甲方应在3个工作日内以书面形式向乙方提出异议，乙方应在24小时内予以回应。如情况属实，乙方应在10个工作日内按甲方要求调、换货。</w:t>
      </w:r>
    </w:p>
    <w:p w14:paraId="046F9DF5">
      <w:pPr>
        <w:tabs>
          <w:tab w:val="left" w:pos="840"/>
        </w:tabs>
        <w:adjustRightInd w:val="0"/>
        <w:snapToGrid w:val="0"/>
        <w:spacing w:line="312" w:lineRule="auto"/>
        <w:ind w:firstLine="480" w:firstLineChars="200"/>
        <w:textAlignment w:val="baseline"/>
        <w:rPr>
          <w:rFonts w:hint="eastAsia" w:ascii="仿宋" w:hAnsi="仿宋" w:eastAsia="仿宋" w:cs="仿宋"/>
          <w:sz w:val="24"/>
        </w:rPr>
      </w:pPr>
      <w:r>
        <w:rPr>
          <w:rFonts w:hint="eastAsia" w:ascii="仿宋" w:hAnsi="仿宋" w:eastAsia="仿宋" w:cs="仿宋"/>
          <w:sz w:val="24"/>
        </w:rPr>
        <w:t>4.乙方应为甲方提供优质的产品和良好的售后服务，</w:t>
      </w:r>
      <w:r>
        <w:rPr>
          <w:rFonts w:hint="eastAsia" w:ascii="仿宋" w:hAnsi="仿宋" w:eastAsia="仿宋" w:cs="仿宋"/>
          <w:sz w:val="24"/>
          <w:highlight w:val="none"/>
          <w:lang w:eastAsia="zh-CN"/>
        </w:rPr>
        <w:t>质保期为</w:t>
      </w:r>
      <w:r>
        <w:rPr>
          <w:rFonts w:hint="eastAsia" w:ascii="仿宋" w:hAnsi="仿宋" w:eastAsia="仿宋" w:cs="仿宋"/>
          <w:sz w:val="24"/>
          <w:highlight w:val="none"/>
          <w:lang w:val="en-US" w:eastAsia="zh-CN"/>
        </w:rPr>
        <w:t>5年、维修期</w:t>
      </w:r>
      <w:r>
        <w:rPr>
          <w:rFonts w:hint="eastAsia" w:ascii="仿宋" w:hAnsi="仿宋" w:eastAsia="仿宋" w:cs="仿宋"/>
          <w:sz w:val="24"/>
          <w:highlight w:val="none"/>
        </w:rPr>
        <w:t>为</w:t>
      </w:r>
      <w:r>
        <w:rPr>
          <w:rFonts w:hint="eastAsia" w:ascii="仿宋" w:hAnsi="仿宋" w:eastAsia="仿宋" w:cs="仿宋"/>
          <w:sz w:val="24"/>
          <w:highlight w:val="none"/>
          <w:lang w:val="en-US" w:eastAsia="zh-CN"/>
        </w:rPr>
        <w:t>10</w:t>
      </w:r>
      <w:r>
        <w:rPr>
          <w:rFonts w:hint="eastAsia" w:ascii="仿宋" w:hAnsi="仿宋" w:eastAsia="仿宋" w:cs="仿宋"/>
          <w:sz w:val="24"/>
          <w:highlight w:val="none"/>
        </w:rPr>
        <w:t>年；凡乙方所售给甲方的产品如出现人为故意损坏、锁具钥匙的遗失、零</w:t>
      </w:r>
      <w:r>
        <w:rPr>
          <w:rFonts w:hint="eastAsia" w:ascii="仿宋" w:hAnsi="仿宋" w:eastAsia="仿宋" w:cs="仿宋"/>
          <w:sz w:val="24"/>
        </w:rPr>
        <w:t>配件的正常磨损和不可抗拒因素（自然灾害、战争等）导致的损坏等情形不在保修范围，如有损坏需要乙方派人维修，乙方有权收取适当的工本费。</w:t>
      </w:r>
    </w:p>
    <w:p w14:paraId="3E4C965C">
      <w:pPr>
        <w:tabs>
          <w:tab w:val="left" w:pos="840"/>
        </w:tabs>
        <w:adjustRightInd w:val="0"/>
        <w:snapToGrid w:val="0"/>
        <w:spacing w:line="312" w:lineRule="auto"/>
        <w:ind w:firstLine="482" w:firstLineChars="200"/>
        <w:textAlignment w:val="baseline"/>
        <w:rPr>
          <w:rFonts w:hint="eastAsia" w:ascii="仿宋" w:hAnsi="仿宋" w:eastAsia="仿宋" w:cs="仿宋"/>
          <w:b/>
          <w:bCs/>
          <w:kern w:val="0"/>
          <w:sz w:val="24"/>
        </w:rPr>
      </w:pPr>
      <w:r>
        <w:rPr>
          <w:rFonts w:hint="eastAsia" w:ascii="仿宋" w:hAnsi="仿宋" w:eastAsia="仿宋" w:cs="仿宋"/>
          <w:b/>
          <w:bCs/>
          <w:kern w:val="0"/>
          <w:sz w:val="24"/>
        </w:rPr>
        <w:t>六、货物所有权的转移</w:t>
      </w:r>
    </w:p>
    <w:p w14:paraId="21293341">
      <w:pPr>
        <w:tabs>
          <w:tab w:val="left" w:pos="220"/>
          <w:tab w:val="left" w:pos="840"/>
        </w:tabs>
        <w:adjustRightInd w:val="0"/>
        <w:snapToGrid w:val="0"/>
        <w:spacing w:line="312" w:lineRule="auto"/>
        <w:ind w:firstLine="480" w:firstLineChars="200"/>
        <w:textAlignment w:val="baseline"/>
        <w:rPr>
          <w:rFonts w:hint="eastAsia" w:ascii="仿宋" w:hAnsi="仿宋" w:eastAsia="仿宋" w:cs="仿宋"/>
          <w:iCs/>
          <w:sz w:val="24"/>
        </w:rPr>
      </w:pPr>
      <w:r>
        <w:rPr>
          <w:rFonts w:hint="eastAsia" w:ascii="仿宋" w:hAnsi="仿宋" w:eastAsia="仿宋" w:cs="仿宋"/>
          <w:iCs/>
          <w:kern w:val="0"/>
          <w:sz w:val="24"/>
        </w:rPr>
        <w:t>1.在乙方未按合同约定完成货物的安装及交付给甲方之前，全部货物所有权属乙方所有；全部货物完成安装，交付给甲方之日起，货物所有权归甲方所有。</w:t>
      </w:r>
    </w:p>
    <w:p w14:paraId="3EB2CF75">
      <w:pPr>
        <w:tabs>
          <w:tab w:val="left" w:pos="220"/>
          <w:tab w:val="left" w:pos="840"/>
        </w:tabs>
        <w:adjustRightInd w:val="0"/>
        <w:snapToGrid w:val="0"/>
        <w:spacing w:line="312" w:lineRule="auto"/>
        <w:ind w:firstLine="480" w:firstLineChars="200"/>
        <w:textAlignment w:val="baseline"/>
        <w:rPr>
          <w:rFonts w:hint="eastAsia" w:ascii="仿宋" w:hAnsi="仿宋" w:eastAsia="仿宋" w:cs="仿宋"/>
          <w:iCs/>
          <w:sz w:val="24"/>
        </w:rPr>
      </w:pPr>
      <w:r>
        <w:rPr>
          <w:rFonts w:hint="eastAsia" w:ascii="仿宋" w:hAnsi="仿宋" w:eastAsia="仿宋" w:cs="仿宋"/>
          <w:iCs/>
          <w:kern w:val="0"/>
          <w:sz w:val="24"/>
        </w:rPr>
        <w:t>2.在</w:t>
      </w:r>
      <w:r>
        <w:rPr>
          <w:rFonts w:hint="eastAsia" w:ascii="仿宋" w:hAnsi="仿宋" w:eastAsia="仿宋" w:cs="仿宋"/>
          <w:iCs/>
          <w:sz w:val="24"/>
        </w:rPr>
        <w:t>货物验收合格或视为验收合格后</w:t>
      </w:r>
      <w:r>
        <w:rPr>
          <w:rFonts w:hint="eastAsia" w:ascii="仿宋" w:hAnsi="仿宋" w:eastAsia="仿宋" w:cs="仿宋"/>
          <w:b/>
          <w:bCs/>
          <w:iCs/>
          <w:sz w:val="24"/>
        </w:rPr>
        <w:t>60</w:t>
      </w:r>
      <w:r>
        <w:rPr>
          <w:rFonts w:hint="eastAsia" w:ascii="仿宋" w:hAnsi="仿宋" w:eastAsia="仿宋" w:cs="仿宋"/>
          <w:iCs/>
          <w:sz w:val="24"/>
        </w:rPr>
        <w:t>天内甲方未付清合同全部款项的，乙方有权将货物拆走，本合同解除，已收款项不予退还，由此所产生的一切后果由甲方负责。</w:t>
      </w:r>
    </w:p>
    <w:p w14:paraId="4763DE74">
      <w:pPr>
        <w:tabs>
          <w:tab w:val="left" w:pos="840"/>
        </w:tabs>
        <w:adjustRightInd w:val="0"/>
        <w:snapToGrid w:val="0"/>
        <w:spacing w:line="312" w:lineRule="auto"/>
        <w:ind w:left="492"/>
        <w:rPr>
          <w:rFonts w:hint="eastAsia" w:ascii="仿宋" w:hAnsi="仿宋" w:eastAsia="仿宋" w:cs="仿宋"/>
          <w:b/>
          <w:bCs/>
          <w:kern w:val="0"/>
          <w:sz w:val="24"/>
        </w:rPr>
      </w:pPr>
      <w:r>
        <w:rPr>
          <w:rFonts w:hint="eastAsia" w:ascii="仿宋" w:hAnsi="仿宋" w:eastAsia="仿宋" w:cs="仿宋"/>
          <w:b/>
          <w:bCs/>
          <w:smallCaps/>
          <w:kern w:val="0"/>
          <w:sz w:val="24"/>
        </w:rPr>
        <w:t>七、</w:t>
      </w:r>
      <w:r>
        <w:rPr>
          <w:rFonts w:hint="eastAsia" w:ascii="仿宋" w:hAnsi="仿宋" w:eastAsia="仿宋" w:cs="仿宋"/>
          <w:b/>
          <w:bCs/>
          <w:kern w:val="0"/>
          <w:sz w:val="24"/>
        </w:rPr>
        <w:t>保密条款</w:t>
      </w:r>
    </w:p>
    <w:p w14:paraId="147699DA">
      <w:pPr>
        <w:tabs>
          <w:tab w:val="left" w:pos="840"/>
        </w:tabs>
        <w:adjustRightInd w:val="0"/>
        <w:snapToGrid w:val="0"/>
        <w:spacing w:line="312" w:lineRule="auto"/>
        <w:ind w:firstLine="470" w:firstLineChars="196"/>
        <w:rPr>
          <w:rFonts w:hint="eastAsia" w:ascii="仿宋" w:hAnsi="仿宋" w:eastAsia="仿宋" w:cs="仿宋"/>
          <w:sz w:val="24"/>
        </w:rPr>
      </w:pPr>
      <w:r>
        <w:rPr>
          <w:rFonts w:hint="eastAsia" w:ascii="仿宋" w:hAnsi="仿宋" w:eastAsia="仿宋" w:cs="仿宋"/>
          <w:kern w:val="0"/>
          <w:sz w:val="24"/>
        </w:rPr>
        <w:t>有关本合同的协商、签订和本合同的所有内容，以及为履行本合同而知悉的对方的商业秘密，包括但不限于产品型号、规格、工艺、技术资料、双方客户、文件、图纸、价格等，双方都负有保密义务。非经对方或者法定权利机构的许可或者要求，不得向任何他方予以披露、使用许可或者进行其他任何形式的泄露和使用。否则，一方因此给另一方造成损失的，另一方有权要求赔偿。</w:t>
      </w:r>
    </w:p>
    <w:p w14:paraId="5E9CC91B">
      <w:pPr>
        <w:adjustRightInd w:val="0"/>
        <w:snapToGrid w:val="0"/>
        <w:spacing w:line="312" w:lineRule="auto"/>
        <w:ind w:firstLine="482" w:firstLineChars="200"/>
        <w:textAlignment w:val="baseline"/>
        <w:rPr>
          <w:rFonts w:hint="eastAsia" w:ascii="仿宋" w:hAnsi="仿宋" w:eastAsia="仿宋" w:cs="仿宋"/>
          <w:b/>
          <w:bCs/>
          <w:sz w:val="24"/>
        </w:rPr>
      </w:pPr>
      <w:r>
        <w:rPr>
          <w:rFonts w:hint="eastAsia" w:ascii="仿宋" w:hAnsi="仿宋" w:eastAsia="仿宋" w:cs="仿宋"/>
          <w:b/>
          <w:bCs/>
          <w:sz w:val="24"/>
        </w:rPr>
        <w:t>八、不可抗力</w:t>
      </w:r>
    </w:p>
    <w:p w14:paraId="7758688F">
      <w:pPr>
        <w:tabs>
          <w:tab w:val="left" w:pos="1980"/>
        </w:tabs>
        <w:snapToGrid w:val="0"/>
        <w:spacing w:before="19" w:line="360" w:lineRule="auto"/>
        <w:ind w:firstLine="480" w:firstLineChars="200"/>
        <w:rPr>
          <w:rFonts w:hint="eastAsia" w:ascii="仿宋" w:hAnsi="仿宋" w:eastAsia="仿宋" w:cs="仿宋"/>
          <w:kern w:val="0"/>
          <w:sz w:val="24"/>
        </w:rPr>
      </w:pPr>
      <w:r>
        <w:rPr>
          <w:rFonts w:hint="eastAsia" w:ascii="仿宋" w:hAnsi="仿宋" w:eastAsia="仿宋" w:cs="仿宋"/>
          <w:kern w:val="0"/>
          <w:sz w:val="24"/>
        </w:rPr>
        <w:t>甲、乙任何一方由于不可抗拒原因不能履行合同时，应及时向对方通报不能履行或不能完全履行的理由，以减轻可能给双方</w:t>
      </w:r>
      <w:r>
        <w:rPr>
          <w:rFonts w:hint="eastAsia" w:ascii="仿宋" w:hAnsi="仿宋" w:eastAsia="仿宋" w:cs="仿宋"/>
          <w:kern w:val="0"/>
          <w:sz w:val="24"/>
          <w:lang w:eastAsia="zh-CN"/>
        </w:rPr>
        <w:t>造成</w:t>
      </w:r>
      <w:r>
        <w:rPr>
          <w:rFonts w:hint="eastAsia" w:ascii="仿宋" w:hAnsi="仿宋" w:eastAsia="仿宋" w:cs="仿宋"/>
          <w:kern w:val="0"/>
          <w:sz w:val="24"/>
        </w:rPr>
        <w:t>的损失，并根据情况可部分或全部免于承担违约责任。不可抗力原因消除后，双方应立即通过友好协商解决本合同的后续履行事宜。</w:t>
      </w:r>
    </w:p>
    <w:p w14:paraId="52E21B7C">
      <w:pPr>
        <w:adjustRightInd w:val="0"/>
        <w:snapToGrid w:val="0"/>
        <w:spacing w:line="312" w:lineRule="auto"/>
        <w:ind w:firstLine="482" w:firstLineChars="200"/>
        <w:textAlignment w:val="baseline"/>
        <w:rPr>
          <w:rFonts w:hint="eastAsia" w:ascii="仿宋" w:hAnsi="仿宋" w:eastAsia="仿宋" w:cs="仿宋"/>
          <w:b/>
          <w:bCs/>
          <w:sz w:val="24"/>
        </w:rPr>
      </w:pPr>
      <w:r>
        <w:rPr>
          <w:rFonts w:hint="eastAsia" w:ascii="仿宋" w:hAnsi="仿宋" w:eastAsia="仿宋" w:cs="仿宋"/>
          <w:b/>
          <w:bCs/>
          <w:sz w:val="24"/>
        </w:rPr>
        <w:t>九、违约责任</w:t>
      </w:r>
    </w:p>
    <w:p w14:paraId="4DAF3365">
      <w:pPr>
        <w:tabs>
          <w:tab w:val="left" w:pos="1980"/>
        </w:tabs>
        <w:snapToGrid w:val="0"/>
        <w:spacing w:before="19" w:line="360" w:lineRule="auto"/>
        <w:ind w:firstLine="480" w:firstLineChars="200"/>
        <w:rPr>
          <w:rFonts w:hint="eastAsia" w:ascii="仿宋" w:hAnsi="仿宋" w:eastAsia="仿宋" w:cs="仿宋"/>
          <w:kern w:val="0"/>
          <w:sz w:val="24"/>
        </w:rPr>
      </w:pPr>
      <w:r>
        <w:rPr>
          <w:rFonts w:hint="eastAsia" w:ascii="仿宋" w:hAnsi="仿宋" w:eastAsia="仿宋" w:cs="仿宋"/>
          <w:kern w:val="0"/>
          <w:sz w:val="24"/>
        </w:rPr>
        <w:t>1. 除不可抗拒力（自然灾害、战争等）外，乙方未能及时完成供货、运输、安装并交付甲方使用的；乙方延期交货应支付甲方违约金，违约金为未交付货物金额的0.01%/日计算。乙方延迟交货超过20日，甲方有权解除合同，解除合同的通知发送至乙方指定邮箱或本合同落款地址视为送达。合同解除后，货物尚未交付的，由乙方自行运回，费用由乙方承担，货物已经交付的，由甲方扣除违约金后将结算款项付给乙方。</w:t>
      </w:r>
    </w:p>
    <w:p w14:paraId="1806F023">
      <w:pPr>
        <w:tabs>
          <w:tab w:val="left" w:pos="840"/>
        </w:tabs>
        <w:adjustRightInd w:val="0"/>
        <w:snapToGrid w:val="0"/>
        <w:spacing w:line="312" w:lineRule="auto"/>
        <w:ind w:firstLine="480" w:firstLineChars="200"/>
        <w:textAlignment w:val="baseline"/>
        <w:rPr>
          <w:rFonts w:hint="eastAsia" w:ascii="仿宋" w:hAnsi="仿宋" w:eastAsia="仿宋" w:cs="仿宋"/>
          <w:kern w:val="0"/>
          <w:sz w:val="24"/>
        </w:rPr>
      </w:pPr>
      <w:r>
        <w:rPr>
          <w:rFonts w:hint="eastAsia" w:ascii="仿宋" w:hAnsi="仿宋" w:eastAsia="仿宋" w:cs="仿宋"/>
          <w:kern w:val="0"/>
          <w:sz w:val="24"/>
        </w:rPr>
        <w:t>2.乙方所有货物安装验收完毕，并已交付甲方使用，甲方验收合格后延期付款的，甲方应支付乙方违约金，每日违约金按照未支付款项金额×中国人民银行发布的同期同类贷款基准利率计算。</w:t>
      </w:r>
    </w:p>
    <w:p w14:paraId="1408FEAD">
      <w:pPr>
        <w:tabs>
          <w:tab w:val="left" w:pos="1980"/>
        </w:tabs>
        <w:snapToGrid w:val="0"/>
        <w:spacing w:before="19" w:line="360" w:lineRule="auto"/>
        <w:ind w:firstLine="480" w:firstLineChars="200"/>
        <w:rPr>
          <w:rFonts w:hint="eastAsia" w:ascii="仿宋" w:hAnsi="仿宋" w:eastAsia="仿宋" w:cs="仿宋"/>
          <w:kern w:val="0"/>
          <w:sz w:val="24"/>
        </w:rPr>
      </w:pPr>
      <w:r>
        <w:rPr>
          <w:rFonts w:hint="eastAsia" w:ascii="仿宋" w:hAnsi="仿宋" w:eastAsia="仿宋" w:cs="仿宋"/>
          <w:kern w:val="0"/>
          <w:sz w:val="24"/>
        </w:rPr>
        <w:t>3.如果货物质量和规格与合同不符合，或质量保证期内证实货物是有缺陷的，包括潜在缺陷或使用不符合要求的材料，甲方有权选择退货或换货，甲方退货的，乙方应退还对应部分货款，退货、换货所产生的一切损失均由乙方承担。</w:t>
      </w:r>
    </w:p>
    <w:p w14:paraId="615595AC">
      <w:pPr>
        <w:tabs>
          <w:tab w:val="left" w:pos="1980"/>
        </w:tabs>
        <w:snapToGrid w:val="0"/>
        <w:spacing w:before="19" w:line="360" w:lineRule="auto"/>
        <w:ind w:firstLine="480" w:firstLineChars="200"/>
        <w:rPr>
          <w:rFonts w:hint="eastAsia" w:ascii="仿宋" w:hAnsi="仿宋" w:eastAsia="仿宋" w:cs="仿宋"/>
          <w:kern w:val="0"/>
          <w:sz w:val="24"/>
        </w:rPr>
      </w:pPr>
      <w:r>
        <w:rPr>
          <w:rFonts w:hint="eastAsia" w:ascii="仿宋" w:hAnsi="仿宋" w:eastAsia="仿宋" w:cs="仿宋"/>
          <w:kern w:val="0"/>
          <w:sz w:val="24"/>
        </w:rPr>
        <w:t>4.乙方应保证合同货物不侵犯任何第三方的专利、商标或版权。否则，乙方须承担由此对第三方的专利或版权的侵权责任并承担因此而发生的所有费用。</w:t>
      </w:r>
    </w:p>
    <w:p w14:paraId="4A1B4BE6">
      <w:pPr>
        <w:tabs>
          <w:tab w:val="left" w:pos="0"/>
        </w:tabs>
        <w:adjustRightInd w:val="0"/>
        <w:snapToGrid w:val="0"/>
        <w:spacing w:line="312" w:lineRule="auto"/>
        <w:ind w:firstLine="482" w:firstLineChars="200"/>
        <w:textAlignment w:val="baseline"/>
        <w:rPr>
          <w:rFonts w:hint="eastAsia" w:ascii="仿宋" w:hAnsi="仿宋" w:eastAsia="仿宋" w:cs="仿宋"/>
          <w:b/>
          <w:bCs/>
          <w:sz w:val="24"/>
        </w:rPr>
      </w:pPr>
      <w:r>
        <w:rPr>
          <w:rFonts w:hint="eastAsia" w:ascii="仿宋" w:hAnsi="仿宋" w:eastAsia="仿宋" w:cs="仿宋"/>
          <w:b/>
          <w:bCs/>
          <w:sz w:val="24"/>
        </w:rPr>
        <w:t>十、合同变更和终止</w:t>
      </w:r>
    </w:p>
    <w:p w14:paraId="441AB229">
      <w:pPr>
        <w:tabs>
          <w:tab w:val="left" w:pos="420"/>
          <w:tab w:val="left" w:pos="840"/>
          <w:tab w:val="left" w:pos="1060"/>
        </w:tabs>
        <w:adjustRightInd w:val="0"/>
        <w:snapToGrid w:val="0"/>
        <w:spacing w:line="312" w:lineRule="auto"/>
        <w:ind w:firstLine="480" w:firstLineChars="200"/>
        <w:textAlignment w:val="baseline"/>
        <w:rPr>
          <w:rFonts w:hint="eastAsia" w:ascii="仿宋" w:hAnsi="仿宋" w:eastAsia="仿宋" w:cs="仿宋"/>
          <w:sz w:val="24"/>
        </w:rPr>
      </w:pPr>
      <w:r>
        <w:rPr>
          <w:rFonts w:hint="eastAsia" w:ascii="仿宋" w:hAnsi="仿宋" w:eastAsia="仿宋" w:cs="仿宋"/>
          <w:sz w:val="24"/>
        </w:rPr>
        <w:t>1.合同一经签订，任何一方不得擅自变更，所有对合同的变更均需双方书面签字盖章确认。</w:t>
      </w:r>
    </w:p>
    <w:p w14:paraId="3DF390F4">
      <w:pPr>
        <w:tabs>
          <w:tab w:val="left" w:pos="420"/>
          <w:tab w:val="left" w:pos="1060"/>
        </w:tabs>
        <w:adjustRightInd w:val="0"/>
        <w:snapToGrid w:val="0"/>
        <w:spacing w:line="312" w:lineRule="auto"/>
        <w:ind w:firstLine="480" w:firstLineChars="200"/>
        <w:textAlignment w:val="baseline"/>
        <w:rPr>
          <w:rFonts w:hint="eastAsia" w:ascii="仿宋" w:hAnsi="仿宋" w:eastAsia="仿宋" w:cs="仿宋"/>
          <w:sz w:val="24"/>
        </w:rPr>
      </w:pPr>
      <w:r>
        <w:rPr>
          <w:rFonts w:hint="eastAsia" w:ascii="仿宋" w:hAnsi="仿宋" w:eastAsia="仿宋" w:cs="仿宋"/>
          <w:sz w:val="24"/>
        </w:rPr>
        <w:t>2.本合同签订后，如非乙方的原因，甲方要求减少或取消部分产品订单，甲方必须事先以书面形式通知乙方，并与乙方友好协商另起补充协议，乙方将按以下情况酌情收费：</w:t>
      </w:r>
    </w:p>
    <w:p w14:paraId="11E144E7">
      <w:pPr>
        <w:tabs>
          <w:tab w:val="left" w:pos="1260"/>
        </w:tabs>
        <w:adjustRightInd w:val="0"/>
        <w:snapToGrid w:val="0"/>
        <w:spacing w:line="312" w:lineRule="auto"/>
        <w:ind w:firstLine="480" w:firstLineChars="200"/>
        <w:rPr>
          <w:rFonts w:hint="eastAsia" w:ascii="仿宋" w:hAnsi="仿宋" w:eastAsia="仿宋" w:cs="仿宋"/>
          <w:sz w:val="24"/>
        </w:rPr>
      </w:pPr>
      <w:r>
        <w:rPr>
          <w:rFonts w:hint="eastAsia" w:ascii="仿宋" w:hAnsi="仿宋" w:eastAsia="仿宋" w:cs="仿宋"/>
          <w:sz w:val="24"/>
        </w:rPr>
        <w:t>①在订单确认后且未造成乙方损失的情况下，甲方要求减少或取消部分产品订单的，则免收费用；</w:t>
      </w:r>
    </w:p>
    <w:p w14:paraId="3E863862">
      <w:pPr>
        <w:tabs>
          <w:tab w:val="left" w:pos="1260"/>
        </w:tabs>
        <w:adjustRightInd w:val="0"/>
        <w:snapToGrid w:val="0"/>
        <w:spacing w:line="312" w:lineRule="auto"/>
        <w:ind w:firstLine="480" w:firstLineChars="200"/>
        <w:rPr>
          <w:rFonts w:hint="eastAsia" w:ascii="仿宋" w:hAnsi="仿宋" w:eastAsia="仿宋" w:cs="仿宋"/>
          <w:sz w:val="24"/>
        </w:rPr>
      </w:pPr>
      <w:r>
        <w:rPr>
          <w:rFonts w:hint="eastAsia" w:ascii="仿宋" w:hAnsi="仿宋" w:eastAsia="仿宋" w:cs="仿宋"/>
          <w:sz w:val="24"/>
        </w:rPr>
        <w:t>②因甲方原因减少、变更或取消部分产品订单的，由此造成乙方物料及人工的损失，乙方则按实际产生物耗收费，同时每次变更产品资料则交期推迟3-7天，如遇特殊情则另做调整：</w:t>
      </w:r>
    </w:p>
    <w:p w14:paraId="574B21B5">
      <w:pPr>
        <w:tabs>
          <w:tab w:val="left" w:pos="420"/>
          <w:tab w:val="left" w:pos="840"/>
          <w:tab w:val="left" w:pos="1060"/>
        </w:tabs>
        <w:adjustRightInd w:val="0"/>
        <w:snapToGrid w:val="0"/>
        <w:spacing w:line="312" w:lineRule="auto"/>
        <w:ind w:firstLine="480" w:firstLineChars="200"/>
        <w:textAlignment w:val="baseline"/>
        <w:rPr>
          <w:rFonts w:hint="eastAsia" w:ascii="仿宋" w:hAnsi="仿宋" w:eastAsia="仿宋" w:cs="仿宋"/>
          <w:sz w:val="24"/>
        </w:rPr>
      </w:pPr>
      <w:r>
        <w:rPr>
          <w:rFonts w:hint="eastAsia" w:ascii="仿宋" w:hAnsi="仿宋" w:eastAsia="仿宋" w:cs="仿宋"/>
          <w:sz w:val="24"/>
        </w:rPr>
        <w:t>备注：该费用从货物定金中扣除。</w:t>
      </w:r>
    </w:p>
    <w:p w14:paraId="110574C0">
      <w:pPr>
        <w:tabs>
          <w:tab w:val="left" w:pos="420"/>
          <w:tab w:val="left" w:pos="840"/>
          <w:tab w:val="left" w:pos="1060"/>
        </w:tabs>
        <w:adjustRightInd w:val="0"/>
        <w:snapToGrid w:val="0"/>
        <w:spacing w:line="312" w:lineRule="auto"/>
        <w:ind w:firstLine="480" w:firstLineChars="200"/>
        <w:textAlignment w:val="baseline"/>
        <w:rPr>
          <w:rFonts w:hint="eastAsia" w:ascii="仿宋" w:hAnsi="仿宋" w:eastAsia="仿宋" w:cs="仿宋"/>
          <w:sz w:val="24"/>
        </w:rPr>
      </w:pPr>
      <w:r>
        <w:rPr>
          <w:rFonts w:hint="eastAsia" w:ascii="仿宋" w:hAnsi="仿宋" w:eastAsia="仿宋" w:cs="仿宋"/>
          <w:sz w:val="24"/>
        </w:rPr>
        <w:t>3.本合同签订后，如甲方需要增加部分产品，甲方应与乙方友好协商另起补充协议，补充协议须双方签字盖章确认为准。</w:t>
      </w:r>
    </w:p>
    <w:p w14:paraId="5CF43DE5">
      <w:pPr>
        <w:tabs>
          <w:tab w:val="left" w:pos="420"/>
          <w:tab w:val="left" w:pos="840"/>
          <w:tab w:val="left" w:pos="1060"/>
        </w:tabs>
        <w:adjustRightInd w:val="0"/>
        <w:snapToGrid w:val="0"/>
        <w:spacing w:line="312" w:lineRule="auto"/>
        <w:ind w:firstLine="480" w:firstLineChars="200"/>
        <w:textAlignment w:val="baseline"/>
        <w:rPr>
          <w:rFonts w:hint="eastAsia" w:ascii="仿宋" w:hAnsi="仿宋" w:eastAsia="仿宋" w:cs="仿宋"/>
          <w:sz w:val="24"/>
        </w:rPr>
      </w:pPr>
      <w:r>
        <w:rPr>
          <w:rFonts w:hint="eastAsia" w:ascii="仿宋" w:hAnsi="仿宋" w:eastAsia="仿宋" w:cs="仿宋"/>
          <w:kern w:val="0"/>
          <w:sz w:val="24"/>
        </w:rPr>
        <w:t>4.在本合同约定的有效期限届满、合同履行完毕或者双方一致同意终止时，本合同即时终止。</w:t>
      </w:r>
    </w:p>
    <w:p w14:paraId="3B48846F">
      <w:pPr>
        <w:adjustRightInd w:val="0"/>
        <w:snapToGrid w:val="0"/>
        <w:spacing w:line="312" w:lineRule="auto"/>
        <w:ind w:firstLine="482" w:firstLineChars="200"/>
        <w:textAlignment w:val="baseline"/>
        <w:rPr>
          <w:rFonts w:hint="eastAsia" w:ascii="仿宋" w:hAnsi="仿宋" w:eastAsia="仿宋" w:cs="仿宋"/>
          <w:b/>
          <w:bCs/>
          <w:sz w:val="24"/>
        </w:rPr>
      </w:pPr>
      <w:r>
        <w:rPr>
          <w:rFonts w:hint="eastAsia" w:ascii="仿宋" w:hAnsi="仿宋" w:eastAsia="仿宋" w:cs="仿宋"/>
          <w:b/>
          <w:bCs/>
          <w:sz w:val="24"/>
        </w:rPr>
        <w:t>十一、合同争议解决</w:t>
      </w:r>
    </w:p>
    <w:p w14:paraId="1ED1788B">
      <w:pPr>
        <w:adjustRightInd w:val="0"/>
        <w:snapToGrid w:val="0"/>
        <w:spacing w:line="312" w:lineRule="auto"/>
        <w:ind w:firstLine="480" w:firstLineChars="200"/>
        <w:textAlignment w:val="baseline"/>
        <w:rPr>
          <w:rFonts w:hint="eastAsia" w:ascii="仿宋" w:hAnsi="仿宋" w:eastAsia="仿宋" w:cs="仿宋"/>
          <w:bCs/>
          <w:sz w:val="24"/>
        </w:rPr>
      </w:pPr>
      <w:r>
        <w:rPr>
          <w:rFonts w:hint="eastAsia" w:ascii="仿宋" w:hAnsi="仿宋" w:eastAsia="仿宋" w:cs="仿宋"/>
          <w:bCs/>
          <w:sz w:val="24"/>
        </w:rPr>
        <w:t>当甲、乙双方在履行合同时发生合同争议时，可以和解或者要求有关主管部门调解。当事人不愿和解、调解或者和解、调解不成的，双方同意按以下约定方式解决争议：向甲方所在地人民法院，即海口市琼山区人民法院诉请裁决。</w:t>
      </w:r>
    </w:p>
    <w:p w14:paraId="6AE480CF">
      <w:pPr>
        <w:adjustRightInd w:val="0"/>
        <w:snapToGrid w:val="0"/>
        <w:spacing w:line="312" w:lineRule="auto"/>
        <w:ind w:firstLine="482" w:firstLineChars="200"/>
        <w:textAlignment w:val="baseline"/>
        <w:rPr>
          <w:rFonts w:hint="eastAsia" w:ascii="仿宋" w:hAnsi="仿宋" w:eastAsia="仿宋" w:cs="仿宋"/>
          <w:b/>
          <w:bCs/>
          <w:sz w:val="24"/>
        </w:rPr>
      </w:pPr>
      <w:r>
        <w:rPr>
          <w:rFonts w:hint="eastAsia" w:ascii="仿宋" w:hAnsi="仿宋" w:eastAsia="仿宋" w:cs="仿宋"/>
          <w:b/>
          <w:bCs/>
          <w:sz w:val="24"/>
        </w:rPr>
        <w:t>十二、其他约定</w:t>
      </w:r>
    </w:p>
    <w:p w14:paraId="78451EC2">
      <w:pPr>
        <w:adjustRightInd w:val="0"/>
        <w:snapToGrid w:val="0"/>
        <w:spacing w:line="312" w:lineRule="auto"/>
        <w:ind w:firstLine="480" w:firstLineChars="200"/>
        <w:rPr>
          <w:rFonts w:hint="eastAsia" w:ascii="仿宋" w:hAnsi="仿宋" w:eastAsia="仿宋" w:cs="仿宋"/>
          <w:bCs/>
          <w:sz w:val="24"/>
        </w:rPr>
      </w:pPr>
      <w:r>
        <w:rPr>
          <w:rFonts w:hint="eastAsia" w:ascii="仿宋" w:hAnsi="仿宋" w:eastAsia="仿宋" w:cs="仿宋"/>
          <w:bCs/>
          <w:sz w:val="24"/>
        </w:rPr>
        <w:t>1. 如需变更本合同条款，双方应另行签订书面补充协议，并加盖双方印章，方才有效。</w:t>
      </w:r>
    </w:p>
    <w:p w14:paraId="0609ECA6">
      <w:pPr>
        <w:tabs>
          <w:tab w:val="left" w:pos="1060"/>
        </w:tabs>
        <w:adjustRightInd w:val="0"/>
        <w:snapToGrid w:val="0"/>
        <w:spacing w:line="312" w:lineRule="auto"/>
        <w:ind w:firstLine="480" w:firstLineChars="200"/>
        <w:textAlignment w:val="baseline"/>
        <w:rPr>
          <w:rFonts w:hint="eastAsia" w:ascii="仿宋" w:hAnsi="仿宋" w:eastAsia="仿宋" w:cs="仿宋"/>
          <w:sz w:val="24"/>
        </w:rPr>
      </w:pPr>
      <w:r>
        <w:rPr>
          <w:rFonts w:hint="eastAsia" w:ascii="仿宋" w:hAnsi="仿宋" w:eastAsia="仿宋" w:cs="仿宋"/>
          <w:sz w:val="24"/>
        </w:rPr>
        <w:t>2.本合同由合同正本和合同附件（中标通知书、货品清单）组成，合同所定产品的具体规格、材质、数量和颜色参考合同附件“货品清单”。</w:t>
      </w:r>
    </w:p>
    <w:p w14:paraId="01F3BFAF">
      <w:pPr>
        <w:tabs>
          <w:tab w:val="left" w:pos="1060"/>
        </w:tabs>
        <w:adjustRightInd w:val="0"/>
        <w:snapToGrid w:val="0"/>
        <w:spacing w:line="312" w:lineRule="auto"/>
        <w:ind w:firstLine="480" w:firstLineChars="200"/>
        <w:textAlignment w:val="baseline"/>
        <w:rPr>
          <w:rFonts w:hint="eastAsia" w:ascii="仿宋" w:hAnsi="仿宋" w:eastAsia="仿宋" w:cs="仿宋"/>
          <w:sz w:val="24"/>
        </w:rPr>
      </w:pPr>
      <w:r>
        <w:rPr>
          <w:rFonts w:hint="eastAsia" w:ascii="仿宋" w:hAnsi="仿宋" w:eastAsia="仿宋" w:cs="仿宋"/>
          <w:sz w:val="24"/>
        </w:rPr>
        <w:t>3.合同附件是合同正本不可分割的组成部分，与合同正本具有同等法律效力。</w:t>
      </w:r>
    </w:p>
    <w:p w14:paraId="59BDF004">
      <w:pPr>
        <w:adjustRightInd w:val="0"/>
        <w:snapToGrid w:val="0"/>
        <w:spacing w:line="312" w:lineRule="auto"/>
        <w:ind w:firstLine="480" w:firstLineChars="200"/>
        <w:rPr>
          <w:rFonts w:hint="eastAsia" w:ascii="仿宋" w:hAnsi="仿宋" w:eastAsia="仿宋" w:cs="仿宋"/>
          <w:bCs/>
          <w:sz w:val="24"/>
        </w:rPr>
      </w:pPr>
      <w:r>
        <w:rPr>
          <w:rFonts w:hint="eastAsia" w:ascii="仿宋" w:hAnsi="仿宋" w:eastAsia="仿宋" w:cs="仿宋"/>
          <w:sz w:val="24"/>
        </w:rPr>
        <w:t>4.</w:t>
      </w:r>
      <w:r>
        <w:rPr>
          <w:rFonts w:hint="eastAsia" w:ascii="仿宋" w:hAnsi="仿宋" w:eastAsia="仿宋" w:cs="仿宋"/>
          <w:bCs/>
          <w:sz w:val="24"/>
        </w:rPr>
        <w:t xml:space="preserve"> 本合同壹式陆份，以中文书写。甲方叁份、乙方贰份、招标机构执壹份，自甲、乙双方签字盖章之日起生效。</w:t>
      </w:r>
    </w:p>
    <w:p w14:paraId="0A328F16">
      <w:pPr>
        <w:tabs>
          <w:tab w:val="left" w:pos="1060"/>
        </w:tabs>
        <w:adjustRightInd w:val="0"/>
        <w:snapToGrid w:val="0"/>
        <w:spacing w:line="312" w:lineRule="auto"/>
        <w:ind w:firstLine="480" w:firstLineChars="200"/>
        <w:textAlignment w:val="baseline"/>
        <w:rPr>
          <w:rFonts w:hint="eastAsia" w:ascii="仿宋" w:hAnsi="仿宋" w:eastAsia="仿宋" w:cs="仿宋"/>
          <w:sz w:val="24"/>
        </w:rPr>
      </w:pPr>
      <w:r>
        <w:rPr>
          <w:rFonts w:hint="eastAsia" w:ascii="仿宋" w:hAnsi="仿宋" w:eastAsia="仿宋" w:cs="仿宋"/>
          <w:sz w:val="24"/>
        </w:rPr>
        <w:t xml:space="preserve"> 附件：</w:t>
      </w:r>
      <w:r>
        <w:rPr>
          <w:rFonts w:hint="eastAsia" w:ascii="仿宋" w:hAnsi="仿宋" w:eastAsia="仿宋" w:cs="仿宋"/>
          <w:sz w:val="24"/>
          <w:lang w:eastAsia="zh-CN"/>
        </w:rPr>
        <w:t>成交</w:t>
      </w:r>
      <w:r>
        <w:rPr>
          <w:rFonts w:hint="eastAsia" w:ascii="仿宋" w:hAnsi="仿宋" w:eastAsia="仿宋" w:cs="仿宋"/>
          <w:sz w:val="24"/>
        </w:rPr>
        <w:t>通知书、货物清单</w:t>
      </w:r>
    </w:p>
    <w:p w14:paraId="772142C2">
      <w:pPr>
        <w:adjustRightInd w:val="0"/>
        <w:snapToGrid w:val="0"/>
        <w:spacing w:line="312" w:lineRule="auto"/>
        <w:ind w:firstLine="480" w:firstLineChars="200"/>
        <w:textAlignment w:val="baseline"/>
        <w:rPr>
          <w:rFonts w:hint="eastAsia" w:ascii="仿宋" w:hAnsi="仿宋" w:eastAsia="仿宋" w:cs="仿宋"/>
          <w:sz w:val="24"/>
        </w:rPr>
      </w:pPr>
    </w:p>
    <w:p w14:paraId="4D2D6280">
      <w:pPr>
        <w:pStyle w:val="2"/>
        <w:tabs>
          <w:tab w:val="left" w:pos="6466"/>
        </w:tabs>
        <w:adjustRightInd w:val="0"/>
        <w:snapToGrid w:val="0"/>
        <w:spacing w:line="312" w:lineRule="auto"/>
        <w:ind w:left="6240" w:hanging="6240" w:hangingChars="2600"/>
        <w:rPr>
          <w:rFonts w:hint="eastAsia" w:ascii="仿宋" w:hAnsi="仿宋" w:eastAsia="仿宋" w:cs="仿宋"/>
          <w:sz w:val="24"/>
          <w:szCs w:val="24"/>
          <w:lang w:eastAsia="zh-CN"/>
        </w:rPr>
      </w:pPr>
    </w:p>
    <w:p w14:paraId="486703FA">
      <w:pPr>
        <w:pStyle w:val="2"/>
        <w:tabs>
          <w:tab w:val="left" w:pos="6466"/>
        </w:tabs>
        <w:adjustRightInd w:val="0"/>
        <w:snapToGrid w:val="0"/>
        <w:spacing w:line="312" w:lineRule="auto"/>
        <w:ind w:left="6240" w:hanging="6240" w:hangingChars="2600"/>
        <w:rPr>
          <w:rFonts w:hint="eastAsia" w:ascii="仿宋" w:hAnsi="仿宋" w:eastAsia="仿宋" w:cs="仿宋"/>
          <w:sz w:val="24"/>
          <w:szCs w:val="24"/>
          <w:lang w:eastAsia="zh-CN"/>
        </w:rPr>
      </w:pPr>
      <w:r>
        <w:rPr>
          <w:rFonts w:hint="eastAsia" w:ascii="仿宋" w:hAnsi="仿宋" w:eastAsia="仿宋" w:cs="仿宋"/>
          <w:sz w:val="24"/>
          <w:szCs w:val="24"/>
          <w:lang w:eastAsia="zh-CN"/>
        </w:rPr>
        <w:t>此页无正文，为签字页。</w:t>
      </w:r>
    </w:p>
    <w:p w14:paraId="04A94DE0">
      <w:pPr>
        <w:pStyle w:val="2"/>
        <w:tabs>
          <w:tab w:val="left" w:pos="6466"/>
        </w:tabs>
        <w:adjustRightInd w:val="0"/>
        <w:snapToGrid w:val="0"/>
        <w:spacing w:line="312" w:lineRule="auto"/>
        <w:ind w:left="6240" w:hanging="6240" w:hangingChars="2600"/>
        <w:rPr>
          <w:rFonts w:hint="eastAsia" w:ascii="仿宋" w:hAnsi="仿宋" w:eastAsia="仿宋" w:cs="仿宋"/>
          <w:sz w:val="24"/>
          <w:szCs w:val="24"/>
        </w:rPr>
      </w:pPr>
    </w:p>
    <w:p w14:paraId="6DB5177C">
      <w:pPr>
        <w:pStyle w:val="2"/>
        <w:tabs>
          <w:tab w:val="left" w:pos="6466"/>
        </w:tabs>
        <w:adjustRightInd w:val="0"/>
        <w:snapToGrid w:val="0"/>
        <w:spacing w:line="312" w:lineRule="auto"/>
        <w:rPr>
          <w:rFonts w:hint="eastAsia" w:ascii="仿宋" w:hAnsi="仿宋" w:eastAsia="仿宋" w:cs="仿宋"/>
          <w:sz w:val="24"/>
          <w:szCs w:val="24"/>
          <w:lang w:val="en-US" w:eastAsia="zh-CN"/>
        </w:rPr>
      </w:pPr>
      <w:r>
        <w:rPr>
          <w:rFonts w:hint="eastAsia" w:ascii="仿宋" w:hAnsi="仿宋" w:eastAsia="仿宋" w:cs="仿宋"/>
          <w:sz w:val="24"/>
          <w:szCs w:val="24"/>
        </w:rPr>
        <w:t>甲方：</w:t>
      </w:r>
      <w:r>
        <w:rPr>
          <w:rFonts w:hint="eastAsia" w:ascii="仿宋" w:hAnsi="仿宋" w:eastAsia="仿宋" w:cs="仿宋"/>
          <w:sz w:val="24"/>
          <w:szCs w:val="24"/>
          <w:lang w:eastAsia="zh-CN"/>
        </w:rPr>
        <w:t>海南省妇女儿童医学中心</w:t>
      </w:r>
      <w:r>
        <w:rPr>
          <w:rFonts w:hint="eastAsia" w:ascii="仿宋" w:hAnsi="仿宋" w:eastAsia="仿宋" w:cs="仿宋"/>
          <w:sz w:val="24"/>
          <w:szCs w:val="24"/>
        </w:rPr>
        <w:t xml:space="preserve">        乙方： </w:t>
      </w:r>
    </w:p>
    <w:p w14:paraId="153CE134">
      <w:pPr>
        <w:pStyle w:val="2"/>
        <w:tabs>
          <w:tab w:val="left" w:pos="6466"/>
        </w:tabs>
        <w:adjustRightInd w:val="0"/>
        <w:snapToGrid w:val="0"/>
        <w:spacing w:line="312" w:lineRule="auto"/>
        <w:ind w:firstLine="1200" w:firstLineChars="500"/>
        <w:rPr>
          <w:rFonts w:hint="eastAsia" w:ascii="仿宋" w:hAnsi="仿宋" w:eastAsia="仿宋" w:cs="仿宋"/>
          <w:sz w:val="24"/>
          <w:szCs w:val="24"/>
          <w:lang w:val="en-US" w:eastAsia="zh-CN"/>
        </w:rPr>
      </w:pPr>
    </w:p>
    <w:p w14:paraId="0D4CE9B8">
      <w:pPr>
        <w:pStyle w:val="2"/>
        <w:tabs>
          <w:tab w:val="left" w:pos="6466"/>
        </w:tabs>
        <w:adjustRightInd w:val="0"/>
        <w:snapToGrid w:val="0"/>
        <w:spacing w:line="312" w:lineRule="auto"/>
        <w:ind w:firstLine="1200" w:firstLineChars="5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（公章）                                 （公章）</w:t>
      </w:r>
    </w:p>
    <w:p w14:paraId="67B2F78D">
      <w:pPr>
        <w:pStyle w:val="2"/>
        <w:tabs>
          <w:tab w:val="left" w:pos="6466"/>
        </w:tabs>
        <w:adjustRightInd w:val="0"/>
        <w:snapToGrid w:val="0"/>
        <w:spacing w:line="312" w:lineRule="auto"/>
        <w:rPr>
          <w:rFonts w:hint="eastAsia" w:ascii="仿宋" w:hAnsi="仿宋" w:eastAsia="仿宋" w:cs="仿宋"/>
          <w:sz w:val="24"/>
          <w:szCs w:val="24"/>
          <w:lang w:val="en-US" w:eastAsia="zh-CN"/>
        </w:rPr>
      </w:pPr>
    </w:p>
    <w:p w14:paraId="3DA9F8C3">
      <w:pPr>
        <w:pStyle w:val="2"/>
        <w:tabs>
          <w:tab w:val="left" w:pos="6466"/>
        </w:tabs>
        <w:adjustRightInd w:val="0"/>
        <w:snapToGrid w:val="0"/>
        <w:spacing w:line="312" w:lineRule="auto"/>
        <w:rPr>
          <w:rFonts w:hint="eastAsia" w:ascii="仿宋" w:hAnsi="仿宋" w:eastAsia="仿宋" w:cs="仿宋"/>
          <w:sz w:val="24"/>
          <w:szCs w:val="24"/>
          <w:lang w:val="en-US" w:eastAsia="zh-CN"/>
        </w:rPr>
      </w:pPr>
    </w:p>
    <w:p w14:paraId="668E5027">
      <w:pPr>
        <w:pStyle w:val="2"/>
        <w:tabs>
          <w:tab w:val="left" w:pos="6466"/>
        </w:tabs>
        <w:adjustRightInd w:val="0"/>
        <w:snapToGrid w:val="0"/>
        <w:spacing w:line="312" w:lineRule="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法人代表签字：                      法人代表（授权）签字：</w:t>
      </w:r>
    </w:p>
    <w:p w14:paraId="55D9F103">
      <w:pPr>
        <w:pStyle w:val="2"/>
        <w:tabs>
          <w:tab w:val="left" w:pos="6466"/>
        </w:tabs>
        <w:adjustRightInd w:val="0"/>
        <w:snapToGrid w:val="0"/>
        <w:spacing w:line="312" w:lineRule="auto"/>
        <w:rPr>
          <w:rFonts w:hint="eastAsia" w:ascii="仿宋" w:hAnsi="仿宋" w:eastAsia="仿宋" w:cs="仿宋"/>
          <w:sz w:val="24"/>
          <w:szCs w:val="24"/>
          <w:lang w:val="en-US" w:eastAsia="zh-CN"/>
        </w:rPr>
      </w:pPr>
    </w:p>
    <w:p w14:paraId="56EECC07">
      <w:pPr>
        <w:pStyle w:val="2"/>
        <w:tabs>
          <w:tab w:val="left" w:pos="6466"/>
        </w:tabs>
        <w:adjustRightInd w:val="0"/>
        <w:snapToGrid w:val="0"/>
        <w:spacing w:line="312" w:lineRule="auto"/>
        <w:rPr>
          <w:rFonts w:hint="eastAsia" w:ascii="仿宋" w:hAnsi="仿宋" w:eastAsia="仿宋" w:cs="仿宋"/>
          <w:sz w:val="24"/>
          <w:szCs w:val="24"/>
          <w:lang w:val="en-US" w:eastAsia="zh-CN"/>
        </w:rPr>
      </w:pPr>
    </w:p>
    <w:p w14:paraId="7AD6323A">
      <w:pPr>
        <w:pStyle w:val="2"/>
        <w:tabs>
          <w:tab w:val="left" w:pos="6466"/>
        </w:tabs>
        <w:adjustRightInd w:val="0"/>
        <w:snapToGrid w:val="0"/>
        <w:spacing w:line="312" w:lineRule="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签订日期：202   年    月    日</w:t>
      </w:r>
    </w:p>
    <w:p w14:paraId="1300F5C1">
      <w:pPr>
        <w:pStyle w:val="2"/>
        <w:tabs>
          <w:tab w:val="left" w:pos="6466"/>
        </w:tabs>
        <w:adjustRightInd w:val="0"/>
        <w:snapToGrid w:val="0"/>
        <w:spacing w:line="312" w:lineRule="auto"/>
        <w:rPr>
          <w:rFonts w:hint="eastAsia" w:ascii="仿宋" w:hAnsi="仿宋" w:eastAsia="仿宋" w:cs="仿宋"/>
          <w:sz w:val="24"/>
          <w:szCs w:val="24"/>
          <w:lang w:val="en-US" w:eastAsia="zh-CN"/>
        </w:rPr>
      </w:pPr>
    </w:p>
    <w:p w14:paraId="55FBAB97">
      <w:pPr>
        <w:pStyle w:val="2"/>
        <w:tabs>
          <w:tab w:val="left" w:pos="6466"/>
        </w:tabs>
        <w:adjustRightInd w:val="0"/>
        <w:snapToGrid w:val="0"/>
        <w:spacing w:line="312" w:lineRule="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代理机构：</w:t>
      </w:r>
    </w:p>
    <w:p w14:paraId="0C2C5FE1">
      <w:pPr>
        <w:pStyle w:val="2"/>
        <w:tabs>
          <w:tab w:val="left" w:pos="6466"/>
        </w:tabs>
        <w:adjustRightInd w:val="0"/>
        <w:snapToGrid w:val="0"/>
        <w:spacing w:line="312" w:lineRule="auto"/>
        <w:rPr>
          <w:rFonts w:hint="default" w:ascii="仿宋" w:hAnsi="仿宋" w:eastAsia="仿宋" w:cs="仿宋"/>
          <w:sz w:val="24"/>
          <w:szCs w:val="24"/>
          <w:lang w:val="en-US" w:eastAsia="zh-CN"/>
        </w:rPr>
      </w:pPr>
    </w:p>
    <w:p w14:paraId="6F86EFFA">
      <w:pPr>
        <w:pStyle w:val="2"/>
        <w:tabs>
          <w:tab w:val="left" w:pos="6466"/>
        </w:tabs>
        <w:adjustRightInd w:val="0"/>
        <w:snapToGrid w:val="0"/>
        <w:spacing w:line="312" w:lineRule="auto"/>
        <w:ind w:firstLine="2160" w:firstLineChars="9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（公章）</w:t>
      </w:r>
    </w:p>
    <w:p w14:paraId="69707999">
      <w:pPr>
        <w:pStyle w:val="2"/>
        <w:tabs>
          <w:tab w:val="left" w:pos="6466"/>
        </w:tabs>
        <w:adjustRightInd w:val="0"/>
        <w:snapToGrid w:val="0"/>
        <w:spacing w:line="312" w:lineRule="auto"/>
        <w:ind w:firstLine="2160" w:firstLineChars="900"/>
        <w:rPr>
          <w:rFonts w:hint="eastAsia" w:ascii="仿宋" w:hAnsi="仿宋" w:eastAsia="仿宋" w:cs="仿宋"/>
          <w:sz w:val="24"/>
          <w:szCs w:val="24"/>
          <w:lang w:val="en-US" w:eastAsia="zh-CN"/>
        </w:rPr>
      </w:pPr>
    </w:p>
    <w:p w14:paraId="6536689C">
      <w:pPr>
        <w:pStyle w:val="2"/>
        <w:tabs>
          <w:tab w:val="left" w:pos="6466"/>
        </w:tabs>
        <w:adjustRightInd w:val="0"/>
        <w:snapToGrid w:val="0"/>
        <w:spacing w:line="312" w:lineRule="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法人代表签字：</w:t>
      </w:r>
    </w:p>
    <w:p w14:paraId="0F584AA2">
      <w:pPr>
        <w:pStyle w:val="2"/>
        <w:tabs>
          <w:tab w:val="left" w:pos="6466"/>
        </w:tabs>
        <w:adjustRightInd w:val="0"/>
        <w:snapToGrid w:val="0"/>
        <w:spacing w:line="312" w:lineRule="auto"/>
        <w:rPr>
          <w:rFonts w:hint="eastAsia" w:ascii="仿宋" w:hAnsi="仿宋" w:eastAsia="仿宋" w:cs="仿宋"/>
          <w:sz w:val="24"/>
          <w:szCs w:val="24"/>
          <w:lang w:val="en-US" w:eastAsia="zh-CN"/>
        </w:rPr>
      </w:pPr>
    </w:p>
    <w:p w14:paraId="222F9C07">
      <w:pPr>
        <w:pStyle w:val="2"/>
        <w:tabs>
          <w:tab w:val="left" w:pos="6466"/>
        </w:tabs>
        <w:adjustRightInd w:val="0"/>
        <w:snapToGrid w:val="0"/>
        <w:spacing w:line="312" w:lineRule="auto"/>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签订日期：202  年    月    日</w:t>
      </w:r>
    </w:p>
    <w:p w14:paraId="306C735E"/>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KaiTi_GB2312">
    <w:altName w:val="楷体"/>
    <w:panose1 w:val="02010609060101010101"/>
    <w:charset w:val="86"/>
    <w:family w:val="modern"/>
    <w:pitch w:val="default"/>
    <w:sig w:usb0="00000000" w:usb1="00000000"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84EB30A"/>
    <w:multiLevelType w:val="singleLevel"/>
    <w:tmpl w:val="384EB30A"/>
    <w:lvl w:ilvl="0" w:tentative="0">
      <w:start w:val="2"/>
      <w:numFmt w:val="chineseCounting"/>
      <w:suff w:val="nothing"/>
      <w:lvlText w:val="%1、"/>
      <w:lvlJc w:val="left"/>
      <w:pPr>
        <w:ind w:left="0" w:firstLine="0"/>
      </w:pPr>
    </w:lvl>
  </w:abstractNum>
  <w:num w:numId="1">
    <w:abstractNumId w:val="0"/>
    <w:lvlOverride w:ilvl="0">
      <w:startOverride w:val="2"/>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7833DA3"/>
    <w:rsid w:val="21E503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next w:val="1"/>
    <w:unhideWhenUsed/>
    <w:qFormat/>
    <w:uiPriority w:val="99"/>
    <w:pPr>
      <w:spacing w:after="120"/>
    </w:pPr>
  </w:style>
  <w:style w:type="paragraph" w:styleId="3">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customStyle="1" w:styleId="6">
    <w:name w:val="null3"/>
    <w:hidden/>
    <w:qFormat/>
    <w:uiPriority w:val="0"/>
    <w:rPr>
      <w:rFonts w:hint="eastAsia" w:asciiTheme="minorHAnsi" w:hAnsiTheme="minorHAnsi" w:eastAsiaTheme="minorEastAsia" w:cstheme="minorBidi"/>
      <w:lang w:val="en-US" w:eastAsia="zh-Hans"/>
    </w:rPr>
  </w:style>
  <w:style w:type="character" w:customStyle="1" w:styleId="7">
    <w:name w:val="font11"/>
    <w:qFormat/>
    <w:uiPriority w:val="0"/>
    <w:rPr>
      <w:rFonts w:hint="eastAsia" w:ascii="宋体" w:hAnsi="宋体" w:eastAsia="宋体"/>
      <w:color w:val="000000"/>
      <w:sz w:val="24"/>
      <w:szCs w:val="24"/>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0</TotalTime>
  <ScaleCrop>false</ScaleCrop>
  <LinksUpToDate>false</LinksUpToDate>
  <CharactersWithSpaces>0</CharactersWithSpaces>
  <Application>WPS Office_12.8.2.18913_F1E327BC-269C-435d-A152-05C5408002CA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2025-06-26T07:43:00Z</dcterms:created>
  <dc:creator>AOC</dc:creator>
  <cp:lastModifiedBy>AOC</cp:lastModifiedBy>
  <dcterms:modified xsi:type="dcterms:W3CDTF">2025-06-26T07:45:27Z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2052-12.8.2.18913</vt:lpwstr>
  </property>
  <property fmtid="{D5CDD505-2E9C-101B-9397-08002B2CF9AE}" pid="3" name="ICV">
    <vt:lpwstr>55603045751443039B26E7EB9EC053D2_12</vt:lpwstr>
  </property>
</Properties>
</file>