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村卫生室除颤仪配备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ZX2025-029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村卫生室除颤仪配备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ZX2025-029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村卫生室除颤仪配备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26,800,000.00元</w:t>
      </w:r>
      <w:r>
        <w:rPr>
          <w:rFonts w:ascii="仿宋_GB2312" w:hAnsi="仿宋_GB2312" w:cs="仿宋_GB2312" w:eastAsia="仿宋_GB2312"/>
        </w:rPr>
        <w:t>贰仟陆佰捌拾万元整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特定行业法定准入要求：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提供相关资质证书证明材料加盖公章）</w:t>
      </w:r>
    </w:p>
    <w:p>
      <w:pPr>
        <w:pStyle w:val="null3"/>
        <w:jc w:val="left"/>
      </w:pPr>
      <w:r>
        <w:rPr>
          <w:rFonts w:ascii="仿宋_GB2312" w:hAnsi="仿宋_GB2312" w:cs="仿宋_GB2312" w:eastAsia="仿宋_GB2312"/>
        </w:rPr>
        <w:t>2、无环保类行政处罚记录声明：参加政府采购活动前三年内，在经营活动中没有环保类行政处罚记录。（提供声明函加盖公章）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根据海南省政府采购智慧云平台相关规定，本平台实行CA证书办理厂商开放原则，不指定特定CA服务商。 1.请登录海南省政府采购智慧云平台门户，在"办事指南"栏目查看《CA数字证书及电子签章办理手册》； 2.各供应商应根据实际业务需求，结合所选CA证书的适配性要求，自主选择通过平台认证的CA厂商办理； 3.办理完成后，请严格遵照手册指引完成证书安装及电子签章配置。</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海口市海府路44号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采购包1：26,800,000.00元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代理服务费收费标准：参照计价格[2002]1980号文和发改价格[2011]534号文计价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 2.若设置的解密时限已到，还存在未解密的供应商，经采购人同意可重新设置解密时限解密。 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4.中标单位中标后向采购代理机构提供投标文件纸质版一式四份（正本一份，副本三份），固定装订（注：胶装）。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w:t>
      </w:r>
      <w:r>
        <w:rPr>
          <w:rFonts w:ascii="仿宋_GB2312" w:hAnsi="仿宋_GB2312" w:cs="仿宋_GB2312" w:eastAsia="仿宋_GB2312"/>
        </w:rPr>
        <w:t>村卫生室除颤仪配备</w:t>
      </w:r>
    </w:p>
    <w:p>
      <w:pPr>
        <w:pStyle w:val="null3"/>
        <w:ind w:firstLine="480"/>
        <w:jc w:val="left"/>
      </w:pPr>
      <w:r>
        <w:rPr>
          <w:rFonts w:ascii="仿宋_GB2312" w:hAnsi="仿宋_GB2312" w:cs="仿宋_GB2312" w:eastAsia="仿宋_GB2312"/>
        </w:rPr>
        <w:t>2</w:t>
      </w:r>
      <w:r>
        <w:rPr>
          <w:rFonts w:ascii="仿宋_GB2312" w:hAnsi="仿宋_GB2312" w:cs="仿宋_GB2312" w:eastAsia="仿宋_GB2312"/>
        </w:rPr>
        <w:t>、资金来源：财政资金</w:t>
      </w:r>
    </w:p>
    <w:p>
      <w:pPr>
        <w:pStyle w:val="null3"/>
        <w:ind w:firstLine="480"/>
        <w:jc w:val="left"/>
      </w:pPr>
      <w:r>
        <w:rPr>
          <w:rFonts w:ascii="仿宋_GB2312" w:hAnsi="仿宋_GB2312" w:cs="仿宋_GB2312" w:eastAsia="仿宋_GB2312"/>
        </w:rPr>
        <w:t>3</w:t>
      </w:r>
      <w:r>
        <w:rPr>
          <w:rFonts w:ascii="仿宋_GB2312" w:hAnsi="仿宋_GB2312" w:cs="仿宋_GB2312" w:eastAsia="仿宋_GB2312"/>
        </w:rPr>
        <w:t>、采购预算：</w:t>
      </w:r>
      <w:r>
        <w:rPr>
          <w:rFonts w:ascii="仿宋_GB2312" w:hAnsi="仿宋_GB2312" w:cs="仿宋_GB2312" w:eastAsia="仿宋_GB2312"/>
        </w:rPr>
        <w:t>2</w:t>
      </w:r>
      <w:r>
        <w:rPr>
          <w:rFonts w:ascii="仿宋_GB2312" w:hAnsi="仿宋_GB2312" w:cs="仿宋_GB2312" w:eastAsia="仿宋_GB2312"/>
        </w:rPr>
        <w:t>6,8</w:t>
      </w:r>
      <w:r>
        <w:rPr>
          <w:rFonts w:ascii="仿宋_GB2312" w:hAnsi="仿宋_GB2312" w:cs="仿宋_GB2312" w:eastAsia="仿宋_GB2312"/>
        </w:rPr>
        <w:t>0</w:t>
      </w:r>
      <w:r>
        <w:rPr>
          <w:rFonts w:ascii="仿宋_GB2312" w:hAnsi="仿宋_GB2312" w:cs="仿宋_GB2312" w:eastAsia="仿宋_GB2312"/>
        </w:rPr>
        <w:t>0,</w:t>
      </w:r>
      <w:r>
        <w:rPr>
          <w:rFonts w:ascii="仿宋_GB2312" w:hAnsi="仿宋_GB2312" w:cs="仿宋_GB2312" w:eastAsia="仿宋_GB2312"/>
        </w:rPr>
        <w:t>000</w:t>
      </w:r>
      <w:r>
        <w:rPr>
          <w:rFonts w:ascii="仿宋_GB2312" w:hAnsi="仿宋_GB2312" w:cs="仿宋_GB2312" w:eastAsia="仿宋_GB2312"/>
        </w:rPr>
        <w:t>.</w:t>
      </w:r>
      <w:r>
        <w:rPr>
          <w:rFonts w:ascii="仿宋_GB2312" w:hAnsi="仿宋_GB2312" w:cs="仿宋_GB2312" w:eastAsia="仿宋_GB2312"/>
        </w:rPr>
        <w:t>00元</w:t>
      </w:r>
    </w:p>
    <w:p>
      <w:pPr>
        <w:pStyle w:val="null3"/>
        <w:ind w:firstLine="480"/>
        <w:jc w:val="left"/>
      </w:pPr>
      <w:r>
        <w:rPr>
          <w:rFonts w:ascii="仿宋_GB2312" w:hAnsi="仿宋_GB2312" w:cs="仿宋_GB2312" w:eastAsia="仿宋_GB2312"/>
        </w:rPr>
        <w:t>4</w:t>
      </w:r>
      <w:r>
        <w:rPr>
          <w:rFonts w:ascii="仿宋_GB2312" w:hAnsi="仿宋_GB2312" w:cs="仿宋_GB2312" w:eastAsia="仿宋_GB2312"/>
        </w:rPr>
        <w:t>、最高限价：</w:t>
      </w:r>
      <w:r>
        <w:rPr>
          <w:rFonts w:ascii="仿宋_GB2312" w:hAnsi="仿宋_GB2312" w:cs="仿宋_GB2312" w:eastAsia="仿宋_GB2312"/>
        </w:rPr>
        <w:t>2</w:t>
      </w:r>
      <w:r>
        <w:rPr>
          <w:rFonts w:ascii="仿宋_GB2312" w:hAnsi="仿宋_GB2312" w:cs="仿宋_GB2312" w:eastAsia="仿宋_GB2312"/>
        </w:rPr>
        <w:t>6,8</w:t>
      </w:r>
      <w:r>
        <w:rPr>
          <w:rFonts w:ascii="仿宋_GB2312" w:hAnsi="仿宋_GB2312" w:cs="仿宋_GB2312" w:eastAsia="仿宋_GB2312"/>
        </w:rPr>
        <w:t>0</w:t>
      </w:r>
      <w:r>
        <w:rPr>
          <w:rFonts w:ascii="仿宋_GB2312" w:hAnsi="仿宋_GB2312" w:cs="仿宋_GB2312" w:eastAsia="仿宋_GB2312"/>
        </w:rPr>
        <w:t>0,</w:t>
      </w:r>
      <w:r>
        <w:rPr>
          <w:rFonts w:ascii="仿宋_GB2312" w:hAnsi="仿宋_GB2312" w:cs="仿宋_GB2312" w:eastAsia="仿宋_GB2312"/>
        </w:rPr>
        <w:t>000</w:t>
      </w:r>
      <w:r>
        <w:rPr>
          <w:rFonts w:ascii="仿宋_GB2312" w:hAnsi="仿宋_GB2312" w:cs="仿宋_GB2312" w:eastAsia="仿宋_GB2312"/>
        </w:rPr>
        <w:t>.</w:t>
      </w:r>
      <w:r>
        <w:rPr>
          <w:rFonts w:ascii="仿宋_GB2312" w:hAnsi="仿宋_GB2312" w:cs="仿宋_GB2312" w:eastAsia="仿宋_GB2312"/>
        </w:rPr>
        <w:t>00元</w:t>
      </w:r>
    </w:p>
    <w:p>
      <w:pPr>
        <w:pStyle w:val="null3"/>
        <w:ind w:firstLine="480"/>
        <w:jc w:val="left"/>
      </w:pPr>
      <w:r>
        <w:rPr>
          <w:rFonts w:ascii="仿宋_GB2312" w:hAnsi="仿宋_GB2312" w:cs="仿宋_GB2312" w:eastAsia="仿宋_GB2312"/>
        </w:rPr>
        <w:t>注：超出采购预算金额（最高限价）的报价，按无效投标处理。</w:t>
      </w:r>
    </w:p>
    <w:p>
      <w:pPr>
        <w:pStyle w:val="null3"/>
        <w:ind w:firstLine="480"/>
        <w:jc w:val="left"/>
      </w:pPr>
      <w:r>
        <w:rPr>
          <w:rFonts w:ascii="仿宋_GB2312" w:hAnsi="仿宋_GB2312" w:cs="仿宋_GB2312" w:eastAsia="仿宋_GB2312"/>
        </w:rPr>
        <w:t>5</w:t>
      </w:r>
      <w:r>
        <w:rPr>
          <w:rFonts w:ascii="仿宋_GB2312" w:hAnsi="仿宋_GB2312" w:cs="仿宋_GB2312" w:eastAsia="仿宋_GB2312"/>
        </w:rPr>
        <w:t>、本项目分包情况：不分包</w:t>
      </w:r>
    </w:p>
    <w:p>
      <w:pPr>
        <w:pStyle w:val="null3"/>
        <w:ind w:firstLine="480"/>
        <w:jc w:val="left"/>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交货时间：合同签订后在收到发货通知之日起</w:t>
      </w:r>
      <w:r>
        <w:rPr>
          <w:rFonts w:ascii="仿宋_GB2312" w:hAnsi="仿宋_GB2312" w:cs="仿宋_GB2312" w:eastAsia="仿宋_GB2312"/>
        </w:rPr>
        <w:t>30日内交付合同标的物设备到货。</w:t>
      </w:r>
    </w:p>
    <w:p>
      <w:pPr>
        <w:pStyle w:val="null3"/>
        <w:ind w:firstLine="480"/>
        <w:jc w:val="left"/>
      </w:pPr>
      <w:r>
        <w:rPr>
          <w:rFonts w:ascii="仿宋_GB2312" w:hAnsi="仿宋_GB2312" w:cs="仿宋_GB2312" w:eastAsia="仿宋_GB2312"/>
        </w:rPr>
        <w:t>7、</w:t>
      </w:r>
      <w:r>
        <w:rPr>
          <w:rFonts w:ascii="仿宋_GB2312" w:hAnsi="仿宋_GB2312" w:cs="仿宋_GB2312" w:eastAsia="仿宋_GB2312"/>
        </w:rPr>
        <w:t>交货流程：在货物到达使用单位后，卖方应在</w:t>
      </w:r>
      <w:r>
        <w:rPr>
          <w:rFonts w:ascii="仿宋_GB2312" w:hAnsi="仿宋_GB2312" w:cs="仿宋_GB2312" w:eastAsia="仿宋_GB2312"/>
        </w:rPr>
        <w:t>15天内派工程技术人员到达现场，在各市县使用单位技术人员在场的情况下开箱清点货物，组织安装调试，并承担因此发生的一切费用。</w:t>
      </w:r>
    </w:p>
    <w:p>
      <w:pPr>
        <w:pStyle w:val="null3"/>
        <w:ind w:firstLine="480"/>
        <w:jc w:val="left"/>
      </w:pPr>
      <w:r>
        <w:rPr>
          <w:rFonts w:ascii="仿宋_GB2312" w:hAnsi="仿宋_GB2312" w:cs="仿宋_GB2312" w:eastAsia="仿宋_GB2312"/>
        </w:rPr>
        <w:t>8、付款方式：</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1）合同签订后15天内, 乙方出具合同总价款70%的银行保函原件（期限一年，若设备在一年内未能通过验收，乙方应无条件将保函时间延长至设备通过验收为止），用于证明乙方有良好的资信状况、较强的履约能力，甲方向乙方支付合同总价款70%作为预付款。</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2）设备到货、安装调试以及培训结束，验收合格后，乙方向各市县使用单位提交设备使用说明书、维修手册、合格证、保修单、安装验收报告和正规的全额税务发票等全部材料，并通过正式验收合格后，乙方向甲方提交合同总价款5%的银行保函原件（期限为设备验收合格之日起一年），甲方退还70%银行保函原件，法定期限内甲方向乙方支付合同总价款30%。</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3）设备验收合格之日起一年后，经确认乙方所提供设备无任何产品质量、售后问题，退还乙方合同总价款5%的银行保函原件。</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4）甲方/丙方见票付款，乙方应于付款前，按照甲方/丙方要求，向甲方/丙方提供等额增值税发票，甲方/丙方收到发票后支付相应款项。乙方未提供发票的，甲方/丙方有权暂时不予支付款项，且无需承担违约责任。</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26,800,000.00</w:t>
      </w:r>
    </w:p>
    <w:p>
      <w:pPr>
        <w:pStyle w:val="null3"/>
        <w:jc w:val="left"/>
      </w:pPr>
      <w:r>
        <w:rPr>
          <w:rFonts w:ascii="仿宋_GB2312" w:hAnsi="仿宋_GB2312" w:cs="仿宋_GB2312" w:eastAsia="仿宋_GB2312"/>
        </w:rPr>
        <w:t>采购包最高限价（元）: 26,800,000.00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自动体外除颤仪（AED）</w:t>
            </w:r>
          </w:p>
        </w:tc>
        <w:tc>
          <w:tcPr>
            <w:tcW w:type="dxa" w:w="831"/>
          </w:tcPr>
          <w:p>
            <w:pPr>
              <w:pStyle w:val="null3"/>
              <w:jc w:val="right"/>
            </w:pPr>
            <w:r>
              <w:rPr>
                <w:rFonts w:ascii="仿宋_GB2312" w:hAnsi="仿宋_GB2312" w:cs="仿宋_GB2312" w:eastAsia="仿宋_GB2312"/>
              </w:rPr>
              <w:t>1,340.00</w:t>
            </w:r>
          </w:p>
        </w:tc>
        <w:tc>
          <w:tcPr>
            <w:tcW w:type="dxa" w:w="831"/>
          </w:tcPr>
          <w:p>
            <w:pPr>
              <w:pStyle w:val="null3"/>
              <w:jc w:val="right"/>
            </w:pPr>
            <w:r>
              <w:rPr>
                <w:rFonts w:ascii="仿宋_GB2312" w:hAnsi="仿宋_GB2312" w:cs="仿宋_GB2312" w:eastAsia="仿宋_GB2312"/>
              </w:rPr>
              <w:t>26,800,000.00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自动体外除颤仪（AED）</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超出采购预算金额（最高限价）的报价，按无效投标处理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标的名称：自动体外除颤仪（AED）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2"/>
              <w:gridCol w:w="212"/>
              <w:gridCol w:w="2179"/>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参数性质</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技术参数与性能指标</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技术参数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除颤仪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除颤方式为半自动，具备成人、儿童心律自动分析和除颤功能。</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标配</w:t>
                  </w:r>
                  <w:r>
                    <w:rPr>
                      <w:rFonts w:ascii="仿宋_GB2312" w:hAnsi="仿宋_GB2312" w:cs="仿宋_GB2312" w:eastAsia="仿宋_GB2312"/>
                      <w:sz w:val="21"/>
                      <w:color w:val="000000"/>
                    </w:rPr>
                    <w:t>CPR胸外按压反馈器，可对按压深度、频率进行实时反馈</w:t>
                  </w:r>
                  <w:r>
                    <w:rPr>
                      <w:rFonts w:ascii="仿宋_GB2312" w:hAnsi="仿宋_GB2312" w:cs="仿宋_GB2312" w:eastAsia="仿宋_GB2312"/>
                      <w:sz w:val="21"/>
                      <w:color w:val="000000"/>
                    </w:rPr>
                    <w:t>；</w:t>
                  </w:r>
                  <w:r>
                    <w:rPr>
                      <w:rFonts w:ascii="仿宋_GB2312" w:hAnsi="仿宋_GB2312" w:cs="仿宋_GB2312" w:eastAsia="仿宋_GB2312"/>
                      <w:sz w:val="21"/>
                      <w:color w:val="000000"/>
                    </w:rPr>
                    <w:t>语音提示功能至少具有中文、英文</w:t>
                  </w:r>
                  <w:r>
                    <w:rPr>
                      <w:rFonts w:ascii="仿宋_GB2312" w:hAnsi="仿宋_GB2312" w:cs="仿宋_GB2312" w:eastAsia="仿宋_GB2312"/>
                      <w:sz w:val="21"/>
                      <w:color w:val="000000"/>
                    </w:rPr>
                    <w:t>2种语种。</w:t>
                  </w:r>
                  <w:r>
                    <w:rPr>
                      <w:rFonts w:ascii="仿宋_GB2312" w:hAnsi="仿宋_GB2312" w:cs="仿宋_GB2312" w:eastAsia="仿宋_GB2312"/>
                      <w:sz w:val="21"/>
                      <w:color w:val="000000"/>
                    </w:rPr>
                    <w:t xml:space="preserve"> </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具有心肺复苏全程数据储存和下载。</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设备功能状态定期自动检查，面板具有状态指示功能。</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具有双相波技术，支持成人以及儿童，波形参数可根据病人阻抗进行自动补偿。</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出厂设置输出能量</w:t>
                  </w:r>
                  <w:r>
                    <w:rPr>
                      <w:rFonts w:ascii="仿宋_GB2312" w:hAnsi="仿宋_GB2312" w:cs="仿宋_GB2312" w:eastAsia="仿宋_GB2312"/>
                      <w:sz w:val="21"/>
                      <w:color w:val="000000"/>
                    </w:rPr>
                    <w:t>:八岁以上儿童及成人除颤能量为200J（可调）；八岁以下儿童除颤能量为50J和70J（可调）。</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从心率分析至</w:t>
                  </w:r>
                  <w:r>
                    <w:rPr>
                      <w:rFonts w:ascii="仿宋_GB2312" w:hAnsi="仿宋_GB2312" w:cs="仿宋_GB2312" w:eastAsia="仿宋_GB2312"/>
                      <w:sz w:val="21"/>
                      <w:color w:val="000000"/>
                    </w:rPr>
                    <w:t>200J充电完成时间≤5秒。</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抗冲击</w:t>
                  </w:r>
                  <w:r>
                    <w:rPr>
                      <w:rFonts w:ascii="仿宋_GB2312" w:hAnsi="仿宋_GB2312" w:cs="仿宋_GB2312" w:eastAsia="仿宋_GB2312"/>
                      <w:sz w:val="21"/>
                      <w:color w:val="000000"/>
                    </w:rPr>
                    <w:t>/跌落性能：具备抗冲击/跌落性能，机器可承受≥1.5m跌落冲击无损。</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≥7种心律分析。</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主机使用有效期</w:t>
                  </w:r>
                  <w:r>
                    <w:rPr>
                      <w:rFonts w:ascii="仿宋_GB2312" w:hAnsi="仿宋_GB2312" w:cs="仿宋_GB2312" w:eastAsia="仿宋_GB2312"/>
                      <w:sz w:val="21"/>
                      <w:color w:val="000000"/>
                    </w:rPr>
                    <w:t>≥120个月</w:t>
                  </w:r>
                  <w:r>
                    <w:rPr>
                      <w:rFonts w:ascii="仿宋_GB2312" w:hAnsi="仿宋_GB2312" w:cs="仿宋_GB2312" w:eastAsia="仿宋_GB2312"/>
                      <w:sz w:val="21"/>
                      <w:color w:val="000000"/>
                    </w:rPr>
                    <w:t>。</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适用范围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适用于无意识、无正常呼吸、无脉搏跳动或循环迹象的疑似心搏骤停患者。</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具有除颤及反馈、心电图显示功能。</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除颤后内置语音反馈功能，可指导急救人员进行有效心肺复苏。</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显示器</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除颤器具备显示器。</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显示内容：心电波形图、除颤次数等。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≥7英寸。</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仪器自检及设备状态指示器</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设备具有定期自检功能，自检间隔时间：每周至少一次。</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可以随时进行手动检查，以确保设备功能良好。</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产品具有设备状态彩色指示器。</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数据记录、储存及通讯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标配储存器。</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设备标配内部存储容量</w:t>
                  </w:r>
                  <w:r>
                    <w:rPr>
                      <w:rFonts w:ascii="仿宋_GB2312" w:hAnsi="仿宋_GB2312" w:cs="仿宋_GB2312" w:eastAsia="仿宋_GB2312"/>
                      <w:sz w:val="21"/>
                      <w:color w:val="000000"/>
                    </w:rPr>
                    <w:t>≥1GB。</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储存器可储存自检记录、</w:t>
                  </w:r>
                  <w:r>
                    <w:rPr>
                      <w:rFonts w:ascii="仿宋_GB2312" w:hAnsi="仿宋_GB2312" w:cs="仿宋_GB2312" w:eastAsia="仿宋_GB2312"/>
                      <w:sz w:val="21"/>
                      <w:color w:val="000000"/>
                    </w:rPr>
                    <w:t>ECG波形记录、事件数据、现场录音记录等。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免费提供安装数据分析软件，并免费升级软件。</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数据分析软件能回放、打印急救全程的心电图全览图、除颤参数。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电池</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待机备用时间：</w:t>
                  </w:r>
                  <w:r>
                    <w:rPr>
                      <w:rFonts w:ascii="仿宋_GB2312" w:hAnsi="仿宋_GB2312" w:cs="仿宋_GB2312" w:eastAsia="仿宋_GB2312"/>
                      <w:sz w:val="21"/>
                      <w:color w:val="000000"/>
                    </w:rPr>
                    <w:t>≥5年。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电池容量：可满足</w:t>
                  </w:r>
                  <w:r>
                    <w:rPr>
                      <w:rFonts w:ascii="仿宋_GB2312" w:hAnsi="仿宋_GB2312" w:cs="仿宋_GB2312" w:eastAsia="仿宋_GB2312"/>
                      <w:sz w:val="21"/>
                      <w:color w:val="000000"/>
                    </w:rPr>
                    <w:t>≥200次最大能量的除颤。</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电极片有效期</w:t>
                  </w:r>
                  <w:r>
                    <w:rPr>
                      <w:rFonts w:ascii="仿宋_GB2312" w:hAnsi="仿宋_GB2312" w:cs="仿宋_GB2312" w:eastAsia="仿宋_GB2312"/>
                      <w:sz w:val="21"/>
                      <w:color w:val="000000"/>
                    </w:rPr>
                    <w:t>≥3年。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物理参数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防微粒和防水性级别</w:t>
                  </w:r>
                  <w:r>
                    <w:rPr>
                      <w:rFonts w:ascii="仿宋_GB2312" w:hAnsi="仿宋_GB2312" w:cs="仿宋_GB2312" w:eastAsia="仿宋_GB2312"/>
                      <w:sz w:val="21"/>
                      <w:color w:val="000000"/>
                    </w:rPr>
                    <w:t>≥IP55。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≤2.6千克。</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配置清单</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除颤仪（包括电池、电极片等配件）</w:t>
                  </w:r>
                  <w:r>
                    <w:rPr>
                      <w:rFonts w:ascii="仿宋_GB2312" w:hAnsi="仿宋_GB2312" w:cs="仿宋_GB2312" w:eastAsia="仿宋_GB2312"/>
                      <w:sz w:val="21"/>
                      <w:color w:val="000000"/>
                    </w:rPr>
                    <w:t>1个。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除颤仪外包保护壳或保护袋</w:t>
                  </w:r>
                  <w:r>
                    <w:rPr>
                      <w:rFonts w:ascii="仿宋_GB2312" w:hAnsi="仿宋_GB2312" w:cs="仿宋_GB2312" w:eastAsia="仿宋_GB2312"/>
                      <w:sz w:val="21"/>
                      <w:color w:val="000000"/>
                    </w:rPr>
                    <w:t>1个。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急救附件包（至少包含一次性手套、剪刀、刮毛刀等）</w:t>
                  </w:r>
                  <w:r>
                    <w:rPr>
                      <w:rFonts w:ascii="仿宋_GB2312" w:hAnsi="仿宋_GB2312" w:cs="仿宋_GB2312" w:eastAsia="仿宋_GB2312"/>
                      <w:sz w:val="21"/>
                      <w:color w:val="000000"/>
                    </w:rPr>
                    <w:t>1套。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壁挂式除颤仪存放箱（无锁，磁铁自吸，材质为镀锌钢板，厚度</w:t>
                  </w:r>
                  <w:r>
                    <w:rPr>
                      <w:rFonts w:ascii="仿宋_GB2312" w:hAnsi="仿宋_GB2312" w:cs="仿宋_GB2312" w:eastAsia="仿宋_GB2312"/>
                      <w:sz w:val="21"/>
                      <w:color w:val="000000"/>
                    </w:rPr>
                    <w:t>≥1.2mm，具备耐压耐腐蚀和防晒防水功能）1个 。</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4"/>
              <w:gridCol w:w="148"/>
              <w:gridCol w:w="2141"/>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商务要求性质</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2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商务要求明细</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售后服务要求</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在主机使用有效期内免费保修（包括电池、电极片等配件免费更换）。</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在货物到达使用单位后，卖方应在</w:t>
                  </w:r>
                  <w:r>
                    <w:rPr>
                      <w:rFonts w:ascii="仿宋_GB2312" w:hAnsi="仿宋_GB2312" w:cs="仿宋_GB2312" w:eastAsia="仿宋_GB2312"/>
                      <w:sz w:val="21"/>
                      <w:color w:val="000000"/>
                    </w:rPr>
                    <w:t>15天内派工程技术人员到达现场，在买方技术人员在场的情况下开箱清点货物，组织安装调试，并承担因此发生的一切费用。</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供应商须提供详细的售后服务承诺，并提供</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24小时技术支持服务，保修期内设备出现故障，必须在收到使用单位通知后2小时响应，8小时内到达现场处理故障。</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自验收合格日起，供应商负责所有产品的维修、维护和保养，升级等跟踪服务，保修期内不再收取任何费用，维修不能解决的，按原型号或升级型号进行免费更换，更换和填充破损、抢救使用后的配件及耗材等。</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供应商提供终身上门维修服务，由此产生的一切费用均由供应商自行承担。</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供应商负责在</w:t>
                  </w:r>
                  <w:r>
                    <w:rPr>
                      <w:rFonts w:ascii="仿宋_GB2312" w:hAnsi="仿宋_GB2312" w:cs="仿宋_GB2312" w:eastAsia="仿宋_GB2312"/>
                      <w:sz w:val="21"/>
                      <w:color w:val="000000"/>
                    </w:rPr>
                    <w:t>AED安装处设置明显指引牌。</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具有</w:t>
                  </w:r>
                  <w:r>
                    <w:rPr>
                      <w:rFonts w:ascii="仿宋_GB2312" w:hAnsi="仿宋_GB2312" w:cs="仿宋_GB2312" w:eastAsia="仿宋_GB2312"/>
                      <w:sz w:val="21"/>
                      <w:color w:val="000000"/>
                    </w:rPr>
                    <w:t>AED智能管理系统，能监测设备使用等情况。免费提供13个账号供市县卫生健康委管理使用。</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供应商提供每台设备每年一次的使用巡检，并形成巡检情况报告交由各市县卫健委存档。</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供应商应专设客户呼叫中心并提供热线号码，全天候</w:t>
                  </w:r>
                  <w:r>
                    <w:rPr>
                      <w:rFonts w:ascii="仿宋_GB2312" w:hAnsi="仿宋_GB2312" w:cs="仿宋_GB2312" w:eastAsia="仿宋_GB2312"/>
                      <w:sz w:val="21"/>
                      <w:color w:val="000000"/>
                    </w:rPr>
                    <w:t>24小时接听服务申告及客户投诉，供客户及时反馈各种产品使用情况，为客户解决实际问题，在第一时间响应并全程监控客户的需求。</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产品培训：供应商应对安装产品的单位（总共</w:t>
                  </w:r>
                  <w:r>
                    <w:rPr>
                      <w:rFonts w:ascii="仿宋_GB2312" w:hAnsi="仿宋_GB2312" w:cs="仿宋_GB2312" w:eastAsia="仿宋_GB2312"/>
                      <w:sz w:val="21"/>
                      <w:color w:val="000000"/>
                    </w:rPr>
                    <w:t>1340个村卫生室，每个村卫生室≥1人）进行免费培训，培训合格后由省级及以上红十字会颁发的培训合格证。</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文件中《第五章 政府采购合同》的合同模板为系统推送模板，实际签署合同版本以采购人提供《医疗设备购销合同》模板为主，具体详见附件：《医疗设备购销合同》。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具备特定行业法定准入要求</w:t>
            </w:r>
          </w:p>
        </w:tc>
        <w:tc>
          <w:tcPr>
            <w:tcW w:type="dxa" w:w="3322"/>
          </w:tcPr>
          <w:p>
            <w:pPr>
              <w:pStyle w:val="null3"/>
              <w:jc w:val="left"/>
            </w:pPr>
            <w:r>
              <w:rPr>
                <w:rFonts w:ascii="仿宋_GB2312" w:hAnsi="仿宋_GB2312" w:cs="仿宋_GB2312" w:eastAsia="仿宋_GB2312"/>
              </w:rPr>
              <w:t>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提供相关资质证书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医疗设备购销合同 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w:t>
            </w:r>
          </w:p>
        </w:tc>
        <w:tc>
          <w:tcPr>
            <w:tcW w:type="dxa" w:w="2492"/>
          </w:tcPr>
          <w:p>
            <w:pPr>
              <w:pStyle w:val="null3"/>
              <w:jc w:val="both"/>
            </w:pPr>
            <w:r>
              <w:rPr>
                <w:rFonts w:ascii="仿宋_GB2312" w:hAnsi="仿宋_GB2312" w:cs="仿宋_GB2312" w:eastAsia="仿宋_GB2312"/>
              </w:rPr>
              <w:t>一、重点参数（★号和▲号）的响应技术条款按以下要求赋分： 1.带★号条款为必须满足的关键指标，如不满足则视为无效投标； 2.带▲号条款共2条为核心参数，满分10分，不满足一项扣5分。 2.★号项为必须满足项，不满足按无效投标处理。▲号项为重要技术参数，不满足做扣分处理。非★▲号为一般技术参数，不满足做扣分处理。 3.★号、▲号条款技术参数须提供技术支持证明材料，技术支持资料包括以下任意一种形式：（技术支持资料必须加盖制造商公章） （1） 国家认可的检测机构出具的检测报告； （2） 货物制造商盖章的技术参数确认函； （3） 货物制造商盖章的产品白皮书。 4.一般参数（非▲号、★号的其他指标）应在投标文件中提供货物制造商盖章的技术参数确认函，否则视为负偏离。 5.标注“★ ”的商务条款须提供承诺函。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w:t>
            </w:r>
          </w:p>
        </w:tc>
        <w:tc>
          <w:tcPr>
            <w:tcW w:type="dxa" w:w="2492"/>
          </w:tcPr>
          <w:p>
            <w:pPr>
              <w:pStyle w:val="null3"/>
              <w:jc w:val="both"/>
            </w:pPr>
            <w:r>
              <w:rPr>
                <w:rFonts w:ascii="仿宋_GB2312" w:hAnsi="仿宋_GB2312" w:cs="仿宋_GB2312" w:eastAsia="仿宋_GB2312"/>
              </w:rPr>
              <w:t>二、一般参数（非★号和▲号的其他参数）的响应技术参数共22条，按以下要求赋分： A：一般技术参数完全满足，得45分； B：一般技术参数不满足1～10项区间时，每不满足一条参数扣2.5分； C：一般技术参数不满足11～20项区间时，每不满足一条参数扣1.8分； D：一般技术参数不满足21～22项区间时，每不满足一条参数扣1分； 最低得0分，漏报技术条款视为不满足。 注：上述1～10项、11～20项、21～22项与参数的不满足条款数量相关，不涉及参数所对应序号。 示例：如负偏离15项，投标人扣分=10项×2.5分+（15项-10项）×1.8分=10×2.5+5×1.8=34分，得分45分-34分=11分</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项目实施方案（包括但不限于）：供货保障流程及要点、进度控制、安装调试实施步骤、备品备件情况、校验验收等内容。根据投标人提供的方案进行比较评分：技术方案以及项目实施服务计划完整丰富且不缺项漏项：5分；内容缺项漏项，每缺一项扣1分；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应急处理保障方案</w:t>
            </w:r>
          </w:p>
        </w:tc>
        <w:tc>
          <w:tcPr>
            <w:tcW w:type="dxa" w:w="2492"/>
          </w:tcPr>
          <w:p>
            <w:pPr>
              <w:pStyle w:val="null3"/>
              <w:jc w:val="both"/>
            </w:pPr>
            <w:r>
              <w:rPr>
                <w:rFonts w:ascii="仿宋_GB2312" w:hAnsi="仿宋_GB2312" w:cs="仿宋_GB2312" w:eastAsia="仿宋_GB2312"/>
              </w:rPr>
              <w:t>应急处理保障方案（包括但不限于）：应急处理方案、保障方案、应急处理保障人员配备安排、应急处理保障响应时间等内容。根据投标人提供的方案进行比较评分：单项内容详细完整，步骤有序，且方案整体简操作，能较有针对性提出解决建议，优于采购需求，实施过程务实的，得2.5分；内容缺项漏项，每缺一项扣0.5分；未提供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售后服务方案（包括但不限于）：售后服务方案、维修维保方案、售后服务人员配备、售后服务响应时间等内容。根据投标人提供的方案进行比较评分：单项内容详细完整，步骤有序，且方案整体简 操作，能较有针对性提出解决建议，优于采购需求，实施过程务实的得2.5分；内容缺项漏项，每缺一项扣0.5分；未提供不得分。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使用部门人员培训方案</w:t>
            </w:r>
          </w:p>
        </w:tc>
        <w:tc>
          <w:tcPr>
            <w:tcW w:type="dxa" w:w="2492"/>
          </w:tcPr>
          <w:p>
            <w:pPr>
              <w:pStyle w:val="null3"/>
              <w:jc w:val="both"/>
            </w:pPr>
            <w:r>
              <w:rPr>
                <w:rFonts w:ascii="仿宋_GB2312" w:hAnsi="仿宋_GB2312" w:cs="仿宋_GB2312" w:eastAsia="仿宋_GB2312"/>
              </w:rPr>
              <w:t>培训方案（包括但不限于）：产品应用培训、操作培训和维护培训及提供其他形式培训的情况等内容。根据投标人提供的方案进行比较评分：单项内容详细完整，步骤有序，且方案整体简操作，能较有针对性提出解决建议，优于采购需求，实施过程务实的得2.5分；内容缺项漏项，每缺一项扣0.5分；未提供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包括但不限于）：质保期内的承诺、设备出现故障和缺陷后的解决方案、响应时间、质保期满后的相关服务、生产厂家的技术支持等内容。根据投标人提供的方案进行比较评分：单项内容详细完整，步骤有序，且方案整体简操作，能较有针对性提出解决建议，优于采购需求，实施过程务实的得2.5分；内容缺项漏项，每缺一项扣0.5分；未提供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村卫生室除颤仪配备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2025年省级民生实事项目（村卫生室除颤仪）</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自动体外除颤仪（AED）</w:t>
            </w:r>
          </w:p>
        </w:tc>
        <w:tc>
          <w:tcPr>
            <w:tcW w:type="dxa" w:w="831"/>
          </w:tcPr>
          <w:p>
            <w:pPr>
              <w:pStyle w:val="null3"/>
              <w:jc w:val="left"/>
            </w:pPr>
            <w:r>
              <w:rPr>
                <w:rFonts w:ascii="仿宋_GB2312" w:hAnsi="仿宋_GB2312" w:cs="仿宋_GB2312" w:eastAsia="仿宋_GB2312"/>
              </w:rPr>
              <w:t xml:space="preserve"> 1340.00套</w:t>
            </w:r>
          </w:p>
        </w:tc>
        <w:tc>
          <w:tcPr>
            <w:tcW w:type="dxa" w:w="831"/>
          </w:tcPr>
          <w:p>
            <w:pPr>
              <w:pStyle w:val="null3"/>
              <w:jc w:val="left"/>
            </w:pPr>
            <w:r>
              <w:rPr>
                <w:rFonts w:ascii="仿宋_GB2312" w:hAnsi="仿宋_GB2312" w:cs="仿宋_GB2312" w:eastAsia="仿宋_GB2312"/>
              </w:rPr>
              <w:t xml:space="preserve"> 26800000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详见附件：医疗设备购销合同</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