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E70E7C">
      <w:pPr>
        <w:pStyle w:val="2"/>
        <w:numPr>
          <w:ilvl w:val="1"/>
          <w:numId w:val="0"/>
        </w:numPr>
        <w:bidi w:val="0"/>
        <w:ind w:leftChars="0"/>
        <w:jc w:val="cente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采购包1采购合同</w:t>
      </w:r>
    </w:p>
    <w:p w14:paraId="0DF54E08">
      <w:pPr>
        <w:spacing w:line="500" w:lineRule="exact"/>
        <w:rPr>
          <w:rFonts w:asciiTheme="minorEastAsia" w:hAnsiTheme="minorEastAsia" w:eastAsiaTheme="minorEastAsia"/>
          <w:b/>
          <w:color w:val="000000" w:themeColor="text1"/>
          <w:sz w:val="24"/>
          <w:highlight w:val="none"/>
          <w:u w:val="single"/>
          <w14:textFill>
            <w14:solidFill>
              <w14:schemeClr w14:val="tx1"/>
            </w14:solidFill>
          </w14:textFill>
        </w:rPr>
      </w:pPr>
      <w:r>
        <w:rPr>
          <w:rFonts w:hint="eastAsia" w:asciiTheme="minorEastAsia" w:hAnsiTheme="minorEastAsia" w:eastAsiaTheme="minorEastAsia"/>
          <w:b/>
          <w:color w:val="000000" w:themeColor="text1"/>
          <w:sz w:val="24"/>
          <w:highlight w:val="none"/>
          <w14:textFill>
            <w14:solidFill>
              <w14:schemeClr w14:val="tx1"/>
            </w14:solidFill>
          </w14:textFill>
        </w:rPr>
        <w:t>甲方:</w:t>
      </w:r>
    </w:p>
    <w:p w14:paraId="1CB9D1E7">
      <w:pPr>
        <w:spacing w:line="500" w:lineRule="exact"/>
        <w:rPr>
          <w:rFonts w:asciiTheme="minorEastAsia" w:hAnsiTheme="minorEastAsia" w:eastAsiaTheme="minorEastAsia"/>
          <w:b/>
          <w:color w:val="000000" w:themeColor="text1"/>
          <w:sz w:val="24"/>
          <w:highlight w:val="none"/>
          <w:u w:val="single"/>
          <w14:textFill>
            <w14:solidFill>
              <w14:schemeClr w14:val="tx1"/>
            </w14:solidFill>
          </w14:textFill>
        </w:rPr>
      </w:pPr>
      <w:r>
        <w:rPr>
          <w:rFonts w:hint="eastAsia" w:asciiTheme="minorEastAsia" w:hAnsiTheme="minorEastAsia" w:eastAsiaTheme="minorEastAsia"/>
          <w:b/>
          <w:color w:val="000000" w:themeColor="text1"/>
          <w:sz w:val="24"/>
          <w:highlight w:val="none"/>
          <w14:textFill>
            <w14:solidFill>
              <w14:schemeClr w14:val="tx1"/>
            </w14:solidFill>
          </w14:textFill>
        </w:rPr>
        <w:t>乙方:</w:t>
      </w:r>
    </w:p>
    <w:p w14:paraId="2C3E4A33">
      <w:pPr>
        <w:spacing w:line="360" w:lineRule="auto"/>
        <w:ind w:firstLine="480" w:firstLineChars="200"/>
        <w:rPr>
          <w:rFonts w:asciiTheme="minorEastAsia" w:hAnsiTheme="minorEastAsia" w:eastAsiaTheme="minorEastAsia"/>
          <w:b/>
          <w:color w:val="000000" w:themeColor="text1"/>
          <w:kern w:val="2"/>
          <w:sz w:val="36"/>
          <w:szCs w:val="36"/>
          <w:highlight w:val="non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甲乙双方根据年月日</w:t>
      </w:r>
      <w:r>
        <w:rPr>
          <w:rFonts w:hint="eastAsia" w:asciiTheme="minorEastAsia" w:hAnsiTheme="minorEastAsia" w:eastAsiaTheme="minorEastAsia"/>
          <w:color w:val="000000" w:themeColor="text1"/>
          <w:sz w:val="24"/>
          <w:szCs w:val="30"/>
          <w:highlight w:val="none"/>
          <w:u w:val="single"/>
          <w14:textFill>
            <w14:solidFill>
              <w14:schemeClr w14:val="tx1"/>
            </w14:solidFill>
          </w14:textFill>
        </w:rPr>
        <w:t>（项目名称）</w:t>
      </w:r>
      <w:r>
        <w:rPr>
          <w:rFonts w:hint="eastAsia" w:asciiTheme="minorEastAsia" w:hAnsiTheme="minorEastAsia" w:eastAsiaTheme="minorEastAsia"/>
          <w:color w:val="000000" w:themeColor="text1"/>
          <w:sz w:val="24"/>
          <w:highlight w:val="none"/>
          <w14:textFill>
            <w14:solidFill>
              <w14:schemeClr w14:val="tx1"/>
            </w14:solidFill>
          </w14:textFill>
        </w:rPr>
        <w:t>（招标编号:</w:t>
      </w:r>
      <w:r>
        <w:rPr>
          <w:rFonts w:hint="eastAsia" w:asciiTheme="minorEastAsia" w:hAnsiTheme="minorEastAsia" w:eastAsiaTheme="minorEastAsia"/>
          <w:color w:val="000000" w:themeColor="text1"/>
          <w:sz w:val="24"/>
          <w:highlight w:val="none"/>
          <w:u w:val="single"/>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4"/>
          <w:highlight w:val="none"/>
          <w14:textFill>
            <w14:solidFill>
              <w14:schemeClr w14:val="tx1"/>
            </w14:solidFill>
          </w14:textFill>
        </w:rPr>
        <w:t>）中标（成交）结果及采购文件的要求,经协商一致,同意以下专用条款作为本项目合同条款的补充。当合同条款与专用条款不一致时，以专用条款为准。</w:t>
      </w:r>
    </w:p>
    <w:p w14:paraId="25D76D4D">
      <w:pP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一、合同标的及金额等(详见附件清单)</w:t>
      </w:r>
    </w:p>
    <w:tbl>
      <w:tblPr>
        <w:tblStyle w:val="7"/>
        <w:tblW w:w="9000" w:type="dxa"/>
        <w:tblInd w:w="-150" w:type="dxa"/>
        <w:tblLayout w:type="fixed"/>
        <w:tblCellMar>
          <w:top w:w="0" w:type="dxa"/>
          <w:left w:w="30" w:type="dxa"/>
          <w:bottom w:w="0" w:type="dxa"/>
          <w:right w:w="30" w:type="dxa"/>
        </w:tblCellMar>
      </w:tblPr>
      <w:tblGrid>
        <w:gridCol w:w="720"/>
        <w:gridCol w:w="2700"/>
        <w:gridCol w:w="1620"/>
        <w:gridCol w:w="1080"/>
        <w:gridCol w:w="1440"/>
        <w:gridCol w:w="1440"/>
      </w:tblGrid>
      <w:tr w14:paraId="40150667">
        <w:tblPrEx>
          <w:tblCellMar>
            <w:top w:w="0" w:type="dxa"/>
            <w:left w:w="30" w:type="dxa"/>
            <w:bottom w:w="0" w:type="dxa"/>
            <w:right w:w="30" w:type="dxa"/>
          </w:tblCellMar>
        </w:tblPrEx>
        <w:trPr>
          <w:trHeight w:val="593" w:hRule="exact"/>
        </w:trPr>
        <w:tc>
          <w:tcPr>
            <w:tcW w:w="720" w:type="dxa"/>
            <w:tcBorders>
              <w:top w:val="single" w:color="auto" w:sz="8" w:space="0"/>
              <w:left w:val="single" w:color="auto" w:sz="8" w:space="0"/>
              <w:bottom w:val="single" w:color="auto" w:sz="8" w:space="0"/>
              <w:right w:val="single" w:color="auto" w:sz="8" w:space="0"/>
            </w:tcBorders>
            <w:vAlign w:val="center"/>
          </w:tcPr>
          <w:p w14:paraId="650769AD">
            <w:pPr>
              <w:autoSpaceDE w:val="0"/>
              <w:autoSpaceDN w:val="0"/>
              <w:spacing w:line="315" w:lineRule="atLeast"/>
              <w:jc w:val="center"/>
              <w:rPr>
                <w:rFonts w:cs="Arial" w:asciiTheme="minorEastAsia" w:hAnsiTheme="minorEastAsia" w:eastAsiaTheme="minorEastAsia"/>
                <w:b/>
                <w:color w:val="000000" w:themeColor="text1"/>
                <w:sz w:val="24"/>
                <w:szCs w:val="21"/>
                <w:highlight w:val="none"/>
                <w14:textFill>
                  <w14:solidFill>
                    <w14:schemeClr w14:val="tx1"/>
                  </w14:solidFill>
                </w14:textFill>
              </w:rPr>
            </w:pPr>
            <w:r>
              <w:rPr>
                <w:rFonts w:hint="eastAsia" w:cs="Arial" w:asciiTheme="minorEastAsia" w:hAnsiTheme="minorEastAsia" w:eastAsiaTheme="minorEastAsia"/>
                <w:b/>
                <w:color w:val="000000" w:themeColor="text1"/>
                <w:sz w:val="24"/>
                <w:szCs w:val="21"/>
                <w:highlight w:val="none"/>
                <w14:textFill>
                  <w14:solidFill>
                    <w14:schemeClr w14:val="tx1"/>
                  </w14:solidFill>
                </w14:textFill>
              </w:rPr>
              <w:t>序号</w:t>
            </w:r>
          </w:p>
        </w:tc>
        <w:tc>
          <w:tcPr>
            <w:tcW w:w="2700" w:type="dxa"/>
            <w:tcBorders>
              <w:top w:val="single" w:color="auto" w:sz="8" w:space="0"/>
              <w:left w:val="single" w:color="auto" w:sz="8" w:space="0"/>
              <w:bottom w:val="single" w:color="auto" w:sz="8" w:space="0"/>
              <w:right w:val="single" w:color="auto" w:sz="8" w:space="0"/>
            </w:tcBorders>
            <w:vAlign w:val="center"/>
          </w:tcPr>
          <w:p w14:paraId="673FCFE9">
            <w:pPr>
              <w:autoSpaceDE w:val="0"/>
              <w:autoSpaceDN w:val="0"/>
              <w:spacing w:line="315" w:lineRule="atLeast"/>
              <w:jc w:val="center"/>
              <w:rPr>
                <w:rFonts w:cs="Arial" w:asciiTheme="minorEastAsia" w:hAnsiTheme="minorEastAsia" w:eastAsiaTheme="minorEastAsia"/>
                <w:b/>
                <w:color w:val="000000" w:themeColor="text1"/>
                <w:sz w:val="24"/>
                <w:szCs w:val="21"/>
                <w:highlight w:val="none"/>
                <w14:textFill>
                  <w14:solidFill>
                    <w14:schemeClr w14:val="tx1"/>
                  </w14:solidFill>
                </w14:textFill>
              </w:rPr>
            </w:pPr>
            <w:r>
              <w:rPr>
                <w:rFonts w:hint="eastAsia" w:cs="Arial" w:asciiTheme="minorEastAsia" w:hAnsiTheme="minorEastAsia" w:eastAsiaTheme="minorEastAsia"/>
                <w:b/>
                <w:color w:val="000000" w:themeColor="text1"/>
                <w:sz w:val="24"/>
                <w:szCs w:val="21"/>
                <w:highlight w:val="none"/>
                <w14:textFill>
                  <w14:solidFill>
                    <w14:schemeClr w14:val="tx1"/>
                  </w14:solidFill>
                </w14:textFill>
              </w:rPr>
              <w:t>项目名称</w:t>
            </w:r>
          </w:p>
        </w:tc>
        <w:tc>
          <w:tcPr>
            <w:tcW w:w="1620" w:type="dxa"/>
            <w:tcBorders>
              <w:top w:val="single" w:color="auto" w:sz="8" w:space="0"/>
              <w:left w:val="single" w:color="auto" w:sz="8" w:space="0"/>
              <w:bottom w:val="single" w:color="auto" w:sz="8" w:space="0"/>
              <w:right w:val="single" w:color="auto" w:sz="8" w:space="0"/>
            </w:tcBorders>
            <w:vAlign w:val="center"/>
          </w:tcPr>
          <w:p w14:paraId="1E6E2837">
            <w:pPr>
              <w:autoSpaceDE w:val="0"/>
              <w:autoSpaceDN w:val="0"/>
              <w:spacing w:line="315" w:lineRule="atLeast"/>
              <w:jc w:val="center"/>
              <w:rPr>
                <w:rFonts w:cs="Arial" w:asciiTheme="minorEastAsia" w:hAnsiTheme="minorEastAsia" w:eastAsiaTheme="minorEastAsia"/>
                <w:b/>
                <w:color w:val="000000" w:themeColor="text1"/>
                <w:sz w:val="24"/>
                <w:szCs w:val="21"/>
                <w:highlight w:val="none"/>
                <w14:textFill>
                  <w14:solidFill>
                    <w14:schemeClr w14:val="tx1"/>
                  </w14:solidFill>
                </w14:textFill>
              </w:rPr>
            </w:pPr>
            <w:r>
              <w:rPr>
                <w:rFonts w:hint="eastAsia" w:cs="Arial" w:asciiTheme="minorEastAsia" w:hAnsiTheme="minorEastAsia" w:eastAsiaTheme="minorEastAsia"/>
                <w:b/>
                <w:color w:val="000000" w:themeColor="text1"/>
                <w:sz w:val="24"/>
                <w:szCs w:val="21"/>
                <w:highlight w:val="none"/>
                <w14:textFill>
                  <w14:solidFill>
                    <w14:schemeClr w14:val="tx1"/>
                  </w14:solidFill>
                </w14:textFill>
              </w:rPr>
              <w:t>单价</w:t>
            </w:r>
          </w:p>
        </w:tc>
        <w:tc>
          <w:tcPr>
            <w:tcW w:w="1080" w:type="dxa"/>
            <w:tcBorders>
              <w:top w:val="single" w:color="auto" w:sz="8" w:space="0"/>
              <w:left w:val="single" w:color="auto" w:sz="8" w:space="0"/>
              <w:bottom w:val="single" w:color="auto" w:sz="8" w:space="0"/>
              <w:right w:val="single" w:color="auto" w:sz="8" w:space="0"/>
            </w:tcBorders>
            <w:vAlign w:val="center"/>
          </w:tcPr>
          <w:p w14:paraId="28C554BA">
            <w:pPr>
              <w:autoSpaceDE w:val="0"/>
              <w:autoSpaceDN w:val="0"/>
              <w:spacing w:line="315" w:lineRule="atLeast"/>
              <w:jc w:val="center"/>
              <w:rPr>
                <w:rFonts w:cs="Arial" w:asciiTheme="minorEastAsia" w:hAnsiTheme="minorEastAsia" w:eastAsiaTheme="minorEastAsia"/>
                <w:b/>
                <w:color w:val="000000" w:themeColor="text1"/>
                <w:sz w:val="24"/>
                <w:szCs w:val="21"/>
                <w:highlight w:val="none"/>
                <w14:textFill>
                  <w14:solidFill>
                    <w14:schemeClr w14:val="tx1"/>
                  </w14:solidFill>
                </w14:textFill>
              </w:rPr>
            </w:pPr>
            <w:r>
              <w:rPr>
                <w:rFonts w:hint="eastAsia" w:cs="Arial" w:asciiTheme="minorEastAsia" w:hAnsiTheme="minorEastAsia" w:eastAsiaTheme="minorEastAsia"/>
                <w:b/>
                <w:color w:val="000000" w:themeColor="text1"/>
                <w:sz w:val="24"/>
                <w:szCs w:val="21"/>
                <w:highlight w:val="none"/>
                <w14:textFill>
                  <w14:solidFill>
                    <w14:schemeClr w14:val="tx1"/>
                  </w14:solidFill>
                </w14:textFill>
              </w:rPr>
              <w:t>数量</w:t>
            </w:r>
          </w:p>
        </w:tc>
        <w:tc>
          <w:tcPr>
            <w:tcW w:w="1440" w:type="dxa"/>
            <w:tcBorders>
              <w:top w:val="single" w:color="auto" w:sz="8" w:space="0"/>
              <w:left w:val="single" w:color="auto" w:sz="8" w:space="0"/>
              <w:bottom w:val="single" w:color="auto" w:sz="8" w:space="0"/>
              <w:right w:val="single" w:color="auto" w:sz="8" w:space="0"/>
            </w:tcBorders>
            <w:vAlign w:val="center"/>
          </w:tcPr>
          <w:p w14:paraId="7907D44A">
            <w:pPr>
              <w:autoSpaceDE w:val="0"/>
              <w:autoSpaceDN w:val="0"/>
              <w:spacing w:line="315" w:lineRule="atLeast"/>
              <w:jc w:val="center"/>
              <w:rPr>
                <w:rFonts w:cs="Arial" w:asciiTheme="minorEastAsia" w:hAnsiTheme="minorEastAsia" w:eastAsiaTheme="minorEastAsia"/>
                <w:b/>
                <w:color w:val="000000" w:themeColor="text1"/>
                <w:sz w:val="24"/>
                <w:szCs w:val="21"/>
                <w:highlight w:val="none"/>
                <w14:textFill>
                  <w14:solidFill>
                    <w14:schemeClr w14:val="tx1"/>
                  </w14:solidFill>
                </w14:textFill>
              </w:rPr>
            </w:pPr>
            <w:r>
              <w:rPr>
                <w:rFonts w:hint="eastAsia" w:cs="Arial" w:asciiTheme="minorEastAsia" w:hAnsiTheme="minorEastAsia" w:eastAsiaTheme="minorEastAsia"/>
                <w:b/>
                <w:color w:val="000000" w:themeColor="text1"/>
                <w:sz w:val="24"/>
                <w:szCs w:val="21"/>
                <w:highlight w:val="none"/>
                <w14:textFill>
                  <w14:solidFill>
                    <w14:schemeClr w14:val="tx1"/>
                  </w14:solidFill>
                </w14:textFill>
              </w:rPr>
              <w:t>小计</w:t>
            </w:r>
          </w:p>
        </w:tc>
        <w:tc>
          <w:tcPr>
            <w:tcW w:w="1440" w:type="dxa"/>
            <w:tcBorders>
              <w:top w:val="single" w:color="auto" w:sz="8" w:space="0"/>
              <w:left w:val="single" w:color="auto" w:sz="8" w:space="0"/>
              <w:bottom w:val="single" w:color="auto" w:sz="8" w:space="0"/>
              <w:right w:val="single" w:color="auto" w:sz="8" w:space="0"/>
            </w:tcBorders>
            <w:vAlign w:val="center"/>
          </w:tcPr>
          <w:p w14:paraId="68AD5CCF">
            <w:pPr>
              <w:autoSpaceDE w:val="0"/>
              <w:autoSpaceDN w:val="0"/>
              <w:spacing w:line="315" w:lineRule="atLeast"/>
              <w:jc w:val="center"/>
              <w:rPr>
                <w:rFonts w:cs="Arial" w:asciiTheme="minorEastAsia" w:hAnsiTheme="minorEastAsia" w:eastAsiaTheme="minorEastAsia"/>
                <w:b/>
                <w:color w:val="000000" w:themeColor="text1"/>
                <w:sz w:val="24"/>
                <w:szCs w:val="21"/>
                <w:highlight w:val="none"/>
                <w14:textFill>
                  <w14:solidFill>
                    <w14:schemeClr w14:val="tx1"/>
                  </w14:solidFill>
                </w14:textFill>
              </w:rPr>
            </w:pPr>
            <w:r>
              <w:rPr>
                <w:rFonts w:hint="eastAsia" w:cs="Arial" w:asciiTheme="minorEastAsia" w:hAnsiTheme="minorEastAsia" w:eastAsiaTheme="minorEastAsia"/>
                <w:b/>
                <w:color w:val="000000" w:themeColor="text1"/>
                <w:sz w:val="24"/>
                <w:szCs w:val="21"/>
                <w:highlight w:val="none"/>
                <w14:textFill>
                  <w14:solidFill>
                    <w14:schemeClr w14:val="tx1"/>
                  </w14:solidFill>
                </w14:textFill>
              </w:rPr>
              <w:t>备注</w:t>
            </w:r>
          </w:p>
        </w:tc>
      </w:tr>
      <w:tr w14:paraId="00650D92">
        <w:tblPrEx>
          <w:tblCellMar>
            <w:top w:w="0" w:type="dxa"/>
            <w:left w:w="30" w:type="dxa"/>
            <w:bottom w:w="0" w:type="dxa"/>
            <w:right w:w="30" w:type="dxa"/>
          </w:tblCellMar>
        </w:tblPrEx>
        <w:trPr>
          <w:trHeight w:val="653" w:hRule="exact"/>
        </w:trPr>
        <w:tc>
          <w:tcPr>
            <w:tcW w:w="720" w:type="dxa"/>
            <w:tcBorders>
              <w:top w:val="single" w:color="auto" w:sz="8" w:space="0"/>
              <w:left w:val="single" w:color="auto" w:sz="8" w:space="0"/>
              <w:bottom w:val="single" w:color="auto" w:sz="8" w:space="0"/>
              <w:right w:val="single" w:color="auto" w:sz="8" w:space="0"/>
            </w:tcBorders>
            <w:vAlign w:val="center"/>
          </w:tcPr>
          <w:p w14:paraId="3648BD11">
            <w:pPr>
              <w:autoSpaceDE w:val="0"/>
              <w:autoSpaceDN w:val="0"/>
              <w:spacing w:line="315" w:lineRule="atLeast"/>
              <w:jc w:val="center"/>
              <w:rPr>
                <w:rFonts w:cs="Arial" w:asciiTheme="minorEastAsia" w:hAnsiTheme="minorEastAsia" w:eastAsiaTheme="minorEastAsia"/>
                <w:color w:val="000000" w:themeColor="text1"/>
                <w:sz w:val="24"/>
                <w:szCs w:val="21"/>
                <w:highlight w:val="none"/>
                <w14:textFill>
                  <w14:solidFill>
                    <w14:schemeClr w14:val="tx1"/>
                  </w14:solidFill>
                </w14:textFill>
              </w:rPr>
            </w:pPr>
            <w:r>
              <w:rPr>
                <w:rFonts w:hint="eastAsia" w:cs="Arial" w:asciiTheme="minorEastAsia" w:hAnsiTheme="minorEastAsia" w:eastAsiaTheme="minorEastAsia"/>
                <w:color w:val="000000" w:themeColor="text1"/>
                <w:sz w:val="24"/>
                <w:szCs w:val="21"/>
                <w:highlight w:val="none"/>
                <w14:textFill>
                  <w14:solidFill>
                    <w14:schemeClr w14:val="tx1"/>
                  </w14:solidFill>
                </w14:textFill>
              </w:rPr>
              <w:t>1</w:t>
            </w:r>
          </w:p>
        </w:tc>
        <w:tc>
          <w:tcPr>
            <w:tcW w:w="2700" w:type="dxa"/>
            <w:tcBorders>
              <w:top w:val="single" w:color="auto" w:sz="8" w:space="0"/>
              <w:left w:val="single" w:color="auto" w:sz="8" w:space="0"/>
              <w:bottom w:val="single" w:color="auto" w:sz="8" w:space="0"/>
              <w:right w:val="single" w:color="auto" w:sz="8" w:space="0"/>
            </w:tcBorders>
            <w:vAlign w:val="bottom"/>
          </w:tcPr>
          <w:p w14:paraId="3C36FAE5">
            <w:pPr>
              <w:autoSpaceDE w:val="0"/>
              <w:autoSpaceDN w:val="0"/>
              <w:spacing w:line="315" w:lineRule="atLeast"/>
              <w:rPr>
                <w:rFonts w:cs="Arial" w:asciiTheme="minorEastAsia" w:hAnsiTheme="minorEastAsia" w:eastAsiaTheme="minorEastAsia"/>
                <w:color w:val="000000" w:themeColor="text1"/>
                <w:sz w:val="24"/>
                <w:highlight w:val="none"/>
                <w14:textFill>
                  <w14:solidFill>
                    <w14:schemeClr w14:val="tx1"/>
                  </w14:solidFill>
                </w14:textFill>
              </w:rPr>
            </w:pPr>
          </w:p>
        </w:tc>
        <w:tc>
          <w:tcPr>
            <w:tcW w:w="1620" w:type="dxa"/>
            <w:tcBorders>
              <w:top w:val="single" w:color="auto" w:sz="8" w:space="0"/>
              <w:left w:val="single" w:color="auto" w:sz="8" w:space="0"/>
              <w:bottom w:val="single" w:color="auto" w:sz="8" w:space="0"/>
              <w:right w:val="single" w:color="auto" w:sz="8" w:space="0"/>
            </w:tcBorders>
            <w:vAlign w:val="center"/>
          </w:tcPr>
          <w:p w14:paraId="103A19E3">
            <w:pPr>
              <w:autoSpaceDE w:val="0"/>
              <w:autoSpaceDN w:val="0"/>
              <w:spacing w:line="315" w:lineRule="atLeast"/>
              <w:jc w:val="right"/>
              <w:rPr>
                <w:rFonts w:cs="Arial" w:asciiTheme="minorEastAsia" w:hAnsiTheme="minorEastAsia" w:eastAsiaTheme="minorEastAsia"/>
                <w:color w:val="000000" w:themeColor="text1"/>
                <w:sz w:val="24"/>
                <w:szCs w:val="21"/>
                <w:highlight w:val="none"/>
                <w14:textFill>
                  <w14:solidFill>
                    <w14:schemeClr w14:val="tx1"/>
                  </w14:solidFill>
                </w14:textFill>
              </w:rPr>
            </w:pPr>
          </w:p>
        </w:tc>
        <w:tc>
          <w:tcPr>
            <w:tcW w:w="1080" w:type="dxa"/>
            <w:tcBorders>
              <w:top w:val="single" w:color="auto" w:sz="8" w:space="0"/>
              <w:left w:val="single" w:color="auto" w:sz="8" w:space="0"/>
              <w:bottom w:val="single" w:color="auto" w:sz="8" w:space="0"/>
              <w:right w:val="single" w:color="auto" w:sz="8" w:space="0"/>
            </w:tcBorders>
            <w:vAlign w:val="center"/>
          </w:tcPr>
          <w:p w14:paraId="6E0A61CF">
            <w:pPr>
              <w:autoSpaceDE w:val="0"/>
              <w:autoSpaceDN w:val="0"/>
              <w:spacing w:line="315" w:lineRule="atLeast"/>
              <w:jc w:val="right"/>
              <w:rPr>
                <w:rFonts w:cs="Arial" w:asciiTheme="minorEastAsia" w:hAnsiTheme="minorEastAsia" w:eastAsiaTheme="minorEastAsia"/>
                <w:color w:val="000000" w:themeColor="text1"/>
                <w:sz w:val="24"/>
                <w:szCs w:val="21"/>
                <w:highlight w:val="none"/>
                <w14:textFill>
                  <w14:solidFill>
                    <w14:schemeClr w14:val="tx1"/>
                  </w14:solidFill>
                </w14:textFill>
              </w:rPr>
            </w:pPr>
          </w:p>
        </w:tc>
        <w:tc>
          <w:tcPr>
            <w:tcW w:w="1440" w:type="dxa"/>
            <w:tcBorders>
              <w:top w:val="single" w:color="auto" w:sz="8" w:space="0"/>
              <w:left w:val="single" w:color="auto" w:sz="8" w:space="0"/>
              <w:bottom w:val="single" w:color="auto" w:sz="8" w:space="0"/>
              <w:right w:val="single" w:color="auto" w:sz="8" w:space="0"/>
            </w:tcBorders>
          </w:tcPr>
          <w:p w14:paraId="58056EBC">
            <w:pPr>
              <w:autoSpaceDE w:val="0"/>
              <w:autoSpaceDN w:val="0"/>
              <w:spacing w:line="315" w:lineRule="atLeast"/>
              <w:rPr>
                <w:rFonts w:cs="Arial" w:asciiTheme="minorEastAsia" w:hAnsiTheme="minorEastAsia" w:eastAsiaTheme="minorEastAsia"/>
                <w:color w:val="000000" w:themeColor="text1"/>
                <w:sz w:val="24"/>
                <w:szCs w:val="21"/>
                <w:highlight w:val="none"/>
                <w14:textFill>
                  <w14:solidFill>
                    <w14:schemeClr w14:val="tx1"/>
                  </w14:solidFill>
                </w14:textFill>
              </w:rPr>
            </w:pPr>
          </w:p>
        </w:tc>
        <w:tc>
          <w:tcPr>
            <w:tcW w:w="1440" w:type="dxa"/>
            <w:tcBorders>
              <w:top w:val="single" w:color="auto" w:sz="8" w:space="0"/>
              <w:left w:val="single" w:color="auto" w:sz="8" w:space="0"/>
              <w:bottom w:val="single" w:color="auto" w:sz="8" w:space="0"/>
              <w:right w:val="single" w:color="auto" w:sz="8" w:space="0"/>
            </w:tcBorders>
            <w:vAlign w:val="center"/>
          </w:tcPr>
          <w:p w14:paraId="63A49A97">
            <w:pPr>
              <w:autoSpaceDE w:val="0"/>
              <w:autoSpaceDN w:val="0"/>
              <w:spacing w:line="315" w:lineRule="atLeast"/>
              <w:rPr>
                <w:rFonts w:cs="Arial" w:asciiTheme="minorEastAsia" w:hAnsiTheme="minorEastAsia" w:eastAsiaTheme="minorEastAsia"/>
                <w:color w:val="000000" w:themeColor="text1"/>
                <w:sz w:val="24"/>
                <w:szCs w:val="21"/>
                <w:highlight w:val="none"/>
                <w14:textFill>
                  <w14:solidFill>
                    <w14:schemeClr w14:val="tx1"/>
                  </w14:solidFill>
                </w14:textFill>
              </w:rPr>
            </w:pPr>
          </w:p>
        </w:tc>
      </w:tr>
      <w:tr w14:paraId="183D078D">
        <w:tblPrEx>
          <w:tblCellMar>
            <w:top w:w="0" w:type="dxa"/>
            <w:left w:w="30" w:type="dxa"/>
            <w:bottom w:w="0" w:type="dxa"/>
            <w:right w:w="30" w:type="dxa"/>
          </w:tblCellMar>
        </w:tblPrEx>
        <w:trPr>
          <w:trHeight w:val="579" w:hRule="exact"/>
        </w:trPr>
        <w:tc>
          <w:tcPr>
            <w:tcW w:w="720" w:type="dxa"/>
            <w:tcBorders>
              <w:top w:val="single" w:color="auto" w:sz="8" w:space="0"/>
              <w:left w:val="single" w:color="auto" w:sz="8" w:space="0"/>
              <w:bottom w:val="single" w:color="auto" w:sz="8" w:space="0"/>
              <w:right w:val="single" w:color="auto" w:sz="8" w:space="0"/>
            </w:tcBorders>
            <w:vAlign w:val="center"/>
          </w:tcPr>
          <w:p w14:paraId="6065E748">
            <w:pPr>
              <w:autoSpaceDE w:val="0"/>
              <w:autoSpaceDN w:val="0"/>
              <w:spacing w:line="315" w:lineRule="atLeast"/>
              <w:jc w:val="center"/>
              <w:rPr>
                <w:rFonts w:cs="Arial" w:asciiTheme="minorEastAsia" w:hAnsiTheme="minorEastAsia" w:eastAsiaTheme="minorEastAsia"/>
                <w:color w:val="000000" w:themeColor="text1"/>
                <w:sz w:val="24"/>
                <w:szCs w:val="21"/>
                <w:highlight w:val="none"/>
                <w14:textFill>
                  <w14:solidFill>
                    <w14:schemeClr w14:val="tx1"/>
                  </w14:solidFill>
                </w14:textFill>
              </w:rPr>
            </w:pPr>
            <w:r>
              <w:rPr>
                <w:rFonts w:hint="eastAsia" w:cs="Arial" w:asciiTheme="minorEastAsia" w:hAnsiTheme="minorEastAsia" w:eastAsiaTheme="minorEastAsia"/>
                <w:color w:val="000000" w:themeColor="text1"/>
                <w:sz w:val="24"/>
                <w:szCs w:val="21"/>
                <w:highlight w:val="none"/>
                <w14:textFill>
                  <w14:solidFill>
                    <w14:schemeClr w14:val="tx1"/>
                  </w14:solidFill>
                </w14:textFill>
              </w:rPr>
              <w:t>…</w:t>
            </w:r>
          </w:p>
        </w:tc>
        <w:tc>
          <w:tcPr>
            <w:tcW w:w="2700" w:type="dxa"/>
            <w:tcBorders>
              <w:top w:val="single" w:color="auto" w:sz="8" w:space="0"/>
              <w:left w:val="single" w:color="auto" w:sz="8" w:space="0"/>
              <w:bottom w:val="single" w:color="auto" w:sz="8" w:space="0"/>
              <w:right w:val="single" w:color="auto" w:sz="8" w:space="0"/>
            </w:tcBorders>
            <w:vAlign w:val="center"/>
          </w:tcPr>
          <w:p w14:paraId="2EC607C8">
            <w:pPr>
              <w:autoSpaceDE w:val="0"/>
              <w:autoSpaceDN w:val="0"/>
              <w:spacing w:line="315" w:lineRule="atLeast"/>
              <w:rPr>
                <w:rFonts w:cs="宋体" w:asciiTheme="minorEastAsia" w:hAnsiTheme="minorEastAsia" w:eastAsiaTheme="minorEastAsia"/>
                <w:b/>
                <w:color w:val="000000" w:themeColor="text1"/>
                <w:sz w:val="24"/>
                <w:highlight w:val="none"/>
                <w14:textFill>
                  <w14:solidFill>
                    <w14:schemeClr w14:val="tx1"/>
                  </w14:solidFill>
                </w14:textFill>
              </w:rPr>
            </w:pPr>
          </w:p>
        </w:tc>
        <w:tc>
          <w:tcPr>
            <w:tcW w:w="1620" w:type="dxa"/>
            <w:tcBorders>
              <w:top w:val="single" w:color="auto" w:sz="8" w:space="0"/>
              <w:left w:val="single" w:color="auto" w:sz="8" w:space="0"/>
              <w:bottom w:val="single" w:color="auto" w:sz="8" w:space="0"/>
              <w:right w:val="single" w:color="auto" w:sz="8" w:space="0"/>
            </w:tcBorders>
            <w:vAlign w:val="center"/>
          </w:tcPr>
          <w:p w14:paraId="3FBBF161">
            <w:pPr>
              <w:autoSpaceDE w:val="0"/>
              <w:autoSpaceDN w:val="0"/>
              <w:spacing w:line="315" w:lineRule="atLeast"/>
              <w:jc w:val="right"/>
              <w:rPr>
                <w:rFonts w:cs="Arial" w:asciiTheme="minorEastAsia" w:hAnsiTheme="minorEastAsia" w:eastAsiaTheme="minorEastAsia"/>
                <w:color w:val="000000" w:themeColor="text1"/>
                <w:sz w:val="24"/>
                <w:szCs w:val="21"/>
                <w:highlight w:val="none"/>
                <w14:textFill>
                  <w14:solidFill>
                    <w14:schemeClr w14:val="tx1"/>
                  </w14:solidFill>
                </w14:textFill>
              </w:rPr>
            </w:pPr>
          </w:p>
        </w:tc>
        <w:tc>
          <w:tcPr>
            <w:tcW w:w="1080" w:type="dxa"/>
            <w:tcBorders>
              <w:top w:val="single" w:color="auto" w:sz="8" w:space="0"/>
              <w:left w:val="single" w:color="auto" w:sz="8" w:space="0"/>
              <w:bottom w:val="single" w:color="auto" w:sz="8" w:space="0"/>
              <w:right w:val="single" w:color="auto" w:sz="8" w:space="0"/>
            </w:tcBorders>
            <w:vAlign w:val="center"/>
          </w:tcPr>
          <w:p w14:paraId="1C542AA0">
            <w:pPr>
              <w:autoSpaceDE w:val="0"/>
              <w:autoSpaceDN w:val="0"/>
              <w:spacing w:line="315" w:lineRule="atLeast"/>
              <w:jc w:val="right"/>
              <w:rPr>
                <w:rFonts w:cs="Arial" w:asciiTheme="minorEastAsia" w:hAnsiTheme="minorEastAsia" w:eastAsiaTheme="minorEastAsia"/>
                <w:color w:val="000000" w:themeColor="text1"/>
                <w:sz w:val="24"/>
                <w:szCs w:val="21"/>
                <w:highlight w:val="none"/>
                <w14:textFill>
                  <w14:solidFill>
                    <w14:schemeClr w14:val="tx1"/>
                  </w14:solidFill>
                </w14:textFill>
              </w:rPr>
            </w:pPr>
          </w:p>
        </w:tc>
        <w:tc>
          <w:tcPr>
            <w:tcW w:w="1440" w:type="dxa"/>
            <w:tcBorders>
              <w:top w:val="single" w:color="auto" w:sz="8" w:space="0"/>
              <w:left w:val="single" w:color="auto" w:sz="8" w:space="0"/>
              <w:bottom w:val="single" w:color="auto" w:sz="8" w:space="0"/>
              <w:right w:val="single" w:color="auto" w:sz="8" w:space="0"/>
            </w:tcBorders>
          </w:tcPr>
          <w:p w14:paraId="531C5C2A">
            <w:pPr>
              <w:autoSpaceDE w:val="0"/>
              <w:autoSpaceDN w:val="0"/>
              <w:spacing w:line="315" w:lineRule="atLeast"/>
              <w:rPr>
                <w:rFonts w:cs="Arial" w:asciiTheme="minorEastAsia" w:hAnsiTheme="minorEastAsia" w:eastAsiaTheme="minorEastAsia"/>
                <w:color w:val="000000" w:themeColor="text1"/>
                <w:sz w:val="24"/>
                <w:szCs w:val="21"/>
                <w:highlight w:val="none"/>
                <w14:textFill>
                  <w14:solidFill>
                    <w14:schemeClr w14:val="tx1"/>
                  </w14:solidFill>
                </w14:textFill>
              </w:rPr>
            </w:pPr>
          </w:p>
        </w:tc>
        <w:tc>
          <w:tcPr>
            <w:tcW w:w="1440" w:type="dxa"/>
            <w:tcBorders>
              <w:top w:val="single" w:color="auto" w:sz="8" w:space="0"/>
              <w:left w:val="single" w:color="auto" w:sz="8" w:space="0"/>
              <w:bottom w:val="single" w:color="auto" w:sz="8" w:space="0"/>
              <w:right w:val="single" w:color="auto" w:sz="8" w:space="0"/>
            </w:tcBorders>
            <w:vAlign w:val="center"/>
          </w:tcPr>
          <w:p w14:paraId="2D271111">
            <w:pPr>
              <w:autoSpaceDE w:val="0"/>
              <w:autoSpaceDN w:val="0"/>
              <w:spacing w:line="315" w:lineRule="atLeast"/>
              <w:rPr>
                <w:rFonts w:cs="Arial" w:asciiTheme="minorEastAsia" w:hAnsiTheme="minorEastAsia" w:eastAsiaTheme="minorEastAsia"/>
                <w:color w:val="000000" w:themeColor="text1"/>
                <w:sz w:val="24"/>
                <w:szCs w:val="21"/>
                <w:highlight w:val="none"/>
                <w14:textFill>
                  <w14:solidFill>
                    <w14:schemeClr w14:val="tx1"/>
                  </w14:solidFill>
                </w14:textFill>
              </w:rPr>
            </w:pPr>
          </w:p>
        </w:tc>
      </w:tr>
      <w:tr w14:paraId="6D133776">
        <w:tblPrEx>
          <w:tblCellMar>
            <w:top w:w="0" w:type="dxa"/>
            <w:left w:w="30" w:type="dxa"/>
            <w:bottom w:w="0" w:type="dxa"/>
            <w:right w:w="30" w:type="dxa"/>
          </w:tblCellMar>
        </w:tblPrEx>
        <w:trPr>
          <w:cantSplit/>
          <w:trHeight w:val="579" w:hRule="exact"/>
        </w:trPr>
        <w:tc>
          <w:tcPr>
            <w:tcW w:w="3420" w:type="dxa"/>
            <w:gridSpan w:val="2"/>
            <w:vMerge w:val="restart"/>
            <w:tcBorders>
              <w:top w:val="single" w:color="auto" w:sz="8" w:space="0"/>
              <w:left w:val="single" w:color="auto" w:sz="8" w:space="0"/>
              <w:bottom w:val="single" w:color="auto" w:sz="8" w:space="0"/>
              <w:right w:val="single" w:color="auto" w:sz="8" w:space="0"/>
            </w:tcBorders>
            <w:vAlign w:val="center"/>
          </w:tcPr>
          <w:p w14:paraId="013E8BFC">
            <w:pPr>
              <w:autoSpaceDE w:val="0"/>
              <w:autoSpaceDN w:val="0"/>
              <w:spacing w:line="315" w:lineRule="atLeast"/>
              <w:jc w:val="center"/>
              <w:rPr>
                <w:rFonts w:cs="宋体" w:asciiTheme="minorEastAsia" w:hAnsiTheme="minorEastAsia" w:eastAsiaTheme="minorEastAsia"/>
                <w:b/>
                <w:color w:val="000000" w:themeColor="text1"/>
                <w:sz w:val="24"/>
                <w:highlight w:val="none"/>
                <w14:textFill>
                  <w14:solidFill>
                    <w14:schemeClr w14:val="tx1"/>
                  </w14:solidFill>
                </w14:textFill>
              </w:rPr>
            </w:pPr>
            <w:r>
              <w:rPr>
                <w:rFonts w:hint="eastAsia" w:cs="宋体" w:asciiTheme="minorEastAsia" w:hAnsiTheme="minorEastAsia" w:eastAsiaTheme="minorEastAsia"/>
                <w:b/>
                <w:color w:val="000000" w:themeColor="text1"/>
                <w:sz w:val="24"/>
                <w:highlight w:val="none"/>
                <w14:textFill>
                  <w14:solidFill>
                    <w14:schemeClr w14:val="tx1"/>
                  </w14:solidFill>
                </w14:textFill>
              </w:rPr>
              <w:t>合计</w:t>
            </w:r>
          </w:p>
        </w:tc>
        <w:tc>
          <w:tcPr>
            <w:tcW w:w="5580" w:type="dxa"/>
            <w:gridSpan w:val="4"/>
            <w:tcBorders>
              <w:top w:val="single" w:color="auto" w:sz="8" w:space="0"/>
              <w:left w:val="single" w:color="auto" w:sz="8" w:space="0"/>
              <w:bottom w:val="single" w:color="auto" w:sz="8" w:space="0"/>
              <w:right w:val="single" w:color="auto" w:sz="8" w:space="0"/>
            </w:tcBorders>
            <w:vAlign w:val="center"/>
          </w:tcPr>
          <w:p w14:paraId="2C50C9A8">
            <w:pPr>
              <w:autoSpaceDE w:val="0"/>
              <w:autoSpaceDN w:val="0"/>
              <w:spacing w:line="315" w:lineRule="atLeast"/>
              <w:rPr>
                <w:rFonts w:cs="Arial" w:asciiTheme="minorEastAsia" w:hAnsiTheme="minorEastAsia" w:eastAsiaTheme="minorEastAsia"/>
                <w:color w:val="000000" w:themeColor="text1"/>
                <w:sz w:val="24"/>
                <w:szCs w:val="21"/>
                <w:highlight w:val="none"/>
                <w14:textFill>
                  <w14:solidFill>
                    <w14:schemeClr w14:val="tx1"/>
                  </w14:solidFill>
                </w14:textFill>
              </w:rPr>
            </w:pPr>
            <w:r>
              <w:rPr>
                <w:rFonts w:hint="eastAsia" w:cs="Arial" w:asciiTheme="minorEastAsia" w:hAnsiTheme="minorEastAsia" w:eastAsiaTheme="minorEastAsia"/>
                <w:color w:val="000000" w:themeColor="text1"/>
                <w:sz w:val="24"/>
                <w:szCs w:val="21"/>
                <w:highlight w:val="none"/>
                <w14:textFill>
                  <w14:solidFill>
                    <w14:schemeClr w14:val="tx1"/>
                  </w14:solidFill>
                </w14:textFill>
              </w:rPr>
              <w:t>（小写）：</w:t>
            </w:r>
          </w:p>
        </w:tc>
      </w:tr>
      <w:tr w14:paraId="009FDEC5">
        <w:tblPrEx>
          <w:tblCellMar>
            <w:top w:w="0" w:type="dxa"/>
            <w:left w:w="30" w:type="dxa"/>
            <w:bottom w:w="0" w:type="dxa"/>
            <w:right w:w="30" w:type="dxa"/>
          </w:tblCellMar>
        </w:tblPrEx>
        <w:trPr>
          <w:cantSplit/>
          <w:trHeight w:val="579" w:hRule="atLeast"/>
        </w:trPr>
        <w:tc>
          <w:tcPr>
            <w:tcW w:w="3420" w:type="dxa"/>
            <w:gridSpan w:val="2"/>
            <w:vMerge w:val="continue"/>
            <w:tcBorders>
              <w:top w:val="single" w:color="auto" w:sz="8" w:space="0"/>
              <w:left w:val="single" w:color="auto" w:sz="8" w:space="0"/>
              <w:bottom w:val="single" w:color="auto" w:sz="8" w:space="0"/>
              <w:right w:val="single" w:color="auto" w:sz="8" w:space="0"/>
            </w:tcBorders>
            <w:vAlign w:val="center"/>
          </w:tcPr>
          <w:p w14:paraId="6EA9822A">
            <w:pPr>
              <w:rPr>
                <w:rFonts w:cs="宋体" w:asciiTheme="minorEastAsia" w:hAnsiTheme="minorEastAsia" w:eastAsiaTheme="minorEastAsia"/>
                <w:b/>
                <w:color w:val="000000" w:themeColor="text1"/>
                <w:sz w:val="24"/>
                <w:highlight w:val="none"/>
                <w14:textFill>
                  <w14:solidFill>
                    <w14:schemeClr w14:val="tx1"/>
                  </w14:solidFill>
                </w14:textFill>
              </w:rPr>
            </w:pPr>
          </w:p>
        </w:tc>
        <w:tc>
          <w:tcPr>
            <w:tcW w:w="5580" w:type="dxa"/>
            <w:gridSpan w:val="4"/>
            <w:tcBorders>
              <w:top w:val="single" w:color="auto" w:sz="8" w:space="0"/>
              <w:left w:val="single" w:color="auto" w:sz="8" w:space="0"/>
              <w:bottom w:val="single" w:color="auto" w:sz="8" w:space="0"/>
              <w:right w:val="single" w:color="auto" w:sz="8" w:space="0"/>
            </w:tcBorders>
            <w:vAlign w:val="center"/>
          </w:tcPr>
          <w:p w14:paraId="2686A572">
            <w:pPr>
              <w:autoSpaceDE w:val="0"/>
              <w:autoSpaceDN w:val="0"/>
              <w:spacing w:line="315" w:lineRule="atLeast"/>
              <w:rPr>
                <w:rFonts w:cs="Arial" w:asciiTheme="minorEastAsia" w:hAnsiTheme="minorEastAsia" w:eastAsiaTheme="minorEastAsia"/>
                <w:color w:val="000000" w:themeColor="text1"/>
                <w:sz w:val="24"/>
                <w:szCs w:val="21"/>
                <w:highlight w:val="none"/>
                <w14:textFill>
                  <w14:solidFill>
                    <w14:schemeClr w14:val="tx1"/>
                  </w14:solidFill>
                </w14:textFill>
              </w:rPr>
            </w:pPr>
            <w:r>
              <w:rPr>
                <w:rFonts w:hint="eastAsia" w:cs="Arial" w:asciiTheme="minorEastAsia" w:hAnsiTheme="minorEastAsia" w:eastAsiaTheme="minorEastAsia"/>
                <w:color w:val="000000" w:themeColor="text1"/>
                <w:sz w:val="24"/>
                <w:szCs w:val="21"/>
                <w:highlight w:val="none"/>
                <w14:textFill>
                  <w14:solidFill>
                    <w14:schemeClr w14:val="tx1"/>
                  </w14:solidFill>
                </w14:textFill>
              </w:rPr>
              <w:t>（大写）:</w:t>
            </w:r>
          </w:p>
        </w:tc>
      </w:tr>
    </w:tbl>
    <w:p w14:paraId="172FD357">
      <w:pPr>
        <w:spacing w:line="360" w:lineRule="auto"/>
        <w:rPr>
          <w:rFonts w:asciiTheme="minorEastAsia" w:hAnsiTheme="minorEastAsia" w:eastAsiaTheme="minorEastAsia"/>
          <w:b/>
          <w:bCs/>
          <w:color w:val="000000" w:themeColor="text1"/>
          <w:sz w:val="28"/>
          <w:szCs w:val="28"/>
          <w:highlight w:val="none"/>
          <w14:textFill>
            <w14:solidFill>
              <w14:schemeClr w14:val="tx1"/>
            </w14:solidFill>
          </w14:textFill>
        </w:rPr>
      </w:pPr>
      <w:bookmarkStart w:id="0" w:name="_Toc429662395"/>
      <w:bookmarkStart w:id="1" w:name="_Toc424742543"/>
      <w:bookmarkStart w:id="2" w:name="_Toc430603676"/>
      <w:bookmarkStart w:id="3" w:name="_Toc424566854"/>
      <w:bookmarkStart w:id="4" w:name="_Toc417386176"/>
      <w:bookmarkStart w:id="5" w:name="_Toc424563315"/>
      <w:r>
        <w:rPr>
          <w:rFonts w:hint="eastAsia" w:asciiTheme="minorEastAsia" w:hAnsiTheme="minorEastAsia" w:eastAsiaTheme="minorEastAsia"/>
          <w:b/>
          <w:color w:val="000000" w:themeColor="text1"/>
          <w:sz w:val="28"/>
          <w:szCs w:val="28"/>
          <w:highlight w:val="none"/>
          <w14:textFill>
            <w14:solidFill>
              <w14:schemeClr w14:val="tx1"/>
            </w14:solidFill>
          </w14:textFill>
        </w:rPr>
        <w:t>二</w:t>
      </w:r>
      <w:r>
        <w:rPr>
          <w:rFonts w:hint="eastAsia" w:asciiTheme="minorEastAsia" w:hAnsiTheme="minorEastAsia" w:eastAsiaTheme="minorEastAsia"/>
          <w:b/>
          <w:bCs/>
          <w:color w:val="000000" w:themeColor="text1"/>
          <w:sz w:val="28"/>
          <w:szCs w:val="28"/>
          <w:highlight w:val="none"/>
          <w14:textFill>
            <w14:solidFill>
              <w14:schemeClr w14:val="tx1"/>
            </w14:solidFill>
          </w14:textFill>
        </w:rPr>
        <w:t>、付款方式</w:t>
      </w:r>
      <w:bookmarkEnd w:id="0"/>
      <w:bookmarkEnd w:id="1"/>
      <w:bookmarkEnd w:id="2"/>
      <w:bookmarkEnd w:id="3"/>
      <w:bookmarkEnd w:id="4"/>
      <w:bookmarkEnd w:id="5"/>
    </w:p>
    <w:p w14:paraId="5D20E1B3">
      <w:pPr>
        <w:spacing w:line="360" w:lineRule="auto"/>
        <w:ind w:firstLine="480" w:firstLineChars="200"/>
        <w:rPr>
          <w:rFonts w:asciiTheme="minorEastAsia" w:hAnsiTheme="minorEastAsia" w:eastAsiaTheme="minorEastAsia"/>
          <w:color w:val="000000" w:themeColor="text1"/>
          <w:sz w:val="24"/>
          <w:szCs w:val="24"/>
          <w:highlight w:val="none"/>
          <w:shd w:val="clear" w:color="auto" w:fill="FFFFFF"/>
          <w14:textFill>
            <w14:solidFill>
              <w14:schemeClr w14:val="tx1"/>
            </w14:solidFill>
          </w14:textFill>
        </w:rPr>
      </w:pPr>
    </w:p>
    <w:p w14:paraId="6BD24CFB">
      <w:pPr>
        <w:spacing w:line="360" w:lineRule="auto"/>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三、违约赔偿</w:t>
      </w:r>
    </w:p>
    <w:p w14:paraId="4BF6B940">
      <w:pPr>
        <w:spacing w:line="360" w:lineRule="auto"/>
        <w:ind w:firstLine="480" w:firstLineChars="200"/>
        <w:rPr>
          <w:rFonts w:asciiTheme="minorEastAsia" w:hAnsiTheme="minorEastAsia" w:eastAsiaTheme="minorEastAsia"/>
          <w:color w:val="000000" w:themeColor="text1"/>
          <w:sz w:val="24"/>
          <w:highlight w:val="none"/>
          <w14:textFill>
            <w14:solidFill>
              <w14:schemeClr w14:val="tx1"/>
            </w14:solidFill>
          </w14:textFill>
        </w:rPr>
      </w:pPr>
      <w:bookmarkStart w:id="6" w:name="_Toc417386177"/>
      <w:bookmarkStart w:id="7" w:name="_Toc430603677"/>
      <w:bookmarkStart w:id="8" w:name="_Toc424566855"/>
      <w:bookmarkStart w:id="9" w:name="_Toc429662396"/>
      <w:bookmarkStart w:id="10" w:name="_Toc424563316"/>
      <w:bookmarkStart w:id="11" w:name="_Toc424742544"/>
    </w:p>
    <w:p w14:paraId="1776513D">
      <w:pPr>
        <w:spacing w:line="360" w:lineRule="auto"/>
        <w:rPr>
          <w:rFonts w:asciiTheme="minorEastAsia" w:hAnsiTheme="minorEastAsia" w:eastAsiaTheme="minorEastAsia"/>
          <w:b/>
          <w:bCs/>
          <w:color w:val="000000" w:themeColor="text1"/>
          <w:sz w:val="28"/>
          <w:szCs w:val="30"/>
          <w:highlight w:val="none"/>
          <w14:textFill>
            <w14:solidFill>
              <w14:schemeClr w14:val="tx1"/>
            </w14:solidFill>
          </w14:textFill>
        </w:rPr>
      </w:pPr>
      <w:r>
        <w:rPr>
          <w:rFonts w:hint="eastAsia" w:asciiTheme="minorEastAsia" w:hAnsiTheme="minorEastAsia" w:eastAsiaTheme="minorEastAsia"/>
          <w:b/>
          <w:bCs/>
          <w:color w:val="000000" w:themeColor="text1"/>
          <w:sz w:val="28"/>
          <w:szCs w:val="30"/>
          <w:highlight w:val="none"/>
          <w14:textFill>
            <w14:solidFill>
              <w14:schemeClr w14:val="tx1"/>
            </w14:solidFill>
          </w14:textFill>
        </w:rPr>
        <w:t>四、合同纠纷处理</w:t>
      </w:r>
      <w:bookmarkEnd w:id="6"/>
      <w:bookmarkEnd w:id="7"/>
      <w:bookmarkEnd w:id="8"/>
      <w:bookmarkEnd w:id="9"/>
      <w:bookmarkEnd w:id="10"/>
      <w:bookmarkEnd w:id="11"/>
    </w:p>
    <w:p w14:paraId="1BDAEA53">
      <w:pPr>
        <w:tabs>
          <w:tab w:val="left" w:pos="1980"/>
        </w:tabs>
        <w:spacing w:line="360" w:lineRule="auto"/>
        <w:ind w:firstLine="470" w:firstLineChars="196"/>
        <w:rPr>
          <w:rFonts w:asciiTheme="minorEastAsia" w:hAnsiTheme="minorEastAsia" w:eastAsiaTheme="minorEastAsia"/>
          <w:color w:val="000000" w:themeColor="text1"/>
          <w:sz w:val="24"/>
          <w:highlight w:val="non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本合同执行过程中发生纠纷，可申请仲裁。仲裁机构为海南仲裁委员会。</w:t>
      </w:r>
    </w:p>
    <w:p w14:paraId="23E445BF">
      <w:pPr>
        <w:spacing w:line="360" w:lineRule="auto"/>
        <w:rPr>
          <w:rFonts w:asciiTheme="minorEastAsia" w:hAnsiTheme="minorEastAsia" w:eastAsiaTheme="minorEastAsia"/>
          <w:b/>
          <w:bCs/>
          <w:color w:val="000000" w:themeColor="text1"/>
          <w:sz w:val="28"/>
          <w:szCs w:val="30"/>
          <w:highlight w:val="none"/>
          <w14:textFill>
            <w14:solidFill>
              <w14:schemeClr w14:val="tx1"/>
            </w14:solidFill>
          </w14:textFill>
        </w:rPr>
      </w:pPr>
      <w:bookmarkStart w:id="12" w:name="_Toc424563317"/>
      <w:bookmarkStart w:id="13" w:name="_Toc417386178"/>
      <w:bookmarkStart w:id="14" w:name="_Toc424566856"/>
      <w:bookmarkStart w:id="15" w:name="_Toc429662397"/>
      <w:bookmarkStart w:id="16" w:name="_Toc424742545"/>
      <w:bookmarkStart w:id="17" w:name="_Toc430603678"/>
      <w:r>
        <w:rPr>
          <w:rFonts w:hint="eastAsia" w:asciiTheme="minorEastAsia" w:hAnsiTheme="minorEastAsia" w:eastAsiaTheme="minorEastAsia"/>
          <w:b/>
          <w:bCs/>
          <w:color w:val="000000" w:themeColor="text1"/>
          <w:sz w:val="28"/>
          <w:szCs w:val="30"/>
          <w:highlight w:val="none"/>
          <w14:textFill>
            <w14:solidFill>
              <w14:schemeClr w14:val="tx1"/>
            </w14:solidFill>
          </w14:textFill>
        </w:rPr>
        <w:t>五、合同生效</w:t>
      </w:r>
      <w:bookmarkEnd w:id="12"/>
      <w:bookmarkEnd w:id="13"/>
      <w:bookmarkEnd w:id="14"/>
      <w:bookmarkEnd w:id="15"/>
      <w:bookmarkEnd w:id="16"/>
      <w:bookmarkEnd w:id="17"/>
    </w:p>
    <w:p w14:paraId="2F4AB2D4">
      <w:pPr>
        <w:spacing w:line="360" w:lineRule="auto"/>
        <w:ind w:left="555"/>
        <w:rPr>
          <w:rFonts w:asciiTheme="minorEastAsia" w:hAnsiTheme="minorEastAsia" w:eastAsiaTheme="minorEastAsia"/>
          <w:color w:val="000000" w:themeColor="text1"/>
          <w:sz w:val="24"/>
          <w:highlight w:val="non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本合同由甲乙双方签字盖章后生效。</w:t>
      </w:r>
    </w:p>
    <w:p w14:paraId="7CDFFA56">
      <w:pPr>
        <w:spacing w:line="360" w:lineRule="auto"/>
        <w:rPr>
          <w:rFonts w:asciiTheme="minorEastAsia" w:hAnsiTheme="minorEastAsia" w:eastAsiaTheme="minorEastAsia"/>
          <w:b/>
          <w:bCs/>
          <w:color w:val="000000" w:themeColor="text1"/>
          <w:sz w:val="28"/>
          <w:szCs w:val="30"/>
          <w:highlight w:val="none"/>
          <w14:textFill>
            <w14:solidFill>
              <w14:schemeClr w14:val="tx1"/>
            </w14:solidFill>
          </w14:textFill>
        </w:rPr>
      </w:pPr>
      <w:bookmarkStart w:id="18" w:name="_Toc417386179"/>
      <w:bookmarkStart w:id="19" w:name="_Toc430603679"/>
      <w:bookmarkStart w:id="20" w:name="_Toc424563318"/>
      <w:bookmarkStart w:id="21" w:name="_Toc429662398"/>
      <w:bookmarkStart w:id="22" w:name="_Toc424742546"/>
      <w:bookmarkStart w:id="23" w:name="_Toc424566857"/>
      <w:r>
        <w:rPr>
          <w:rFonts w:hint="eastAsia" w:asciiTheme="minorEastAsia" w:hAnsiTheme="minorEastAsia" w:eastAsiaTheme="minorEastAsia"/>
          <w:b/>
          <w:bCs/>
          <w:color w:val="000000" w:themeColor="text1"/>
          <w:sz w:val="28"/>
          <w:szCs w:val="30"/>
          <w:highlight w:val="none"/>
          <w14:textFill>
            <w14:solidFill>
              <w14:schemeClr w14:val="tx1"/>
            </w14:solidFill>
          </w14:textFill>
        </w:rPr>
        <w:t>六、合同鉴证</w:t>
      </w:r>
      <w:bookmarkEnd w:id="18"/>
      <w:bookmarkEnd w:id="19"/>
      <w:bookmarkEnd w:id="20"/>
      <w:bookmarkEnd w:id="21"/>
      <w:bookmarkEnd w:id="22"/>
      <w:bookmarkEnd w:id="23"/>
    </w:p>
    <w:p w14:paraId="1479AE5B">
      <w:pPr>
        <w:spacing w:line="360" w:lineRule="auto"/>
        <w:ind w:firstLine="480" w:firstLineChars="200"/>
        <w:rPr>
          <w:rFonts w:asciiTheme="minorEastAsia" w:hAnsiTheme="minorEastAsia" w:eastAsiaTheme="minorEastAsia"/>
          <w:color w:val="000000" w:themeColor="text1"/>
          <w:sz w:val="24"/>
          <w:highlight w:val="non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招标代理机构应当在本合同上签章，以证明本合同条款与采购文件、投标（响应）文件的相关要求相符并且未对采购内容和技术参数进行实质性修改。</w:t>
      </w:r>
    </w:p>
    <w:p w14:paraId="236549CE">
      <w:pPr>
        <w:spacing w:line="360" w:lineRule="auto"/>
        <w:rPr>
          <w:rFonts w:asciiTheme="minorEastAsia" w:hAnsiTheme="minorEastAsia" w:eastAsiaTheme="minorEastAsia"/>
          <w:b/>
          <w:bCs/>
          <w:color w:val="000000" w:themeColor="text1"/>
          <w:sz w:val="28"/>
          <w:szCs w:val="30"/>
          <w:highlight w:val="none"/>
          <w14:textFill>
            <w14:solidFill>
              <w14:schemeClr w14:val="tx1"/>
            </w14:solidFill>
          </w14:textFill>
        </w:rPr>
      </w:pPr>
      <w:bookmarkStart w:id="24" w:name="_Toc424563319"/>
      <w:bookmarkStart w:id="25" w:name="_Toc424742547"/>
      <w:bookmarkStart w:id="26" w:name="_Toc430603680"/>
      <w:bookmarkStart w:id="27" w:name="_Toc424566858"/>
      <w:bookmarkStart w:id="28" w:name="_Toc429662399"/>
      <w:bookmarkStart w:id="29" w:name="_Toc417386180"/>
      <w:r>
        <w:rPr>
          <w:rFonts w:hint="eastAsia" w:asciiTheme="minorEastAsia" w:hAnsiTheme="minorEastAsia" w:eastAsiaTheme="minorEastAsia"/>
          <w:b/>
          <w:bCs/>
          <w:color w:val="000000" w:themeColor="text1"/>
          <w:sz w:val="28"/>
          <w:szCs w:val="30"/>
          <w:highlight w:val="none"/>
          <w14:textFill>
            <w14:solidFill>
              <w14:schemeClr w14:val="tx1"/>
            </w14:solidFill>
          </w14:textFill>
        </w:rPr>
        <w:t>七、本合同的组成文件</w:t>
      </w:r>
      <w:bookmarkEnd w:id="24"/>
      <w:bookmarkEnd w:id="25"/>
      <w:bookmarkEnd w:id="26"/>
      <w:bookmarkEnd w:id="27"/>
      <w:bookmarkEnd w:id="28"/>
      <w:bookmarkEnd w:id="29"/>
    </w:p>
    <w:p w14:paraId="124543E7">
      <w:pPr>
        <w:spacing w:line="360" w:lineRule="auto"/>
        <w:ind w:firstLine="480" w:firstLineChars="200"/>
        <w:rPr>
          <w:rFonts w:asciiTheme="minorEastAsia" w:hAnsiTheme="minorEastAsia" w:eastAsiaTheme="minorEastAsia"/>
          <w:color w:val="000000" w:themeColor="text1"/>
          <w:sz w:val="24"/>
          <w:highlight w:val="non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1.合同通用条款和专用条款；</w:t>
      </w:r>
    </w:p>
    <w:p w14:paraId="594F172C">
      <w:pPr>
        <w:spacing w:line="360" w:lineRule="auto"/>
        <w:ind w:firstLine="480" w:firstLineChars="200"/>
        <w:rPr>
          <w:rFonts w:asciiTheme="minorEastAsia" w:hAnsiTheme="minorEastAsia" w:eastAsiaTheme="minorEastAsia"/>
          <w:color w:val="000000" w:themeColor="text1"/>
          <w:sz w:val="24"/>
          <w:highlight w:val="non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2.采购文件、乙方的投标（响应）文件和评标时的澄清函（如有）；</w:t>
      </w:r>
    </w:p>
    <w:p w14:paraId="5E3225CD">
      <w:pPr>
        <w:spacing w:line="360" w:lineRule="auto"/>
        <w:ind w:firstLine="480" w:firstLineChars="200"/>
        <w:rPr>
          <w:rFonts w:asciiTheme="minorEastAsia" w:hAnsiTheme="minorEastAsia" w:eastAsiaTheme="minorEastAsia"/>
          <w:color w:val="000000" w:themeColor="text1"/>
          <w:sz w:val="24"/>
          <w:highlight w:val="non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3.中标通知书；</w:t>
      </w:r>
    </w:p>
    <w:p w14:paraId="10A84B5C">
      <w:pPr>
        <w:spacing w:line="360" w:lineRule="auto"/>
        <w:ind w:firstLine="480" w:firstLineChars="200"/>
        <w:rPr>
          <w:rFonts w:asciiTheme="minorEastAsia" w:hAnsiTheme="minorEastAsia" w:eastAsiaTheme="minorEastAsia"/>
          <w:color w:val="000000" w:themeColor="text1"/>
          <w:sz w:val="24"/>
          <w:highlight w:val="non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4.甲乙双方商定的其他必要文件。</w:t>
      </w:r>
    </w:p>
    <w:p w14:paraId="77E3305D">
      <w:pPr>
        <w:spacing w:line="360" w:lineRule="auto"/>
        <w:ind w:firstLine="480" w:firstLineChars="200"/>
        <w:rPr>
          <w:rFonts w:asciiTheme="minorEastAsia" w:hAnsiTheme="minorEastAsia" w:eastAsiaTheme="minorEastAsia"/>
          <w:bCs/>
          <w:color w:val="000000" w:themeColor="text1"/>
          <w:sz w:val="24"/>
          <w:highlight w:val="none"/>
          <w14:textFill>
            <w14:solidFill>
              <w14:schemeClr w14:val="tx1"/>
            </w14:solidFill>
          </w14:textFill>
        </w:rPr>
      </w:pPr>
      <w:r>
        <w:rPr>
          <w:rFonts w:hint="eastAsia" w:asciiTheme="minorEastAsia" w:hAnsiTheme="minorEastAsia" w:eastAsiaTheme="minorEastAsia"/>
          <w:bCs/>
          <w:color w:val="000000" w:themeColor="text1"/>
          <w:sz w:val="24"/>
          <w:highlight w:val="none"/>
          <w14:textFill>
            <w14:solidFill>
              <w14:schemeClr w14:val="tx1"/>
            </w14:solidFill>
          </w14:textFill>
        </w:rPr>
        <w:t>上述合同文件内容互为补充，如有不明确，由甲方负责解释。</w:t>
      </w:r>
    </w:p>
    <w:p w14:paraId="2ECFBAAA">
      <w:pPr>
        <w:spacing w:line="360" w:lineRule="auto"/>
        <w:rPr>
          <w:rFonts w:asciiTheme="minorEastAsia" w:hAnsiTheme="minorEastAsia" w:eastAsiaTheme="minorEastAsia"/>
          <w:b/>
          <w:bCs/>
          <w:color w:val="000000" w:themeColor="text1"/>
          <w:sz w:val="28"/>
          <w:szCs w:val="30"/>
          <w:highlight w:val="none"/>
          <w14:textFill>
            <w14:solidFill>
              <w14:schemeClr w14:val="tx1"/>
            </w14:solidFill>
          </w14:textFill>
        </w:rPr>
      </w:pPr>
      <w:bookmarkStart w:id="30" w:name="_Toc429662400"/>
      <w:bookmarkStart w:id="31" w:name="_Toc430603681"/>
      <w:bookmarkStart w:id="32" w:name="_Toc417386181"/>
      <w:bookmarkStart w:id="33" w:name="_Toc424563320"/>
      <w:bookmarkStart w:id="34" w:name="_Toc424566859"/>
      <w:bookmarkStart w:id="35" w:name="_Toc424742548"/>
      <w:r>
        <w:rPr>
          <w:rFonts w:hint="eastAsia" w:asciiTheme="minorEastAsia" w:hAnsiTheme="minorEastAsia" w:eastAsiaTheme="minorEastAsia"/>
          <w:b/>
          <w:bCs/>
          <w:color w:val="000000" w:themeColor="text1"/>
          <w:sz w:val="28"/>
          <w:szCs w:val="30"/>
          <w:highlight w:val="none"/>
          <w14:textFill>
            <w14:solidFill>
              <w14:schemeClr w14:val="tx1"/>
            </w14:solidFill>
          </w14:textFill>
        </w:rPr>
        <w:t>八、合同备案</w:t>
      </w:r>
      <w:bookmarkEnd w:id="30"/>
      <w:bookmarkEnd w:id="31"/>
      <w:bookmarkEnd w:id="32"/>
      <w:bookmarkEnd w:id="33"/>
      <w:bookmarkEnd w:id="34"/>
      <w:bookmarkEnd w:id="35"/>
    </w:p>
    <w:p w14:paraId="5ED8E87A">
      <w:pPr>
        <w:spacing w:line="360" w:lineRule="auto"/>
        <w:ind w:firstLine="480" w:firstLineChars="200"/>
        <w:rPr>
          <w:rFonts w:asciiTheme="minorEastAsia" w:hAnsiTheme="minorEastAsia" w:eastAsiaTheme="minorEastAsia"/>
          <w:color w:val="000000" w:themeColor="text1"/>
          <w:sz w:val="24"/>
          <w:highlight w:val="non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本合同一式伍份，中文书写。甲方、乙方各执贰份，招标代理机构执壹份。</w:t>
      </w:r>
    </w:p>
    <w:p w14:paraId="63062FC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rPr>
          <w:rFonts w:asciiTheme="minorEastAsia" w:hAnsiTheme="minorEastAsia" w:eastAsiaTheme="minorEastAsia"/>
          <w:color w:val="000000" w:themeColor="text1"/>
          <w:sz w:val="24"/>
          <w:highlight w:val="none"/>
          <w14:textFill>
            <w14:solidFill>
              <w14:schemeClr w14:val="tx1"/>
            </w14:solidFill>
          </w14:textFill>
        </w:rPr>
      </w:pPr>
      <w:r>
        <w:rPr>
          <w:rFonts w:hint="eastAsia" w:asciiTheme="minorEastAsia" w:hAnsiTheme="minorEastAsia" w:eastAsiaTheme="minorEastAsia"/>
          <w:b/>
          <w:color w:val="000000" w:themeColor="text1"/>
          <w:sz w:val="24"/>
          <w:highlight w:val="none"/>
          <w14:textFill>
            <w14:solidFill>
              <w14:schemeClr w14:val="tx1"/>
            </w14:solidFill>
          </w14:textFill>
        </w:rPr>
        <w:t>甲方：</w:t>
      </w:r>
      <w:r>
        <w:rPr>
          <w:rFonts w:hint="eastAsia" w:asciiTheme="minorEastAsia" w:hAnsiTheme="minorEastAsia" w:eastAsiaTheme="minorEastAsia"/>
          <w:b/>
          <w:color w:val="000000" w:themeColor="text1"/>
          <w:sz w:val="24"/>
          <w:highlight w:val="none"/>
          <w:u w:val="single"/>
          <w14:textFill>
            <w14:solidFill>
              <w14:schemeClr w14:val="tx1"/>
            </w14:solidFill>
          </w14:textFill>
        </w:rPr>
        <w:t xml:space="preserve">（盖章） </w:t>
      </w:r>
      <w:r>
        <w:rPr>
          <w:rFonts w:asciiTheme="minorEastAsia" w:hAnsiTheme="minorEastAsia" w:eastAsiaTheme="minorEastAsia"/>
          <w:b/>
          <w:color w:val="000000" w:themeColor="text1"/>
          <w:sz w:val="24"/>
          <w:highlight w:val="none"/>
          <w:u w:val="single"/>
          <w14:textFill>
            <w14:solidFill>
              <w14:schemeClr w14:val="tx1"/>
            </w14:solidFill>
          </w14:textFill>
        </w:rPr>
        <w:t xml:space="preserve"> </w:t>
      </w:r>
      <w:r>
        <w:rPr>
          <w:rFonts w:asciiTheme="minorEastAsia" w:hAnsiTheme="minorEastAsia" w:eastAsiaTheme="minorEastAsia"/>
          <w:b/>
          <w:color w:val="000000" w:themeColor="text1"/>
          <w:sz w:val="24"/>
          <w:highlight w:val="none"/>
          <w14:textFill>
            <w14:solidFill>
              <w14:schemeClr w14:val="tx1"/>
            </w14:solidFill>
          </w14:textFill>
        </w:rPr>
        <w:t xml:space="preserve">                            </w:t>
      </w:r>
      <w:r>
        <w:rPr>
          <w:rFonts w:hint="eastAsia" w:asciiTheme="minorEastAsia" w:hAnsiTheme="minorEastAsia" w:eastAsiaTheme="minorEastAsia"/>
          <w:b/>
          <w:color w:val="000000" w:themeColor="text1"/>
          <w:sz w:val="24"/>
          <w:highlight w:val="none"/>
          <w14:textFill>
            <w14:solidFill>
              <w14:schemeClr w14:val="tx1"/>
            </w14:solidFill>
          </w14:textFill>
        </w:rPr>
        <w:t>乙方：</w:t>
      </w:r>
      <w:r>
        <w:rPr>
          <w:rFonts w:hint="eastAsia" w:asciiTheme="minorEastAsia" w:hAnsiTheme="minorEastAsia" w:eastAsiaTheme="minorEastAsia"/>
          <w:b/>
          <w:color w:val="000000" w:themeColor="text1"/>
          <w:sz w:val="24"/>
          <w:highlight w:val="none"/>
          <w:u w:val="single"/>
          <w14:textFill>
            <w14:solidFill>
              <w14:schemeClr w14:val="tx1"/>
            </w14:solidFill>
          </w14:textFill>
        </w:rPr>
        <w:t>（盖章）</w:t>
      </w:r>
    </w:p>
    <w:p w14:paraId="2D46D9E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rPr>
          <w:rFonts w:asciiTheme="minorEastAsia" w:hAnsiTheme="minorEastAsia" w:eastAsiaTheme="minorEastAsia"/>
          <w:color w:val="000000" w:themeColor="text1"/>
          <w:sz w:val="24"/>
          <w:highlight w:val="none"/>
          <w:u w:val="singl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 xml:space="preserve">地址： </w:t>
      </w:r>
      <w:r>
        <w:rPr>
          <w:rFonts w:asciiTheme="minorEastAsia" w:hAnsiTheme="minorEastAsia" w:eastAsiaTheme="minorEastAsia"/>
          <w:color w:val="000000" w:themeColor="text1"/>
          <w:sz w:val="24"/>
          <w:highlight w:val="none"/>
          <w14:textFill>
            <w14:solidFill>
              <w14:schemeClr w14:val="tx1"/>
            </w14:solidFill>
          </w14:textFill>
        </w:rPr>
        <w:t xml:space="preserve">                                     </w:t>
      </w:r>
      <w:r>
        <w:rPr>
          <w:rFonts w:hint="eastAsia" w:asciiTheme="minorEastAsia" w:hAnsiTheme="minorEastAsia" w:eastAsiaTheme="minorEastAsia"/>
          <w:color w:val="000000" w:themeColor="text1"/>
          <w:sz w:val="24"/>
          <w:highlight w:val="none"/>
          <w14:textFill>
            <w14:solidFill>
              <w14:schemeClr w14:val="tx1"/>
            </w14:solidFill>
          </w14:textFill>
        </w:rPr>
        <w:t>地址：</w:t>
      </w:r>
    </w:p>
    <w:p w14:paraId="7D093EC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rPr>
          <w:rFonts w:asciiTheme="minorEastAsia" w:hAnsiTheme="minorEastAsia" w:eastAsiaTheme="minorEastAsia"/>
          <w:color w:val="000000" w:themeColor="text1"/>
          <w:sz w:val="24"/>
          <w:highlight w:val="none"/>
          <w:u w:val="singl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 xml:space="preserve">法定（或授权）代表人： </w:t>
      </w:r>
      <w:r>
        <w:rPr>
          <w:rFonts w:asciiTheme="minorEastAsia" w:hAnsiTheme="minorEastAsia" w:eastAsiaTheme="minorEastAsia"/>
          <w:color w:val="000000" w:themeColor="text1"/>
          <w:sz w:val="24"/>
          <w:highlight w:val="none"/>
          <w14:textFill>
            <w14:solidFill>
              <w14:schemeClr w14:val="tx1"/>
            </w14:solidFill>
          </w14:textFill>
        </w:rPr>
        <w:t xml:space="preserve">                    </w:t>
      </w:r>
      <w:r>
        <w:rPr>
          <w:rFonts w:hint="eastAsia" w:asciiTheme="minorEastAsia" w:hAnsiTheme="minorEastAsia" w:eastAsiaTheme="minorEastAsia"/>
          <w:color w:val="000000" w:themeColor="text1"/>
          <w:sz w:val="24"/>
          <w:highlight w:val="none"/>
          <w14:textFill>
            <w14:solidFill>
              <w14:schemeClr w14:val="tx1"/>
            </w14:solidFill>
          </w14:textFill>
        </w:rPr>
        <w:t>法定（或授权）代表人：</w:t>
      </w:r>
    </w:p>
    <w:p w14:paraId="0A42E08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rPr>
          <w:rFonts w:asciiTheme="minorEastAsia" w:hAnsiTheme="minorEastAsia" w:eastAsiaTheme="minorEastAsia"/>
          <w:color w:val="000000" w:themeColor="text1"/>
          <w:sz w:val="24"/>
          <w:highlight w:val="non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 xml:space="preserve">                                       </w:t>
      </w:r>
      <w:r>
        <w:rPr>
          <w:rFonts w:asciiTheme="minorEastAsia" w:hAnsiTheme="minorEastAsia" w:eastAsiaTheme="minorEastAsia"/>
          <w:color w:val="000000" w:themeColor="text1"/>
          <w:sz w:val="24"/>
          <w:highlight w:val="none"/>
          <w14:textFill>
            <w14:solidFill>
              <w14:schemeClr w14:val="tx1"/>
            </w14:solidFill>
          </w14:textFill>
        </w:rPr>
        <w:t xml:space="preserve">    </w:t>
      </w:r>
      <w:r>
        <w:rPr>
          <w:rFonts w:hint="eastAsia" w:asciiTheme="minorEastAsia" w:hAnsiTheme="minorEastAsia" w:eastAsiaTheme="minorEastAsia"/>
          <w:color w:val="000000" w:themeColor="text1"/>
          <w:sz w:val="24"/>
          <w:highlight w:val="none"/>
          <w14:textFill>
            <w14:solidFill>
              <w14:schemeClr w14:val="tx1"/>
            </w14:solidFill>
          </w14:textFill>
        </w:rPr>
        <w:t>开户行：</w:t>
      </w:r>
    </w:p>
    <w:p w14:paraId="1839B8F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5280" w:firstLineChars="2200"/>
        <w:rPr>
          <w:rFonts w:asciiTheme="minorEastAsia" w:hAnsiTheme="minorEastAsia" w:eastAsiaTheme="minorEastAsia"/>
          <w:color w:val="000000" w:themeColor="text1"/>
          <w:sz w:val="24"/>
          <w:highlight w:val="non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帐号：</w:t>
      </w:r>
    </w:p>
    <w:p w14:paraId="247888C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960" w:firstLineChars="400"/>
        <w:rPr>
          <w:rFonts w:asciiTheme="minorEastAsia" w:hAnsiTheme="minorEastAsia" w:eastAsiaTheme="minorEastAsia"/>
          <w:color w:val="000000" w:themeColor="text1"/>
          <w:sz w:val="24"/>
          <w:highlight w:val="non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 xml:space="preserve">年 </w:t>
      </w:r>
      <w:r>
        <w:rPr>
          <w:rFonts w:asciiTheme="minorEastAsia" w:hAnsiTheme="minorEastAsia" w:eastAsiaTheme="minorEastAsia"/>
          <w:color w:val="000000" w:themeColor="text1"/>
          <w:sz w:val="24"/>
          <w:highlight w:val="none"/>
          <w14:textFill>
            <w14:solidFill>
              <w14:schemeClr w14:val="tx1"/>
            </w14:solidFill>
          </w14:textFill>
        </w:rPr>
        <w:t xml:space="preserve"> </w:t>
      </w:r>
      <w:r>
        <w:rPr>
          <w:rFonts w:hint="eastAsia" w:asciiTheme="minorEastAsia" w:hAnsiTheme="minorEastAsia" w:eastAsiaTheme="minorEastAsia"/>
          <w:color w:val="000000" w:themeColor="text1"/>
          <w:sz w:val="24"/>
          <w:highlight w:val="none"/>
          <w14:textFill>
            <w14:solidFill>
              <w14:schemeClr w14:val="tx1"/>
            </w14:solidFill>
          </w14:textFill>
        </w:rPr>
        <w:t xml:space="preserve">月 </w:t>
      </w:r>
      <w:r>
        <w:rPr>
          <w:rFonts w:asciiTheme="minorEastAsia" w:hAnsiTheme="minorEastAsia" w:eastAsiaTheme="minorEastAsia"/>
          <w:color w:val="000000" w:themeColor="text1"/>
          <w:sz w:val="24"/>
          <w:highlight w:val="none"/>
          <w14:textFill>
            <w14:solidFill>
              <w14:schemeClr w14:val="tx1"/>
            </w14:solidFill>
          </w14:textFill>
        </w:rPr>
        <w:t xml:space="preserve"> </w:t>
      </w:r>
      <w:r>
        <w:rPr>
          <w:rFonts w:hint="eastAsia" w:asciiTheme="minorEastAsia" w:hAnsiTheme="minorEastAsia" w:eastAsiaTheme="minorEastAsia"/>
          <w:color w:val="000000" w:themeColor="text1"/>
          <w:sz w:val="24"/>
          <w:highlight w:val="none"/>
          <w14:textFill>
            <w14:solidFill>
              <w14:schemeClr w14:val="tx1"/>
            </w14:solidFill>
          </w14:textFill>
        </w:rPr>
        <w:t xml:space="preserve">日 </w:t>
      </w:r>
      <w:r>
        <w:rPr>
          <w:rFonts w:asciiTheme="minorEastAsia" w:hAnsiTheme="minorEastAsia" w:eastAsiaTheme="minorEastAsia"/>
          <w:color w:val="000000" w:themeColor="text1"/>
          <w:sz w:val="24"/>
          <w:highlight w:val="none"/>
          <w14:textFill>
            <w14:solidFill>
              <w14:schemeClr w14:val="tx1"/>
            </w14:solidFill>
          </w14:textFill>
        </w:rPr>
        <w:t xml:space="preserve">                                    </w:t>
      </w:r>
      <w:r>
        <w:rPr>
          <w:rFonts w:hint="eastAsia" w:asciiTheme="minorEastAsia" w:hAnsiTheme="minorEastAsia" w:eastAsiaTheme="minorEastAsia"/>
          <w:color w:val="000000" w:themeColor="text1"/>
          <w:sz w:val="24"/>
          <w:highlight w:val="none"/>
          <w14:textFill>
            <w14:solidFill>
              <w14:schemeClr w14:val="tx1"/>
            </w14:solidFill>
          </w14:textFill>
        </w:rPr>
        <w:t xml:space="preserve">年 </w:t>
      </w:r>
      <w:r>
        <w:rPr>
          <w:rFonts w:asciiTheme="minorEastAsia" w:hAnsiTheme="minorEastAsia" w:eastAsiaTheme="minorEastAsia"/>
          <w:color w:val="000000" w:themeColor="text1"/>
          <w:sz w:val="24"/>
          <w:highlight w:val="none"/>
          <w14:textFill>
            <w14:solidFill>
              <w14:schemeClr w14:val="tx1"/>
            </w14:solidFill>
          </w14:textFill>
        </w:rPr>
        <w:t xml:space="preserve"> </w:t>
      </w:r>
      <w:r>
        <w:rPr>
          <w:rFonts w:hint="eastAsia" w:asciiTheme="minorEastAsia" w:hAnsiTheme="minorEastAsia" w:eastAsiaTheme="minorEastAsia"/>
          <w:color w:val="000000" w:themeColor="text1"/>
          <w:sz w:val="24"/>
          <w:highlight w:val="none"/>
          <w14:textFill>
            <w14:solidFill>
              <w14:schemeClr w14:val="tx1"/>
            </w14:solidFill>
          </w14:textFill>
        </w:rPr>
        <w:t xml:space="preserve">月 </w:t>
      </w:r>
      <w:r>
        <w:rPr>
          <w:rFonts w:asciiTheme="minorEastAsia" w:hAnsiTheme="minorEastAsia" w:eastAsiaTheme="minorEastAsia"/>
          <w:color w:val="000000" w:themeColor="text1"/>
          <w:sz w:val="24"/>
          <w:highlight w:val="none"/>
          <w14:textFill>
            <w14:solidFill>
              <w14:schemeClr w14:val="tx1"/>
            </w14:solidFill>
          </w14:textFill>
        </w:rPr>
        <w:t xml:space="preserve"> </w:t>
      </w:r>
      <w:r>
        <w:rPr>
          <w:rFonts w:hint="eastAsia" w:asciiTheme="minorEastAsia" w:hAnsiTheme="minorEastAsia" w:eastAsiaTheme="minorEastAsia"/>
          <w:color w:val="000000" w:themeColor="text1"/>
          <w:sz w:val="24"/>
          <w:highlight w:val="none"/>
          <w14:textFill>
            <w14:solidFill>
              <w14:schemeClr w14:val="tx1"/>
            </w14:solidFill>
          </w14:textFill>
        </w:rPr>
        <w:t>日</w:t>
      </w:r>
    </w:p>
    <w:p w14:paraId="1D2FA4C7">
      <w:pPr>
        <w:spacing w:line="500" w:lineRule="exact"/>
        <w:ind w:firstLine="551" w:firstLineChars="196"/>
        <w:rPr>
          <w:rFonts w:asciiTheme="minorEastAsia" w:hAnsiTheme="minorEastAsia" w:eastAsiaTheme="minorEastAsia"/>
          <w:b/>
          <w:color w:val="000000" w:themeColor="text1"/>
          <w:sz w:val="28"/>
          <w:highlight w:val="none"/>
          <w14:textFill>
            <w14:solidFill>
              <w14:schemeClr w14:val="tx1"/>
            </w14:solidFill>
          </w14:textFill>
        </w:rPr>
      </w:pPr>
      <w:r>
        <w:rPr>
          <w:rFonts w:hint="eastAsia" w:asciiTheme="minorEastAsia" w:hAnsiTheme="minorEastAsia" w:eastAsiaTheme="minorEastAsia"/>
          <w:b/>
          <w:color w:val="000000" w:themeColor="text1"/>
          <w:sz w:val="28"/>
          <w:highlight w:val="none"/>
          <w14:textFill>
            <w14:solidFill>
              <w14:schemeClr w14:val="tx1"/>
            </w14:solidFill>
          </w14:textFill>
        </w:rPr>
        <w:t>招标代理机构声明：本合同标的经采购代理机构依法定程序采购，合同条款与招投标（响应）文件的内容一致。</w:t>
      </w:r>
    </w:p>
    <w:p w14:paraId="4DB97039">
      <w:pPr>
        <w:spacing w:line="500" w:lineRule="exact"/>
        <w:rPr>
          <w:rFonts w:asciiTheme="minorEastAsia" w:hAnsiTheme="minorEastAsia" w:eastAsiaTheme="minorEastAsia"/>
          <w:b/>
          <w:color w:val="000000" w:themeColor="text1"/>
          <w:sz w:val="28"/>
          <w:highlight w:val="none"/>
          <w:u w:val="single"/>
          <w14:textFill>
            <w14:solidFill>
              <w14:schemeClr w14:val="tx1"/>
            </w14:solidFill>
          </w14:textFill>
        </w:rPr>
      </w:pPr>
      <w:r>
        <w:rPr>
          <w:rFonts w:hint="eastAsia" w:asciiTheme="minorEastAsia" w:hAnsiTheme="minorEastAsia" w:eastAsiaTheme="minorEastAsia"/>
          <w:b/>
          <w:color w:val="000000" w:themeColor="text1"/>
          <w:sz w:val="28"/>
          <w:highlight w:val="none"/>
          <w14:textFill>
            <w14:solidFill>
              <w14:schemeClr w14:val="tx1"/>
            </w14:solidFill>
          </w14:textFill>
        </w:rPr>
        <w:t>招标代理机构：</w:t>
      </w:r>
      <w:r>
        <w:rPr>
          <w:rFonts w:hint="eastAsia" w:asciiTheme="minorEastAsia" w:hAnsiTheme="minorEastAsia" w:eastAsiaTheme="minorEastAsia"/>
          <w:b/>
          <w:color w:val="000000" w:themeColor="text1"/>
          <w:sz w:val="28"/>
          <w:highlight w:val="none"/>
          <w:u w:val="single"/>
          <w14:textFill>
            <w14:solidFill>
              <w14:schemeClr w14:val="tx1"/>
            </w14:solidFill>
          </w14:textFill>
        </w:rPr>
        <w:t>海南</w:t>
      </w:r>
      <w:r>
        <w:rPr>
          <w:rFonts w:hint="eastAsia" w:asciiTheme="minorEastAsia" w:hAnsiTheme="minorEastAsia" w:eastAsiaTheme="minorEastAsia"/>
          <w:b/>
          <w:color w:val="000000" w:themeColor="text1"/>
          <w:sz w:val="28"/>
          <w:highlight w:val="none"/>
          <w:u w:val="single"/>
          <w:lang w:val="en-US" w:eastAsia="zh-CN"/>
          <w14:textFill>
            <w14:solidFill>
              <w14:schemeClr w14:val="tx1"/>
            </w14:solidFill>
          </w14:textFill>
        </w:rPr>
        <w:t>菲迪克招标咨询</w:t>
      </w:r>
      <w:r>
        <w:rPr>
          <w:rFonts w:hint="eastAsia" w:asciiTheme="minorEastAsia" w:hAnsiTheme="minorEastAsia" w:eastAsiaTheme="minorEastAsia"/>
          <w:b/>
          <w:color w:val="000000" w:themeColor="text1"/>
          <w:sz w:val="28"/>
          <w:highlight w:val="none"/>
          <w:u w:val="single"/>
          <w14:textFill>
            <w14:solidFill>
              <w14:schemeClr w14:val="tx1"/>
            </w14:solidFill>
          </w14:textFill>
        </w:rPr>
        <w:t>有限公司（盖章）</w:t>
      </w:r>
    </w:p>
    <w:p w14:paraId="623D8F49">
      <w:pPr>
        <w:spacing w:line="500" w:lineRule="exact"/>
        <w:rPr>
          <w:rFonts w:asciiTheme="minorEastAsia" w:hAnsiTheme="minorEastAsia" w:eastAsiaTheme="minorEastAsia"/>
          <w:color w:val="000000" w:themeColor="text1"/>
          <w:sz w:val="28"/>
          <w:highlight w:val="none"/>
          <w14:textFill>
            <w14:solidFill>
              <w14:schemeClr w14:val="tx1"/>
            </w14:solidFill>
          </w14:textFill>
        </w:rPr>
      </w:pPr>
      <w:r>
        <w:rPr>
          <w:rFonts w:hint="eastAsia" w:asciiTheme="minorEastAsia" w:hAnsiTheme="minorEastAsia" w:eastAsiaTheme="minorEastAsia"/>
          <w:color w:val="000000" w:themeColor="text1"/>
          <w:sz w:val="28"/>
          <w:highlight w:val="none"/>
          <w14:textFill>
            <w14:solidFill>
              <w14:schemeClr w14:val="tx1"/>
            </w14:solidFill>
          </w14:textFill>
        </w:rPr>
        <w:t>经办人：</w:t>
      </w:r>
    </w:p>
    <w:p w14:paraId="3C75E714">
      <w:pPr>
        <w:rPr>
          <w:rFonts w:hint="eastAsia" w:asciiTheme="minorEastAsia" w:hAnsiTheme="minorEastAsia" w:eastAsiaTheme="minorEastAsia"/>
          <w:color w:val="000000" w:themeColor="text1"/>
          <w:sz w:val="28"/>
          <w:highlight w:val="none"/>
          <w14:textFill>
            <w14:solidFill>
              <w14:schemeClr w14:val="tx1"/>
            </w14:solidFill>
          </w14:textFill>
        </w:rPr>
      </w:pPr>
      <w:r>
        <w:rPr>
          <w:rFonts w:hint="eastAsia" w:asciiTheme="minorEastAsia" w:hAnsiTheme="minorEastAsia" w:eastAsiaTheme="minorEastAsia"/>
          <w:color w:val="000000" w:themeColor="text1"/>
          <w:sz w:val="28"/>
          <w:highlight w:val="none"/>
          <w14:textFill>
            <w14:solidFill>
              <w14:schemeClr w14:val="tx1"/>
            </w14:solidFill>
          </w14:textFill>
        </w:rPr>
        <w:t xml:space="preserve">年 </w:t>
      </w:r>
      <w:r>
        <w:rPr>
          <w:rFonts w:asciiTheme="minorEastAsia" w:hAnsiTheme="minorEastAsia" w:eastAsiaTheme="minorEastAsia"/>
          <w:color w:val="000000" w:themeColor="text1"/>
          <w:sz w:val="28"/>
          <w:highlight w:val="none"/>
          <w14:textFill>
            <w14:solidFill>
              <w14:schemeClr w14:val="tx1"/>
            </w14:solidFill>
          </w14:textFill>
        </w:rPr>
        <w:t xml:space="preserve">  </w:t>
      </w:r>
      <w:r>
        <w:rPr>
          <w:rFonts w:hint="eastAsia" w:asciiTheme="minorEastAsia" w:hAnsiTheme="minorEastAsia" w:eastAsiaTheme="minorEastAsia"/>
          <w:color w:val="000000" w:themeColor="text1"/>
          <w:sz w:val="28"/>
          <w:highlight w:val="none"/>
          <w14:textFill>
            <w14:solidFill>
              <w14:schemeClr w14:val="tx1"/>
            </w14:solidFill>
          </w14:textFill>
        </w:rPr>
        <w:t xml:space="preserve">月 </w:t>
      </w:r>
      <w:r>
        <w:rPr>
          <w:rFonts w:asciiTheme="minorEastAsia" w:hAnsiTheme="minorEastAsia" w:eastAsiaTheme="minorEastAsia"/>
          <w:color w:val="000000" w:themeColor="text1"/>
          <w:sz w:val="28"/>
          <w:highlight w:val="none"/>
          <w14:textFill>
            <w14:solidFill>
              <w14:schemeClr w14:val="tx1"/>
            </w14:solidFill>
          </w14:textFill>
        </w:rPr>
        <w:t xml:space="preserve">  </w:t>
      </w:r>
      <w:r>
        <w:rPr>
          <w:rFonts w:hint="eastAsia" w:asciiTheme="minorEastAsia" w:hAnsiTheme="minorEastAsia" w:eastAsiaTheme="minorEastAsia"/>
          <w:color w:val="000000" w:themeColor="text1"/>
          <w:sz w:val="28"/>
          <w:highlight w:val="none"/>
          <w14:textFill>
            <w14:solidFill>
              <w14:schemeClr w14:val="tx1"/>
            </w14:solidFill>
          </w14:textFill>
        </w:rPr>
        <w:t>日</w:t>
      </w:r>
    </w:p>
    <w:p w14:paraId="093C3B1A">
      <w:pPr>
        <w:rPr>
          <w:rFonts w:hint="eastAsia" w:asciiTheme="minorEastAsia" w:hAnsiTheme="minorEastAsia" w:eastAsiaTheme="minorEastAsia"/>
          <w:color w:val="000000" w:themeColor="text1"/>
          <w:sz w:val="28"/>
          <w:highlight w:val="none"/>
          <w14:textFill>
            <w14:solidFill>
              <w14:schemeClr w14:val="tx1"/>
            </w14:solidFill>
          </w14:textFill>
        </w:rPr>
      </w:pPr>
      <w:r>
        <w:rPr>
          <w:rFonts w:hint="eastAsia" w:asciiTheme="minorEastAsia" w:hAnsiTheme="minorEastAsia" w:eastAsiaTheme="minorEastAsia"/>
          <w:color w:val="000000" w:themeColor="text1"/>
          <w:sz w:val="28"/>
          <w:highlight w:val="none"/>
          <w14:textFill>
            <w14:solidFill>
              <w14:schemeClr w14:val="tx1"/>
            </w14:solidFill>
          </w14:textFill>
        </w:rPr>
        <w:br w:type="page"/>
      </w:r>
    </w:p>
    <w:p w14:paraId="2958ABB1">
      <w:pPr>
        <w:pStyle w:val="2"/>
        <w:numPr>
          <w:ilvl w:val="1"/>
          <w:numId w:val="0"/>
        </w:numPr>
        <w:bidi w:val="0"/>
        <w:ind w:leftChars="0"/>
        <w:jc w:val="cente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采购包2采购合同</w:t>
      </w:r>
    </w:p>
    <w:p w14:paraId="5F419EB8">
      <w:pPr>
        <w:spacing w:line="500" w:lineRule="exact"/>
        <w:rPr>
          <w:rFonts w:asciiTheme="minorEastAsia" w:hAnsiTheme="minorEastAsia" w:eastAsiaTheme="minorEastAsia"/>
          <w:b/>
          <w:color w:val="000000" w:themeColor="text1"/>
          <w:sz w:val="24"/>
          <w:highlight w:val="none"/>
          <w:u w:val="single"/>
          <w14:textFill>
            <w14:solidFill>
              <w14:schemeClr w14:val="tx1"/>
            </w14:solidFill>
          </w14:textFill>
        </w:rPr>
      </w:pPr>
      <w:r>
        <w:rPr>
          <w:rFonts w:hint="eastAsia" w:asciiTheme="minorEastAsia" w:hAnsiTheme="minorEastAsia" w:eastAsiaTheme="minorEastAsia"/>
          <w:b/>
          <w:color w:val="000000" w:themeColor="text1"/>
          <w:sz w:val="24"/>
          <w:highlight w:val="none"/>
          <w14:textFill>
            <w14:solidFill>
              <w14:schemeClr w14:val="tx1"/>
            </w14:solidFill>
          </w14:textFill>
        </w:rPr>
        <w:t>甲方:</w:t>
      </w:r>
    </w:p>
    <w:p w14:paraId="09973E7B">
      <w:pPr>
        <w:spacing w:line="500" w:lineRule="exact"/>
        <w:rPr>
          <w:rFonts w:asciiTheme="minorEastAsia" w:hAnsiTheme="minorEastAsia" w:eastAsiaTheme="minorEastAsia"/>
          <w:b/>
          <w:color w:val="000000" w:themeColor="text1"/>
          <w:sz w:val="24"/>
          <w:highlight w:val="none"/>
          <w:u w:val="single"/>
          <w14:textFill>
            <w14:solidFill>
              <w14:schemeClr w14:val="tx1"/>
            </w14:solidFill>
          </w14:textFill>
        </w:rPr>
      </w:pPr>
      <w:r>
        <w:rPr>
          <w:rFonts w:hint="eastAsia" w:asciiTheme="minorEastAsia" w:hAnsiTheme="minorEastAsia" w:eastAsiaTheme="minorEastAsia"/>
          <w:b/>
          <w:color w:val="000000" w:themeColor="text1"/>
          <w:sz w:val="24"/>
          <w:highlight w:val="none"/>
          <w14:textFill>
            <w14:solidFill>
              <w14:schemeClr w14:val="tx1"/>
            </w14:solidFill>
          </w14:textFill>
        </w:rPr>
        <w:t>乙方:</w:t>
      </w:r>
    </w:p>
    <w:p w14:paraId="46B3CCC8">
      <w:pPr>
        <w:spacing w:line="360" w:lineRule="auto"/>
        <w:ind w:firstLine="480" w:firstLineChars="200"/>
        <w:rPr>
          <w:rFonts w:asciiTheme="minorEastAsia" w:hAnsiTheme="minorEastAsia" w:eastAsiaTheme="minorEastAsia"/>
          <w:b/>
          <w:color w:val="000000" w:themeColor="text1"/>
          <w:kern w:val="2"/>
          <w:sz w:val="36"/>
          <w:szCs w:val="36"/>
          <w:highlight w:val="non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甲乙双方根据年月日</w:t>
      </w:r>
      <w:r>
        <w:rPr>
          <w:rFonts w:hint="eastAsia" w:asciiTheme="minorEastAsia" w:hAnsiTheme="minorEastAsia" w:eastAsiaTheme="minorEastAsia"/>
          <w:color w:val="000000" w:themeColor="text1"/>
          <w:sz w:val="24"/>
          <w:szCs w:val="30"/>
          <w:highlight w:val="none"/>
          <w:u w:val="single"/>
          <w14:textFill>
            <w14:solidFill>
              <w14:schemeClr w14:val="tx1"/>
            </w14:solidFill>
          </w14:textFill>
        </w:rPr>
        <w:t>（项目名称）</w:t>
      </w:r>
      <w:r>
        <w:rPr>
          <w:rFonts w:hint="eastAsia" w:asciiTheme="minorEastAsia" w:hAnsiTheme="minorEastAsia" w:eastAsiaTheme="minorEastAsia"/>
          <w:color w:val="000000" w:themeColor="text1"/>
          <w:sz w:val="24"/>
          <w:highlight w:val="none"/>
          <w14:textFill>
            <w14:solidFill>
              <w14:schemeClr w14:val="tx1"/>
            </w14:solidFill>
          </w14:textFill>
        </w:rPr>
        <w:t>（招标编号:</w:t>
      </w:r>
      <w:r>
        <w:rPr>
          <w:rFonts w:hint="eastAsia" w:asciiTheme="minorEastAsia" w:hAnsiTheme="minorEastAsia" w:eastAsiaTheme="minorEastAsia"/>
          <w:color w:val="000000" w:themeColor="text1"/>
          <w:sz w:val="24"/>
          <w:highlight w:val="none"/>
          <w:u w:val="single"/>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4"/>
          <w:highlight w:val="none"/>
          <w14:textFill>
            <w14:solidFill>
              <w14:schemeClr w14:val="tx1"/>
            </w14:solidFill>
          </w14:textFill>
        </w:rPr>
        <w:t>）中标（成交）结果及采购文件的要求,经协商一致,同意以下专用条款作为本项目合同条款的补充。当合同条款与专用条款不一致时，以专用条款为准。</w:t>
      </w:r>
    </w:p>
    <w:p w14:paraId="7BF0B3B9">
      <w:pP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一、合同标的及金额等(详见附件清单)</w:t>
      </w:r>
    </w:p>
    <w:tbl>
      <w:tblPr>
        <w:tblStyle w:val="7"/>
        <w:tblW w:w="9000" w:type="dxa"/>
        <w:tblInd w:w="-150" w:type="dxa"/>
        <w:tblLayout w:type="fixed"/>
        <w:tblCellMar>
          <w:top w:w="0" w:type="dxa"/>
          <w:left w:w="30" w:type="dxa"/>
          <w:bottom w:w="0" w:type="dxa"/>
          <w:right w:w="30" w:type="dxa"/>
        </w:tblCellMar>
      </w:tblPr>
      <w:tblGrid>
        <w:gridCol w:w="720"/>
        <w:gridCol w:w="2700"/>
        <w:gridCol w:w="1620"/>
        <w:gridCol w:w="1080"/>
        <w:gridCol w:w="1440"/>
        <w:gridCol w:w="1440"/>
      </w:tblGrid>
      <w:tr w14:paraId="7D59BFA3">
        <w:tblPrEx>
          <w:tblCellMar>
            <w:top w:w="0" w:type="dxa"/>
            <w:left w:w="30" w:type="dxa"/>
            <w:bottom w:w="0" w:type="dxa"/>
            <w:right w:w="30" w:type="dxa"/>
          </w:tblCellMar>
        </w:tblPrEx>
        <w:trPr>
          <w:trHeight w:val="593" w:hRule="exact"/>
        </w:trPr>
        <w:tc>
          <w:tcPr>
            <w:tcW w:w="720" w:type="dxa"/>
            <w:tcBorders>
              <w:top w:val="single" w:color="auto" w:sz="8" w:space="0"/>
              <w:left w:val="single" w:color="auto" w:sz="8" w:space="0"/>
              <w:bottom w:val="single" w:color="auto" w:sz="8" w:space="0"/>
              <w:right w:val="single" w:color="auto" w:sz="8" w:space="0"/>
            </w:tcBorders>
            <w:vAlign w:val="center"/>
          </w:tcPr>
          <w:p w14:paraId="3DF0C569">
            <w:pPr>
              <w:autoSpaceDE w:val="0"/>
              <w:autoSpaceDN w:val="0"/>
              <w:spacing w:line="315" w:lineRule="atLeast"/>
              <w:jc w:val="center"/>
              <w:rPr>
                <w:rFonts w:cs="Arial" w:asciiTheme="minorEastAsia" w:hAnsiTheme="minorEastAsia" w:eastAsiaTheme="minorEastAsia"/>
                <w:b/>
                <w:color w:val="000000" w:themeColor="text1"/>
                <w:sz w:val="24"/>
                <w:szCs w:val="21"/>
                <w:highlight w:val="none"/>
                <w14:textFill>
                  <w14:solidFill>
                    <w14:schemeClr w14:val="tx1"/>
                  </w14:solidFill>
                </w14:textFill>
              </w:rPr>
            </w:pPr>
            <w:r>
              <w:rPr>
                <w:rFonts w:hint="eastAsia" w:cs="Arial" w:asciiTheme="minorEastAsia" w:hAnsiTheme="minorEastAsia" w:eastAsiaTheme="minorEastAsia"/>
                <w:b/>
                <w:color w:val="000000" w:themeColor="text1"/>
                <w:sz w:val="24"/>
                <w:szCs w:val="21"/>
                <w:highlight w:val="none"/>
                <w14:textFill>
                  <w14:solidFill>
                    <w14:schemeClr w14:val="tx1"/>
                  </w14:solidFill>
                </w14:textFill>
              </w:rPr>
              <w:t>序号</w:t>
            </w:r>
          </w:p>
        </w:tc>
        <w:tc>
          <w:tcPr>
            <w:tcW w:w="2700" w:type="dxa"/>
            <w:tcBorders>
              <w:top w:val="single" w:color="auto" w:sz="8" w:space="0"/>
              <w:left w:val="single" w:color="auto" w:sz="8" w:space="0"/>
              <w:bottom w:val="single" w:color="auto" w:sz="8" w:space="0"/>
              <w:right w:val="single" w:color="auto" w:sz="8" w:space="0"/>
            </w:tcBorders>
            <w:vAlign w:val="center"/>
          </w:tcPr>
          <w:p w14:paraId="79E01E07">
            <w:pPr>
              <w:autoSpaceDE w:val="0"/>
              <w:autoSpaceDN w:val="0"/>
              <w:spacing w:line="315" w:lineRule="atLeast"/>
              <w:jc w:val="center"/>
              <w:rPr>
                <w:rFonts w:cs="Arial" w:asciiTheme="minorEastAsia" w:hAnsiTheme="minorEastAsia" w:eastAsiaTheme="minorEastAsia"/>
                <w:b/>
                <w:color w:val="000000" w:themeColor="text1"/>
                <w:sz w:val="24"/>
                <w:szCs w:val="21"/>
                <w:highlight w:val="none"/>
                <w14:textFill>
                  <w14:solidFill>
                    <w14:schemeClr w14:val="tx1"/>
                  </w14:solidFill>
                </w14:textFill>
              </w:rPr>
            </w:pPr>
            <w:r>
              <w:rPr>
                <w:rFonts w:hint="eastAsia" w:cs="Arial" w:asciiTheme="minorEastAsia" w:hAnsiTheme="minorEastAsia" w:eastAsiaTheme="minorEastAsia"/>
                <w:b/>
                <w:color w:val="000000" w:themeColor="text1"/>
                <w:sz w:val="24"/>
                <w:szCs w:val="21"/>
                <w:highlight w:val="none"/>
                <w14:textFill>
                  <w14:solidFill>
                    <w14:schemeClr w14:val="tx1"/>
                  </w14:solidFill>
                </w14:textFill>
              </w:rPr>
              <w:t>项目名称</w:t>
            </w:r>
          </w:p>
        </w:tc>
        <w:tc>
          <w:tcPr>
            <w:tcW w:w="1620" w:type="dxa"/>
            <w:tcBorders>
              <w:top w:val="single" w:color="auto" w:sz="8" w:space="0"/>
              <w:left w:val="single" w:color="auto" w:sz="8" w:space="0"/>
              <w:bottom w:val="single" w:color="auto" w:sz="8" w:space="0"/>
              <w:right w:val="single" w:color="auto" w:sz="8" w:space="0"/>
            </w:tcBorders>
            <w:vAlign w:val="center"/>
          </w:tcPr>
          <w:p w14:paraId="3B03CD1A">
            <w:pPr>
              <w:autoSpaceDE w:val="0"/>
              <w:autoSpaceDN w:val="0"/>
              <w:spacing w:line="315" w:lineRule="atLeast"/>
              <w:jc w:val="center"/>
              <w:rPr>
                <w:rFonts w:cs="Arial" w:asciiTheme="minorEastAsia" w:hAnsiTheme="minorEastAsia" w:eastAsiaTheme="minorEastAsia"/>
                <w:b/>
                <w:color w:val="000000" w:themeColor="text1"/>
                <w:sz w:val="24"/>
                <w:szCs w:val="21"/>
                <w:highlight w:val="none"/>
                <w14:textFill>
                  <w14:solidFill>
                    <w14:schemeClr w14:val="tx1"/>
                  </w14:solidFill>
                </w14:textFill>
              </w:rPr>
            </w:pPr>
            <w:r>
              <w:rPr>
                <w:rFonts w:hint="eastAsia" w:cs="Arial" w:asciiTheme="minorEastAsia" w:hAnsiTheme="minorEastAsia" w:eastAsiaTheme="minorEastAsia"/>
                <w:b/>
                <w:color w:val="000000" w:themeColor="text1"/>
                <w:sz w:val="24"/>
                <w:szCs w:val="21"/>
                <w:highlight w:val="none"/>
                <w14:textFill>
                  <w14:solidFill>
                    <w14:schemeClr w14:val="tx1"/>
                  </w14:solidFill>
                </w14:textFill>
              </w:rPr>
              <w:t>单价</w:t>
            </w:r>
          </w:p>
        </w:tc>
        <w:tc>
          <w:tcPr>
            <w:tcW w:w="1080" w:type="dxa"/>
            <w:tcBorders>
              <w:top w:val="single" w:color="auto" w:sz="8" w:space="0"/>
              <w:left w:val="single" w:color="auto" w:sz="8" w:space="0"/>
              <w:bottom w:val="single" w:color="auto" w:sz="8" w:space="0"/>
              <w:right w:val="single" w:color="auto" w:sz="8" w:space="0"/>
            </w:tcBorders>
            <w:vAlign w:val="center"/>
          </w:tcPr>
          <w:p w14:paraId="60555077">
            <w:pPr>
              <w:autoSpaceDE w:val="0"/>
              <w:autoSpaceDN w:val="0"/>
              <w:spacing w:line="315" w:lineRule="atLeast"/>
              <w:jc w:val="center"/>
              <w:rPr>
                <w:rFonts w:cs="Arial" w:asciiTheme="minorEastAsia" w:hAnsiTheme="minorEastAsia" w:eastAsiaTheme="minorEastAsia"/>
                <w:b/>
                <w:color w:val="000000" w:themeColor="text1"/>
                <w:sz w:val="24"/>
                <w:szCs w:val="21"/>
                <w:highlight w:val="none"/>
                <w14:textFill>
                  <w14:solidFill>
                    <w14:schemeClr w14:val="tx1"/>
                  </w14:solidFill>
                </w14:textFill>
              </w:rPr>
            </w:pPr>
            <w:r>
              <w:rPr>
                <w:rFonts w:hint="eastAsia" w:cs="Arial" w:asciiTheme="minorEastAsia" w:hAnsiTheme="minorEastAsia" w:eastAsiaTheme="minorEastAsia"/>
                <w:b/>
                <w:color w:val="000000" w:themeColor="text1"/>
                <w:sz w:val="24"/>
                <w:szCs w:val="21"/>
                <w:highlight w:val="none"/>
                <w14:textFill>
                  <w14:solidFill>
                    <w14:schemeClr w14:val="tx1"/>
                  </w14:solidFill>
                </w14:textFill>
              </w:rPr>
              <w:t>数量</w:t>
            </w:r>
          </w:p>
        </w:tc>
        <w:tc>
          <w:tcPr>
            <w:tcW w:w="1440" w:type="dxa"/>
            <w:tcBorders>
              <w:top w:val="single" w:color="auto" w:sz="8" w:space="0"/>
              <w:left w:val="single" w:color="auto" w:sz="8" w:space="0"/>
              <w:bottom w:val="single" w:color="auto" w:sz="8" w:space="0"/>
              <w:right w:val="single" w:color="auto" w:sz="8" w:space="0"/>
            </w:tcBorders>
            <w:vAlign w:val="center"/>
          </w:tcPr>
          <w:p w14:paraId="242F1555">
            <w:pPr>
              <w:autoSpaceDE w:val="0"/>
              <w:autoSpaceDN w:val="0"/>
              <w:spacing w:line="315" w:lineRule="atLeast"/>
              <w:jc w:val="center"/>
              <w:rPr>
                <w:rFonts w:cs="Arial" w:asciiTheme="minorEastAsia" w:hAnsiTheme="minorEastAsia" w:eastAsiaTheme="minorEastAsia"/>
                <w:b/>
                <w:color w:val="000000" w:themeColor="text1"/>
                <w:sz w:val="24"/>
                <w:szCs w:val="21"/>
                <w:highlight w:val="none"/>
                <w14:textFill>
                  <w14:solidFill>
                    <w14:schemeClr w14:val="tx1"/>
                  </w14:solidFill>
                </w14:textFill>
              </w:rPr>
            </w:pPr>
            <w:r>
              <w:rPr>
                <w:rFonts w:hint="eastAsia" w:cs="Arial" w:asciiTheme="minorEastAsia" w:hAnsiTheme="minorEastAsia" w:eastAsiaTheme="minorEastAsia"/>
                <w:b/>
                <w:color w:val="000000" w:themeColor="text1"/>
                <w:sz w:val="24"/>
                <w:szCs w:val="21"/>
                <w:highlight w:val="none"/>
                <w14:textFill>
                  <w14:solidFill>
                    <w14:schemeClr w14:val="tx1"/>
                  </w14:solidFill>
                </w14:textFill>
              </w:rPr>
              <w:t>小计</w:t>
            </w:r>
          </w:p>
        </w:tc>
        <w:tc>
          <w:tcPr>
            <w:tcW w:w="1440" w:type="dxa"/>
            <w:tcBorders>
              <w:top w:val="single" w:color="auto" w:sz="8" w:space="0"/>
              <w:left w:val="single" w:color="auto" w:sz="8" w:space="0"/>
              <w:bottom w:val="single" w:color="auto" w:sz="8" w:space="0"/>
              <w:right w:val="single" w:color="auto" w:sz="8" w:space="0"/>
            </w:tcBorders>
            <w:vAlign w:val="center"/>
          </w:tcPr>
          <w:p w14:paraId="3D267D1B">
            <w:pPr>
              <w:autoSpaceDE w:val="0"/>
              <w:autoSpaceDN w:val="0"/>
              <w:spacing w:line="315" w:lineRule="atLeast"/>
              <w:jc w:val="center"/>
              <w:rPr>
                <w:rFonts w:cs="Arial" w:asciiTheme="minorEastAsia" w:hAnsiTheme="minorEastAsia" w:eastAsiaTheme="minorEastAsia"/>
                <w:b/>
                <w:color w:val="000000" w:themeColor="text1"/>
                <w:sz w:val="24"/>
                <w:szCs w:val="21"/>
                <w:highlight w:val="none"/>
                <w14:textFill>
                  <w14:solidFill>
                    <w14:schemeClr w14:val="tx1"/>
                  </w14:solidFill>
                </w14:textFill>
              </w:rPr>
            </w:pPr>
            <w:r>
              <w:rPr>
                <w:rFonts w:hint="eastAsia" w:cs="Arial" w:asciiTheme="minorEastAsia" w:hAnsiTheme="minorEastAsia" w:eastAsiaTheme="minorEastAsia"/>
                <w:b/>
                <w:color w:val="000000" w:themeColor="text1"/>
                <w:sz w:val="24"/>
                <w:szCs w:val="21"/>
                <w:highlight w:val="none"/>
                <w14:textFill>
                  <w14:solidFill>
                    <w14:schemeClr w14:val="tx1"/>
                  </w14:solidFill>
                </w14:textFill>
              </w:rPr>
              <w:t>备注</w:t>
            </w:r>
          </w:p>
        </w:tc>
      </w:tr>
      <w:tr w14:paraId="5DA82A36">
        <w:tblPrEx>
          <w:tblCellMar>
            <w:top w:w="0" w:type="dxa"/>
            <w:left w:w="30" w:type="dxa"/>
            <w:bottom w:w="0" w:type="dxa"/>
            <w:right w:w="30" w:type="dxa"/>
          </w:tblCellMar>
        </w:tblPrEx>
        <w:trPr>
          <w:trHeight w:val="653" w:hRule="exact"/>
        </w:trPr>
        <w:tc>
          <w:tcPr>
            <w:tcW w:w="720" w:type="dxa"/>
            <w:tcBorders>
              <w:top w:val="single" w:color="auto" w:sz="8" w:space="0"/>
              <w:left w:val="single" w:color="auto" w:sz="8" w:space="0"/>
              <w:bottom w:val="single" w:color="auto" w:sz="8" w:space="0"/>
              <w:right w:val="single" w:color="auto" w:sz="8" w:space="0"/>
            </w:tcBorders>
            <w:vAlign w:val="center"/>
          </w:tcPr>
          <w:p w14:paraId="1B8891C4">
            <w:pPr>
              <w:autoSpaceDE w:val="0"/>
              <w:autoSpaceDN w:val="0"/>
              <w:spacing w:line="315" w:lineRule="atLeast"/>
              <w:jc w:val="center"/>
              <w:rPr>
                <w:rFonts w:cs="Arial" w:asciiTheme="minorEastAsia" w:hAnsiTheme="minorEastAsia" w:eastAsiaTheme="minorEastAsia"/>
                <w:color w:val="000000" w:themeColor="text1"/>
                <w:sz w:val="24"/>
                <w:szCs w:val="21"/>
                <w:highlight w:val="none"/>
                <w14:textFill>
                  <w14:solidFill>
                    <w14:schemeClr w14:val="tx1"/>
                  </w14:solidFill>
                </w14:textFill>
              </w:rPr>
            </w:pPr>
            <w:r>
              <w:rPr>
                <w:rFonts w:hint="eastAsia" w:cs="Arial" w:asciiTheme="minorEastAsia" w:hAnsiTheme="minorEastAsia" w:eastAsiaTheme="minorEastAsia"/>
                <w:color w:val="000000" w:themeColor="text1"/>
                <w:sz w:val="24"/>
                <w:szCs w:val="21"/>
                <w:highlight w:val="none"/>
                <w14:textFill>
                  <w14:solidFill>
                    <w14:schemeClr w14:val="tx1"/>
                  </w14:solidFill>
                </w14:textFill>
              </w:rPr>
              <w:t>1</w:t>
            </w:r>
          </w:p>
        </w:tc>
        <w:tc>
          <w:tcPr>
            <w:tcW w:w="2700" w:type="dxa"/>
            <w:tcBorders>
              <w:top w:val="single" w:color="auto" w:sz="8" w:space="0"/>
              <w:left w:val="single" w:color="auto" w:sz="8" w:space="0"/>
              <w:bottom w:val="single" w:color="auto" w:sz="8" w:space="0"/>
              <w:right w:val="single" w:color="auto" w:sz="8" w:space="0"/>
            </w:tcBorders>
            <w:vAlign w:val="bottom"/>
          </w:tcPr>
          <w:p w14:paraId="6254C0B5">
            <w:pPr>
              <w:autoSpaceDE w:val="0"/>
              <w:autoSpaceDN w:val="0"/>
              <w:spacing w:line="315" w:lineRule="atLeast"/>
              <w:rPr>
                <w:rFonts w:cs="Arial" w:asciiTheme="minorEastAsia" w:hAnsiTheme="minorEastAsia" w:eastAsiaTheme="minorEastAsia"/>
                <w:color w:val="000000" w:themeColor="text1"/>
                <w:sz w:val="24"/>
                <w:highlight w:val="none"/>
                <w14:textFill>
                  <w14:solidFill>
                    <w14:schemeClr w14:val="tx1"/>
                  </w14:solidFill>
                </w14:textFill>
              </w:rPr>
            </w:pPr>
          </w:p>
        </w:tc>
        <w:tc>
          <w:tcPr>
            <w:tcW w:w="1620" w:type="dxa"/>
            <w:tcBorders>
              <w:top w:val="single" w:color="auto" w:sz="8" w:space="0"/>
              <w:left w:val="single" w:color="auto" w:sz="8" w:space="0"/>
              <w:bottom w:val="single" w:color="auto" w:sz="8" w:space="0"/>
              <w:right w:val="single" w:color="auto" w:sz="8" w:space="0"/>
            </w:tcBorders>
            <w:vAlign w:val="center"/>
          </w:tcPr>
          <w:p w14:paraId="2D598662">
            <w:pPr>
              <w:autoSpaceDE w:val="0"/>
              <w:autoSpaceDN w:val="0"/>
              <w:spacing w:line="315" w:lineRule="atLeast"/>
              <w:jc w:val="right"/>
              <w:rPr>
                <w:rFonts w:cs="Arial" w:asciiTheme="minorEastAsia" w:hAnsiTheme="minorEastAsia" w:eastAsiaTheme="minorEastAsia"/>
                <w:color w:val="000000" w:themeColor="text1"/>
                <w:sz w:val="24"/>
                <w:szCs w:val="21"/>
                <w:highlight w:val="none"/>
                <w14:textFill>
                  <w14:solidFill>
                    <w14:schemeClr w14:val="tx1"/>
                  </w14:solidFill>
                </w14:textFill>
              </w:rPr>
            </w:pPr>
          </w:p>
        </w:tc>
        <w:tc>
          <w:tcPr>
            <w:tcW w:w="1080" w:type="dxa"/>
            <w:tcBorders>
              <w:top w:val="single" w:color="auto" w:sz="8" w:space="0"/>
              <w:left w:val="single" w:color="auto" w:sz="8" w:space="0"/>
              <w:bottom w:val="single" w:color="auto" w:sz="8" w:space="0"/>
              <w:right w:val="single" w:color="auto" w:sz="8" w:space="0"/>
            </w:tcBorders>
            <w:vAlign w:val="center"/>
          </w:tcPr>
          <w:p w14:paraId="6F5576AE">
            <w:pPr>
              <w:autoSpaceDE w:val="0"/>
              <w:autoSpaceDN w:val="0"/>
              <w:spacing w:line="315" w:lineRule="atLeast"/>
              <w:jc w:val="right"/>
              <w:rPr>
                <w:rFonts w:cs="Arial" w:asciiTheme="minorEastAsia" w:hAnsiTheme="minorEastAsia" w:eastAsiaTheme="minorEastAsia"/>
                <w:color w:val="000000" w:themeColor="text1"/>
                <w:sz w:val="24"/>
                <w:szCs w:val="21"/>
                <w:highlight w:val="none"/>
                <w14:textFill>
                  <w14:solidFill>
                    <w14:schemeClr w14:val="tx1"/>
                  </w14:solidFill>
                </w14:textFill>
              </w:rPr>
            </w:pPr>
          </w:p>
        </w:tc>
        <w:tc>
          <w:tcPr>
            <w:tcW w:w="1440" w:type="dxa"/>
            <w:tcBorders>
              <w:top w:val="single" w:color="auto" w:sz="8" w:space="0"/>
              <w:left w:val="single" w:color="auto" w:sz="8" w:space="0"/>
              <w:bottom w:val="single" w:color="auto" w:sz="8" w:space="0"/>
              <w:right w:val="single" w:color="auto" w:sz="8" w:space="0"/>
            </w:tcBorders>
          </w:tcPr>
          <w:p w14:paraId="42F5687F">
            <w:pPr>
              <w:autoSpaceDE w:val="0"/>
              <w:autoSpaceDN w:val="0"/>
              <w:spacing w:line="315" w:lineRule="atLeast"/>
              <w:rPr>
                <w:rFonts w:cs="Arial" w:asciiTheme="minorEastAsia" w:hAnsiTheme="minorEastAsia" w:eastAsiaTheme="minorEastAsia"/>
                <w:color w:val="000000" w:themeColor="text1"/>
                <w:sz w:val="24"/>
                <w:szCs w:val="21"/>
                <w:highlight w:val="none"/>
                <w14:textFill>
                  <w14:solidFill>
                    <w14:schemeClr w14:val="tx1"/>
                  </w14:solidFill>
                </w14:textFill>
              </w:rPr>
            </w:pPr>
          </w:p>
        </w:tc>
        <w:tc>
          <w:tcPr>
            <w:tcW w:w="1440" w:type="dxa"/>
            <w:tcBorders>
              <w:top w:val="single" w:color="auto" w:sz="8" w:space="0"/>
              <w:left w:val="single" w:color="auto" w:sz="8" w:space="0"/>
              <w:bottom w:val="single" w:color="auto" w:sz="8" w:space="0"/>
              <w:right w:val="single" w:color="auto" w:sz="8" w:space="0"/>
            </w:tcBorders>
            <w:vAlign w:val="center"/>
          </w:tcPr>
          <w:p w14:paraId="022E6232">
            <w:pPr>
              <w:autoSpaceDE w:val="0"/>
              <w:autoSpaceDN w:val="0"/>
              <w:spacing w:line="315" w:lineRule="atLeast"/>
              <w:rPr>
                <w:rFonts w:cs="Arial" w:asciiTheme="minorEastAsia" w:hAnsiTheme="minorEastAsia" w:eastAsiaTheme="minorEastAsia"/>
                <w:color w:val="000000" w:themeColor="text1"/>
                <w:sz w:val="24"/>
                <w:szCs w:val="21"/>
                <w:highlight w:val="none"/>
                <w14:textFill>
                  <w14:solidFill>
                    <w14:schemeClr w14:val="tx1"/>
                  </w14:solidFill>
                </w14:textFill>
              </w:rPr>
            </w:pPr>
          </w:p>
        </w:tc>
      </w:tr>
      <w:tr w14:paraId="595B4C55">
        <w:tblPrEx>
          <w:tblCellMar>
            <w:top w:w="0" w:type="dxa"/>
            <w:left w:w="30" w:type="dxa"/>
            <w:bottom w:w="0" w:type="dxa"/>
            <w:right w:w="30" w:type="dxa"/>
          </w:tblCellMar>
        </w:tblPrEx>
        <w:trPr>
          <w:trHeight w:val="579" w:hRule="exact"/>
        </w:trPr>
        <w:tc>
          <w:tcPr>
            <w:tcW w:w="720" w:type="dxa"/>
            <w:tcBorders>
              <w:top w:val="single" w:color="auto" w:sz="8" w:space="0"/>
              <w:left w:val="single" w:color="auto" w:sz="8" w:space="0"/>
              <w:bottom w:val="single" w:color="auto" w:sz="8" w:space="0"/>
              <w:right w:val="single" w:color="auto" w:sz="8" w:space="0"/>
            </w:tcBorders>
            <w:vAlign w:val="center"/>
          </w:tcPr>
          <w:p w14:paraId="1DA8F4E2">
            <w:pPr>
              <w:autoSpaceDE w:val="0"/>
              <w:autoSpaceDN w:val="0"/>
              <w:spacing w:line="315" w:lineRule="atLeast"/>
              <w:jc w:val="center"/>
              <w:rPr>
                <w:rFonts w:cs="Arial" w:asciiTheme="minorEastAsia" w:hAnsiTheme="minorEastAsia" w:eastAsiaTheme="minorEastAsia"/>
                <w:color w:val="000000" w:themeColor="text1"/>
                <w:sz w:val="24"/>
                <w:szCs w:val="21"/>
                <w:highlight w:val="none"/>
                <w14:textFill>
                  <w14:solidFill>
                    <w14:schemeClr w14:val="tx1"/>
                  </w14:solidFill>
                </w14:textFill>
              </w:rPr>
            </w:pPr>
            <w:r>
              <w:rPr>
                <w:rFonts w:hint="eastAsia" w:cs="Arial" w:asciiTheme="minorEastAsia" w:hAnsiTheme="minorEastAsia" w:eastAsiaTheme="minorEastAsia"/>
                <w:color w:val="000000" w:themeColor="text1"/>
                <w:sz w:val="24"/>
                <w:szCs w:val="21"/>
                <w:highlight w:val="none"/>
                <w14:textFill>
                  <w14:solidFill>
                    <w14:schemeClr w14:val="tx1"/>
                  </w14:solidFill>
                </w14:textFill>
              </w:rPr>
              <w:t>…</w:t>
            </w:r>
          </w:p>
        </w:tc>
        <w:tc>
          <w:tcPr>
            <w:tcW w:w="2700" w:type="dxa"/>
            <w:tcBorders>
              <w:top w:val="single" w:color="auto" w:sz="8" w:space="0"/>
              <w:left w:val="single" w:color="auto" w:sz="8" w:space="0"/>
              <w:bottom w:val="single" w:color="auto" w:sz="8" w:space="0"/>
              <w:right w:val="single" w:color="auto" w:sz="8" w:space="0"/>
            </w:tcBorders>
            <w:vAlign w:val="center"/>
          </w:tcPr>
          <w:p w14:paraId="29F79455">
            <w:pPr>
              <w:autoSpaceDE w:val="0"/>
              <w:autoSpaceDN w:val="0"/>
              <w:spacing w:line="315" w:lineRule="atLeast"/>
              <w:rPr>
                <w:rFonts w:cs="宋体" w:asciiTheme="minorEastAsia" w:hAnsiTheme="minorEastAsia" w:eastAsiaTheme="minorEastAsia"/>
                <w:b/>
                <w:color w:val="000000" w:themeColor="text1"/>
                <w:sz w:val="24"/>
                <w:highlight w:val="none"/>
                <w14:textFill>
                  <w14:solidFill>
                    <w14:schemeClr w14:val="tx1"/>
                  </w14:solidFill>
                </w14:textFill>
              </w:rPr>
            </w:pPr>
          </w:p>
        </w:tc>
        <w:tc>
          <w:tcPr>
            <w:tcW w:w="1620" w:type="dxa"/>
            <w:tcBorders>
              <w:top w:val="single" w:color="auto" w:sz="8" w:space="0"/>
              <w:left w:val="single" w:color="auto" w:sz="8" w:space="0"/>
              <w:bottom w:val="single" w:color="auto" w:sz="8" w:space="0"/>
              <w:right w:val="single" w:color="auto" w:sz="8" w:space="0"/>
            </w:tcBorders>
            <w:vAlign w:val="center"/>
          </w:tcPr>
          <w:p w14:paraId="40DB4A71">
            <w:pPr>
              <w:autoSpaceDE w:val="0"/>
              <w:autoSpaceDN w:val="0"/>
              <w:spacing w:line="315" w:lineRule="atLeast"/>
              <w:jc w:val="right"/>
              <w:rPr>
                <w:rFonts w:cs="Arial" w:asciiTheme="minorEastAsia" w:hAnsiTheme="minorEastAsia" w:eastAsiaTheme="minorEastAsia"/>
                <w:color w:val="000000" w:themeColor="text1"/>
                <w:sz w:val="24"/>
                <w:szCs w:val="21"/>
                <w:highlight w:val="none"/>
                <w14:textFill>
                  <w14:solidFill>
                    <w14:schemeClr w14:val="tx1"/>
                  </w14:solidFill>
                </w14:textFill>
              </w:rPr>
            </w:pPr>
          </w:p>
        </w:tc>
        <w:tc>
          <w:tcPr>
            <w:tcW w:w="1080" w:type="dxa"/>
            <w:tcBorders>
              <w:top w:val="single" w:color="auto" w:sz="8" w:space="0"/>
              <w:left w:val="single" w:color="auto" w:sz="8" w:space="0"/>
              <w:bottom w:val="single" w:color="auto" w:sz="8" w:space="0"/>
              <w:right w:val="single" w:color="auto" w:sz="8" w:space="0"/>
            </w:tcBorders>
            <w:vAlign w:val="center"/>
          </w:tcPr>
          <w:p w14:paraId="2E9AF757">
            <w:pPr>
              <w:autoSpaceDE w:val="0"/>
              <w:autoSpaceDN w:val="0"/>
              <w:spacing w:line="315" w:lineRule="atLeast"/>
              <w:jc w:val="right"/>
              <w:rPr>
                <w:rFonts w:cs="Arial" w:asciiTheme="minorEastAsia" w:hAnsiTheme="minorEastAsia" w:eastAsiaTheme="minorEastAsia"/>
                <w:color w:val="000000" w:themeColor="text1"/>
                <w:sz w:val="24"/>
                <w:szCs w:val="21"/>
                <w:highlight w:val="none"/>
                <w14:textFill>
                  <w14:solidFill>
                    <w14:schemeClr w14:val="tx1"/>
                  </w14:solidFill>
                </w14:textFill>
              </w:rPr>
            </w:pPr>
          </w:p>
        </w:tc>
        <w:tc>
          <w:tcPr>
            <w:tcW w:w="1440" w:type="dxa"/>
            <w:tcBorders>
              <w:top w:val="single" w:color="auto" w:sz="8" w:space="0"/>
              <w:left w:val="single" w:color="auto" w:sz="8" w:space="0"/>
              <w:bottom w:val="single" w:color="auto" w:sz="8" w:space="0"/>
              <w:right w:val="single" w:color="auto" w:sz="8" w:space="0"/>
            </w:tcBorders>
          </w:tcPr>
          <w:p w14:paraId="7E88CD86">
            <w:pPr>
              <w:autoSpaceDE w:val="0"/>
              <w:autoSpaceDN w:val="0"/>
              <w:spacing w:line="315" w:lineRule="atLeast"/>
              <w:rPr>
                <w:rFonts w:cs="Arial" w:asciiTheme="minorEastAsia" w:hAnsiTheme="minorEastAsia" w:eastAsiaTheme="minorEastAsia"/>
                <w:color w:val="000000" w:themeColor="text1"/>
                <w:sz w:val="24"/>
                <w:szCs w:val="21"/>
                <w:highlight w:val="none"/>
                <w14:textFill>
                  <w14:solidFill>
                    <w14:schemeClr w14:val="tx1"/>
                  </w14:solidFill>
                </w14:textFill>
              </w:rPr>
            </w:pPr>
          </w:p>
        </w:tc>
        <w:tc>
          <w:tcPr>
            <w:tcW w:w="1440" w:type="dxa"/>
            <w:tcBorders>
              <w:top w:val="single" w:color="auto" w:sz="8" w:space="0"/>
              <w:left w:val="single" w:color="auto" w:sz="8" w:space="0"/>
              <w:bottom w:val="single" w:color="auto" w:sz="8" w:space="0"/>
              <w:right w:val="single" w:color="auto" w:sz="8" w:space="0"/>
            </w:tcBorders>
            <w:vAlign w:val="center"/>
          </w:tcPr>
          <w:p w14:paraId="5623E46E">
            <w:pPr>
              <w:autoSpaceDE w:val="0"/>
              <w:autoSpaceDN w:val="0"/>
              <w:spacing w:line="315" w:lineRule="atLeast"/>
              <w:rPr>
                <w:rFonts w:cs="Arial" w:asciiTheme="minorEastAsia" w:hAnsiTheme="minorEastAsia" w:eastAsiaTheme="minorEastAsia"/>
                <w:color w:val="000000" w:themeColor="text1"/>
                <w:sz w:val="24"/>
                <w:szCs w:val="21"/>
                <w:highlight w:val="none"/>
                <w14:textFill>
                  <w14:solidFill>
                    <w14:schemeClr w14:val="tx1"/>
                  </w14:solidFill>
                </w14:textFill>
              </w:rPr>
            </w:pPr>
          </w:p>
        </w:tc>
      </w:tr>
      <w:tr w14:paraId="43EDF4AE">
        <w:tblPrEx>
          <w:tblCellMar>
            <w:top w:w="0" w:type="dxa"/>
            <w:left w:w="30" w:type="dxa"/>
            <w:bottom w:w="0" w:type="dxa"/>
            <w:right w:w="30" w:type="dxa"/>
          </w:tblCellMar>
        </w:tblPrEx>
        <w:trPr>
          <w:cantSplit/>
          <w:trHeight w:val="579" w:hRule="exact"/>
        </w:trPr>
        <w:tc>
          <w:tcPr>
            <w:tcW w:w="3420" w:type="dxa"/>
            <w:gridSpan w:val="2"/>
            <w:vMerge w:val="restart"/>
            <w:tcBorders>
              <w:top w:val="single" w:color="auto" w:sz="8" w:space="0"/>
              <w:left w:val="single" w:color="auto" w:sz="8" w:space="0"/>
              <w:bottom w:val="single" w:color="auto" w:sz="8" w:space="0"/>
              <w:right w:val="single" w:color="auto" w:sz="8" w:space="0"/>
            </w:tcBorders>
            <w:vAlign w:val="center"/>
          </w:tcPr>
          <w:p w14:paraId="4C938514">
            <w:pPr>
              <w:autoSpaceDE w:val="0"/>
              <w:autoSpaceDN w:val="0"/>
              <w:spacing w:line="315" w:lineRule="atLeast"/>
              <w:jc w:val="center"/>
              <w:rPr>
                <w:rFonts w:cs="宋体" w:asciiTheme="minorEastAsia" w:hAnsiTheme="minorEastAsia" w:eastAsiaTheme="minorEastAsia"/>
                <w:b/>
                <w:color w:val="000000" w:themeColor="text1"/>
                <w:sz w:val="24"/>
                <w:highlight w:val="none"/>
                <w14:textFill>
                  <w14:solidFill>
                    <w14:schemeClr w14:val="tx1"/>
                  </w14:solidFill>
                </w14:textFill>
              </w:rPr>
            </w:pPr>
            <w:r>
              <w:rPr>
                <w:rFonts w:hint="eastAsia" w:cs="宋体" w:asciiTheme="minorEastAsia" w:hAnsiTheme="minorEastAsia" w:eastAsiaTheme="minorEastAsia"/>
                <w:b/>
                <w:color w:val="000000" w:themeColor="text1"/>
                <w:sz w:val="24"/>
                <w:highlight w:val="none"/>
                <w14:textFill>
                  <w14:solidFill>
                    <w14:schemeClr w14:val="tx1"/>
                  </w14:solidFill>
                </w14:textFill>
              </w:rPr>
              <w:t>合计</w:t>
            </w:r>
          </w:p>
        </w:tc>
        <w:tc>
          <w:tcPr>
            <w:tcW w:w="5580" w:type="dxa"/>
            <w:gridSpan w:val="4"/>
            <w:tcBorders>
              <w:top w:val="single" w:color="auto" w:sz="8" w:space="0"/>
              <w:left w:val="single" w:color="auto" w:sz="8" w:space="0"/>
              <w:bottom w:val="single" w:color="auto" w:sz="8" w:space="0"/>
              <w:right w:val="single" w:color="auto" w:sz="8" w:space="0"/>
            </w:tcBorders>
            <w:vAlign w:val="center"/>
          </w:tcPr>
          <w:p w14:paraId="273EECBA">
            <w:pPr>
              <w:autoSpaceDE w:val="0"/>
              <w:autoSpaceDN w:val="0"/>
              <w:spacing w:line="315" w:lineRule="atLeast"/>
              <w:rPr>
                <w:rFonts w:cs="Arial" w:asciiTheme="minorEastAsia" w:hAnsiTheme="minorEastAsia" w:eastAsiaTheme="minorEastAsia"/>
                <w:color w:val="000000" w:themeColor="text1"/>
                <w:sz w:val="24"/>
                <w:szCs w:val="21"/>
                <w:highlight w:val="none"/>
                <w14:textFill>
                  <w14:solidFill>
                    <w14:schemeClr w14:val="tx1"/>
                  </w14:solidFill>
                </w14:textFill>
              </w:rPr>
            </w:pPr>
            <w:r>
              <w:rPr>
                <w:rFonts w:hint="eastAsia" w:cs="Arial" w:asciiTheme="minorEastAsia" w:hAnsiTheme="minorEastAsia" w:eastAsiaTheme="minorEastAsia"/>
                <w:color w:val="000000" w:themeColor="text1"/>
                <w:sz w:val="24"/>
                <w:szCs w:val="21"/>
                <w:highlight w:val="none"/>
                <w14:textFill>
                  <w14:solidFill>
                    <w14:schemeClr w14:val="tx1"/>
                  </w14:solidFill>
                </w14:textFill>
              </w:rPr>
              <w:t>（小写）：</w:t>
            </w:r>
          </w:p>
        </w:tc>
      </w:tr>
      <w:tr w14:paraId="46E7C814">
        <w:tblPrEx>
          <w:tblCellMar>
            <w:top w:w="0" w:type="dxa"/>
            <w:left w:w="30" w:type="dxa"/>
            <w:bottom w:w="0" w:type="dxa"/>
            <w:right w:w="30" w:type="dxa"/>
          </w:tblCellMar>
        </w:tblPrEx>
        <w:trPr>
          <w:cantSplit/>
          <w:trHeight w:val="579" w:hRule="atLeast"/>
        </w:trPr>
        <w:tc>
          <w:tcPr>
            <w:tcW w:w="3420" w:type="dxa"/>
            <w:gridSpan w:val="2"/>
            <w:vMerge w:val="continue"/>
            <w:tcBorders>
              <w:top w:val="single" w:color="auto" w:sz="8" w:space="0"/>
              <w:left w:val="single" w:color="auto" w:sz="8" w:space="0"/>
              <w:bottom w:val="single" w:color="auto" w:sz="8" w:space="0"/>
              <w:right w:val="single" w:color="auto" w:sz="8" w:space="0"/>
            </w:tcBorders>
            <w:vAlign w:val="center"/>
          </w:tcPr>
          <w:p w14:paraId="03B8B274">
            <w:pPr>
              <w:rPr>
                <w:rFonts w:cs="宋体" w:asciiTheme="minorEastAsia" w:hAnsiTheme="minorEastAsia" w:eastAsiaTheme="minorEastAsia"/>
                <w:b/>
                <w:color w:val="000000" w:themeColor="text1"/>
                <w:sz w:val="24"/>
                <w:highlight w:val="none"/>
                <w14:textFill>
                  <w14:solidFill>
                    <w14:schemeClr w14:val="tx1"/>
                  </w14:solidFill>
                </w14:textFill>
              </w:rPr>
            </w:pPr>
          </w:p>
        </w:tc>
        <w:tc>
          <w:tcPr>
            <w:tcW w:w="5580" w:type="dxa"/>
            <w:gridSpan w:val="4"/>
            <w:tcBorders>
              <w:top w:val="single" w:color="auto" w:sz="8" w:space="0"/>
              <w:left w:val="single" w:color="auto" w:sz="8" w:space="0"/>
              <w:bottom w:val="single" w:color="auto" w:sz="8" w:space="0"/>
              <w:right w:val="single" w:color="auto" w:sz="8" w:space="0"/>
            </w:tcBorders>
            <w:vAlign w:val="center"/>
          </w:tcPr>
          <w:p w14:paraId="4762D03F">
            <w:pPr>
              <w:autoSpaceDE w:val="0"/>
              <w:autoSpaceDN w:val="0"/>
              <w:spacing w:line="315" w:lineRule="atLeast"/>
              <w:rPr>
                <w:rFonts w:cs="Arial" w:asciiTheme="minorEastAsia" w:hAnsiTheme="minorEastAsia" w:eastAsiaTheme="minorEastAsia"/>
                <w:color w:val="000000" w:themeColor="text1"/>
                <w:sz w:val="24"/>
                <w:szCs w:val="21"/>
                <w:highlight w:val="none"/>
                <w14:textFill>
                  <w14:solidFill>
                    <w14:schemeClr w14:val="tx1"/>
                  </w14:solidFill>
                </w14:textFill>
              </w:rPr>
            </w:pPr>
            <w:r>
              <w:rPr>
                <w:rFonts w:hint="eastAsia" w:cs="Arial" w:asciiTheme="minorEastAsia" w:hAnsiTheme="minorEastAsia" w:eastAsiaTheme="minorEastAsia"/>
                <w:color w:val="000000" w:themeColor="text1"/>
                <w:sz w:val="24"/>
                <w:szCs w:val="21"/>
                <w:highlight w:val="none"/>
                <w14:textFill>
                  <w14:solidFill>
                    <w14:schemeClr w14:val="tx1"/>
                  </w14:solidFill>
                </w14:textFill>
              </w:rPr>
              <w:t>（大写）:</w:t>
            </w:r>
          </w:p>
        </w:tc>
      </w:tr>
    </w:tbl>
    <w:p w14:paraId="2699DD31">
      <w:pPr>
        <w:spacing w:line="360" w:lineRule="auto"/>
        <w:rPr>
          <w:rFonts w:asciiTheme="minorEastAsia" w:hAnsiTheme="minorEastAsia" w:eastAsia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二</w:t>
      </w:r>
      <w:r>
        <w:rPr>
          <w:rFonts w:hint="eastAsia" w:asciiTheme="minorEastAsia" w:hAnsiTheme="minorEastAsia" w:eastAsiaTheme="minorEastAsia"/>
          <w:b/>
          <w:bCs/>
          <w:color w:val="000000" w:themeColor="text1"/>
          <w:sz w:val="28"/>
          <w:szCs w:val="28"/>
          <w:highlight w:val="none"/>
          <w14:textFill>
            <w14:solidFill>
              <w14:schemeClr w14:val="tx1"/>
            </w14:solidFill>
          </w14:textFill>
        </w:rPr>
        <w:t>、付款方式</w:t>
      </w:r>
    </w:p>
    <w:p w14:paraId="3EB4ABC4">
      <w:pPr>
        <w:spacing w:line="360" w:lineRule="auto"/>
        <w:ind w:firstLine="480" w:firstLineChars="200"/>
        <w:rPr>
          <w:rFonts w:asciiTheme="minorEastAsia" w:hAnsiTheme="minorEastAsia" w:eastAsiaTheme="minorEastAsia"/>
          <w:color w:val="000000" w:themeColor="text1"/>
          <w:sz w:val="24"/>
          <w:szCs w:val="24"/>
          <w:highlight w:val="none"/>
          <w:shd w:val="clear" w:color="auto" w:fill="FFFFFF"/>
          <w14:textFill>
            <w14:solidFill>
              <w14:schemeClr w14:val="tx1"/>
            </w14:solidFill>
          </w14:textFill>
        </w:rPr>
      </w:pPr>
    </w:p>
    <w:p w14:paraId="619BE0D0">
      <w:pPr>
        <w:spacing w:line="360" w:lineRule="auto"/>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三、违约赔偿</w:t>
      </w:r>
    </w:p>
    <w:p w14:paraId="1335E627">
      <w:pPr>
        <w:spacing w:line="360" w:lineRule="auto"/>
        <w:ind w:firstLine="480" w:firstLineChars="200"/>
        <w:rPr>
          <w:rFonts w:asciiTheme="minorEastAsia" w:hAnsiTheme="minorEastAsia" w:eastAsiaTheme="minorEastAsia"/>
          <w:color w:val="000000" w:themeColor="text1"/>
          <w:sz w:val="24"/>
          <w:highlight w:val="none"/>
          <w14:textFill>
            <w14:solidFill>
              <w14:schemeClr w14:val="tx1"/>
            </w14:solidFill>
          </w14:textFill>
        </w:rPr>
      </w:pPr>
    </w:p>
    <w:p w14:paraId="48DED842">
      <w:pPr>
        <w:spacing w:line="360" w:lineRule="auto"/>
        <w:rPr>
          <w:rFonts w:asciiTheme="minorEastAsia" w:hAnsiTheme="minorEastAsia" w:eastAsiaTheme="minorEastAsia"/>
          <w:b/>
          <w:bCs/>
          <w:color w:val="000000" w:themeColor="text1"/>
          <w:sz w:val="28"/>
          <w:szCs w:val="30"/>
          <w:highlight w:val="none"/>
          <w14:textFill>
            <w14:solidFill>
              <w14:schemeClr w14:val="tx1"/>
            </w14:solidFill>
          </w14:textFill>
        </w:rPr>
      </w:pPr>
      <w:r>
        <w:rPr>
          <w:rFonts w:hint="eastAsia" w:asciiTheme="minorEastAsia" w:hAnsiTheme="minorEastAsia" w:eastAsiaTheme="minorEastAsia"/>
          <w:b/>
          <w:bCs/>
          <w:color w:val="000000" w:themeColor="text1"/>
          <w:sz w:val="28"/>
          <w:szCs w:val="30"/>
          <w:highlight w:val="none"/>
          <w14:textFill>
            <w14:solidFill>
              <w14:schemeClr w14:val="tx1"/>
            </w14:solidFill>
          </w14:textFill>
        </w:rPr>
        <w:t>四、合同纠纷处理</w:t>
      </w:r>
    </w:p>
    <w:p w14:paraId="649B98FE">
      <w:pPr>
        <w:tabs>
          <w:tab w:val="left" w:pos="1980"/>
        </w:tabs>
        <w:spacing w:line="360" w:lineRule="auto"/>
        <w:ind w:firstLine="470" w:firstLineChars="196"/>
        <w:rPr>
          <w:rFonts w:asciiTheme="minorEastAsia" w:hAnsiTheme="minorEastAsia" w:eastAsiaTheme="minorEastAsia"/>
          <w:color w:val="000000" w:themeColor="text1"/>
          <w:sz w:val="24"/>
          <w:highlight w:val="non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本合同执行过程中发生纠纷，可申请仲裁。仲裁机构为海南仲裁委员会。</w:t>
      </w:r>
    </w:p>
    <w:p w14:paraId="3F7068C3">
      <w:pPr>
        <w:spacing w:line="360" w:lineRule="auto"/>
        <w:rPr>
          <w:rFonts w:asciiTheme="minorEastAsia" w:hAnsiTheme="minorEastAsia" w:eastAsiaTheme="minorEastAsia"/>
          <w:b/>
          <w:bCs/>
          <w:color w:val="000000" w:themeColor="text1"/>
          <w:sz w:val="28"/>
          <w:szCs w:val="30"/>
          <w:highlight w:val="none"/>
          <w14:textFill>
            <w14:solidFill>
              <w14:schemeClr w14:val="tx1"/>
            </w14:solidFill>
          </w14:textFill>
        </w:rPr>
      </w:pPr>
      <w:r>
        <w:rPr>
          <w:rFonts w:hint="eastAsia" w:asciiTheme="minorEastAsia" w:hAnsiTheme="minorEastAsia" w:eastAsiaTheme="minorEastAsia"/>
          <w:b/>
          <w:bCs/>
          <w:color w:val="000000" w:themeColor="text1"/>
          <w:sz w:val="28"/>
          <w:szCs w:val="30"/>
          <w:highlight w:val="none"/>
          <w14:textFill>
            <w14:solidFill>
              <w14:schemeClr w14:val="tx1"/>
            </w14:solidFill>
          </w14:textFill>
        </w:rPr>
        <w:t>五、合同生效</w:t>
      </w:r>
    </w:p>
    <w:p w14:paraId="0C2C1D22">
      <w:pPr>
        <w:spacing w:line="360" w:lineRule="auto"/>
        <w:ind w:left="555"/>
        <w:rPr>
          <w:rFonts w:asciiTheme="minorEastAsia" w:hAnsiTheme="minorEastAsia" w:eastAsiaTheme="minorEastAsia"/>
          <w:color w:val="000000" w:themeColor="text1"/>
          <w:sz w:val="24"/>
          <w:highlight w:val="non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本合同由甲乙双方签字盖章后生效。</w:t>
      </w:r>
    </w:p>
    <w:p w14:paraId="22F29F9A">
      <w:pPr>
        <w:spacing w:line="360" w:lineRule="auto"/>
        <w:rPr>
          <w:rFonts w:asciiTheme="minorEastAsia" w:hAnsiTheme="minorEastAsia" w:eastAsiaTheme="minorEastAsia"/>
          <w:b/>
          <w:bCs/>
          <w:color w:val="000000" w:themeColor="text1"/>
          <w:sz w:val="28"/>
          <w:szCs w:val="30"/>
          <w:highlight w:val="none"/>
          <w14:textFill>
            <w14:solidFill>
              <w14:schemeClr w14:val="tx1"/>
            </w14:solidFill>
          </w14:textFill>
        </w:rPr>
      </w:pPr>
      <w:r>
        <w:rPr>
          <w:rFonts w:hint="eastAsia" w:asciiTheme="minorEastAsia" w:hAnsiTheme="minorEastAsia" w:eastAsiaTheme="minorEastAsia"/>
          <w:b/>
          <w:bCs/>
          <w:color w:val="000000" w:themeColor="text1"/>
          <w:sz w:val="28"/>
          <w:szCs w:val="30"/>
          <w:highlight w:val="none"/>
          <w14:textFill>
            <w14:solidFill>
              <w14:schemeClr w14:val="tx1"/>
            </w14:solidFill>
          </w14:textFill>
        </w:rPr>
        <w:t>六、合同鉴证</w:t>
      </w:r>
    </w:p>
    <w:p w14:paraId="09403FC1">
      <w:pPr>
        <w:spacing w:line="360" w:lineRule="auto"/>
        <w:ind w:firstLine="480" w:firstLineChars="200"/>
        <w:rPr>
          <w:rFonts w:asciiTheme="minorEastAsia" w:hAnsiTheme="minorEastAsia" w:eastAsiaTheme="minorEastAsia"/>
          <w:color w:val="000000" w:themeColor="text1"/>
          <w:sz w:val="24"/>
          <w:highlight w:val="non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招标代理机构应当在本合同上签章，以证明本合同条款与采购文件、投标（响应）文件的相关要求相符并且未对采购内容和技术参数进行实质性修改。</w:t>
      </w:r>
    </w:p>
    <w:p w14:paraId="004C1899">
      <w:pPr>
        <w:spacing w:line="360" w:lineRule="auto"/>
        <w:rPr>
          <w:rFonts w:asciiTheme="minorEastAsia" w:hAnsiTheme="minorEastAsia" w:eastAsiaTheme="minorEastAsia"/>
          <w:b/>
          <w:bCs/>
          <w:color w:val="000000" w:themeColor="text1"/>
          <w:sz w:val="28"/>
          <w:szCs w:val="30"/>
          <w:highlight w:val="none"/>
          <w14:textFill>
            <w14:solidFill>
              <w14:schemeClr w14:val="tx1"/>
            </w14:solidFill>
          </w14:textFill>
        </w:rPr>
      </w:pPr>
      <w:r>
        <w:rPr>
          <w:rFonts w:hint="eastAsia" w:asciiTheme="minorEastAsia" w:hAnsiTheme="minorEastAsia" w:eastAsiaTheme="minorEastAsia"/>
          <w:b/>
          <w:bCs/>
          <w:color w:val="000000" w:themeColor="text1"/>
          <w:sz w:val="28"/>
          <w:szCs w:val="30"/>
          <w:highlight w:val="none"/>
          <w14:textFill>
            <w14:solidFill>
              <w14:schemeClr w14:val="tx1"/>
            </w14:solidFill>
          </w14:textFill>
        </w:rPr>
        <w:t>七、本合同的组成文件</w:t>
      </w:r>
    </w:p>
    <w:p w14:paraId="31AFB778">
      <w:pPr>
        <w:spacing w:line="360" w:lineRule="auto"/>
        <w:ind w:firstLine="480" w:firstLineChars="200"/>
        <w:rPr>
          <w:rFonts w:asciiTheme="minorEastAsia" w:hAnsiTheme="minorEastAsia" w:eastAsiaTheme="minorEastAsia"/>
          <w:color w:val="000000" w:themeColor="text1"/>
          <w:sz w:val="24"/>
          <w:highlight w:val="non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1.合同通用条款和专用条款；</w:t>
      </w:r>
    </w:p>
    <w:p w14:paraId="53FD97F1">
      <w:pPr>
        <w:spacing w:line="360" w:lineRule="auto"/>
        <w:ind w:firstLine="480" w:firstLineChars="200"/>
        <w:rPr>
          <w:rFonts w:asciiTheme="minorEastAsia" w:hAnsiTheme="minorEastAsia" w:eastAsiaTheme="minorEastAsia"/>
          <w:color w:val="000000" w:themeColor="text1"/>
          <w:sz w:val="24"/>
          <w:highlight w:val="non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2.采购文件、乙方的投标（响应）文件和评标时的澄清函（如有）；</w:t>
      </w:r>
    </w:p>
    <w:p w14:paraId="686496FB">
      <w:pPr>
        <w:spacing w:line="360" w:lineRule="auto"/>
        <w:ind w:firstLine="480" w:firstLineChars="200"/>
        <w:rPr>
          <w:rFonts w:asciiTheme="minorEastAsia" w:hAnsiTheme="minorEastAsia" w:eastAsiaTheme="minorEastAsia"/>
          <w:color w:val="000000" w:themeColor="text1"/>
          <w:sz w:val="24"/>
          <w:highlight w:val="non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3.中标通知书；</w:t>
      </w:r>
    </w:p>
    <w:p w14:paraId="6F0C178F">
      <w:pPr>
        <w:spacing w:line="360" w:lineRule="auto"/>
        <w:ind w:firstLine="480" w:firstLineChars="200"/>
        <w:rPr>
          <w:rFonts w:asciiTheme="minorEastAsia" w:hAnsiTheme="minorEastAsia" w:eastAsiaTheme="minorEastAsia"/>
          <w:color w:val="000000" w:themeColor="text1"/>
          <w:sz w:val="24"/>
          <w:highlight w:val="non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4.甲乙双方商定的其他必要文件。</w:t>
      </w:r>
    </w:p>
    <w:p w14:paraId="45FFABAB">
      <w:pPr>
        <w:spacing w:line="360" w:lineRule="auto"/>
        <w:ind w:firstLine="480" w:firstLineChars="200"/>
        <w:rPr>
          <w:rFonts w:asciiTheme="minorEastAsia" w:hAnsiTheme="minorEastAsia" w:eastAsiaTheme="minorEastAsia"/>
          <w:bCs/>
          <w:color w:val="000000" w:themeColor="text1"/>
          <w:sz w:val="24"/>
          <w:highlight w:val="none"/>
          <w14:textFill>
            <w14:solidFill>
              <w14:schemeClr w14:val="tx1"/>
            </w14:solidFill>
          </w14:textFill>
        </w:rPr>
      </w:pPr>
      <w:r>
        <w:rPr>
          <w:rFonts w:hint="eastAsia" w:asciiTheme="minorEastAsia" w:hAnsiTheme="minorEastAsia" w:eastAsiaTheme="minorEastAsia"/>
          <w:bCs/>
          <w:color w:val="000000" w:themeColor="text1"/>
          <w:sz w:val="24"/>
          <w:highlight w:val="none"/>
          <w14:textFill>
            <w14:solidFill>
              <w14:schemeClr w14:val="tx1"/>
            </w14:solidFill>
          </w14:textFill>
        </w:rPr>
        <w:t>上述合同文件内容互为补充，如有不明确，由甲方负责解释。</w:t>
      </w:r>
    </w:p>
    <w:p w14:paraId="56DDC113">
      <w:pPr>
        <w:spacing w:line="360" w:lineRule="auto"/>
        <w:rPr>
          <w:rFonts w:asciiTheme="minorEastAsia" w:hAnsiTheme="minorEastAsia" w:eastAsiaTheme="minorEastAsia"/>
          <w:b/>
          <w:bCs/>
          <w:color w:val="000000" w:themeColor="text1"/>
          <w:sz w:val="28"/>
          <w:szCs w:val="30"/>
          <w:highlight w:val="none"/>
          <w14:textFill>
            <w14:solidFill>
              <w14:schemeClr w14:val="tx1"/>
            </w14:solidFill>
          </w14:textFill>
        </w:rPr>
      </w:pPr>
      <w:r>
        <w:rPr>
          <w:rFonts w:hint="eastAsia" w:asciiTheme="minorEastAsia" w:hAnsiTheme="minorEastAsia" w:eastAsiaTheme="minorEastAsia"/>
          <w:b/>
          <w:bCs/>
          <w:color w:val="000000" w:themeColor="text1"/>
          <w:sz w:val="28"/>
          <w:szCs w:val="30"/>
          <w:highlight w:val="none"/>
          <w14:textFill>
            <w14:solidFill>
              <w14:schemeClr w14:val="tx1"/>
            </w14:solidFill>
          </w14:textFill>
        </w:rPr>
        <w:t>八、合同备案</w:t>
      </w:r>
    </w:p>
    <w:p w14:paraId="01218F3B">
      <w:pPr>
        <w:spacing w:line="360" w:lineRule="auto"/>
        <w:ind w:firstLine="480" w:firstLineChars="200"/>
        <w:rPr>
          <w:rFonts w:asciiTheme="minorEastAsia" w:hAnsiTheme="minorEastAsia" w:eastAsiaTheme="minorEastAsia"/>
          <w:color w:val="000000" w:themeColor="text1"/>
          <w:sz w:val="24"/>
          <w:highlight w:val="non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本合同一式伍份，中文书写。甲方、乙方各执贰份，招标代理机构执壹份。</w:t>
      </w:r>
    </w:p>
    <w:p w14:paraId="3625FD3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rPr>
          <w:rFonts w:asciiTheme="minorEastAsia" w:hAnsiTheme="minorEastAsia" w:eastAsiaTheme="minorEastAsia"/>
          <w:color w:val="000000" w:themeColor="text1"/>
          <w:sz w:val="24"/>
          <w:highlight w:val="none"/>
          <w14:textFill>
            <w14:solidFill>
              <w14:schemeClr w14:val="tx1"/>
            </w14:solidFill>
          </w14:textFill>
        </w:rPr>
      </w:pPr>
      <w:r>
        <w:rPr>
          <w:rFonts w:hint="eastAsia" w:asciiTheme="minorEastAsia" w:hAnsiTheme="minorEastAsia" w:eastAsiaTheme="minorEastAsia"/>
          <w:b/>
          <w:color w:val="000000" w:themeColor="text1"/>
          <w:sz w:val="24"/>
          <w:highlight w:val="none"/>
          <w14:textFill>
            <w14:solidFill>
              <w14:schemeClr w14:val="tx1"/>
            </w14:solidFill>
          </w14:textFill>
        </w:rPr>
        <w:t>甲方：</w:t>
      </w:r>
      <w:r>
        <w:rPr>
          <w:rFonts w:hint="eastAsia" w:asciiTheme="minorEastAsia" w:hAnsiTheme="minorEastAsia" w:eastAsiaTheme="minorEastAsia"/>
          <w:b/>
          <w:color w:val="000000" w:themeColor="text1"/>
          <w:sz w:val="24"/>
          <w:highlight w:val="none"/>
          <w:u w:val="single"/>
          <w14:textFill>
            <w14:solidFill>
              <w14:schemeClr w14:val="tx1"/>
            </w14:solidFill>
          </w14:textFill>
        </w:rPr>
        <w:t xml:space="preserve">（盖章） </w:t>
      </w:r>
      <w:r>
        <w:rPr>
          <w:rFonts w:asciiTheme="minorEastAsia" w:hAnsiTheme="minorEastAsia" w:eastAsiaTheme="minorEastAsia"/>
          <w:b/>
          <w:color w:val="000000" w:themeColor="text1"/>
          <w:sz w:val="24"/>
          <w:highlight w:val="none"/>
          <w:u w:val="single"/>
          <w14:textFill>
            <w14:solidFill>
              <w14:schemeClr w14:val="tx1"/>
            </w14:solidFill>
          </w14:textFill>
        </w:rPr>
        <w:t xml:space="preserve"> </w:t>
      </w:r>
      <w:r>
        <w:rPr>
          <w:rFonts w:asciiTheme="minorEastAsia" w:hAnsiTheme="minorEastAsia" w:eastAsiaTheme="minorEastAsia"/>
          <w:b/>
          <w:color w:val="000000" w:themeColor="text1"/>
          <w:sz w:val="24"/>
          <w:highlight w:val="none"/>
          <w14:textFill>
            <w14:solidFill>
              <w14:schemeClr w14:val="tx1"/>
            </w14:solidFill>
          </w14:textFill>
        </w:rPr>
        <w:t xml:space="preserve">                            </w:t>
      </w:r>
      <w:r>
        <w:rPr>
          <w:rFonts w:hint="eastAsia" w:asciiTheme="minorEastAsia" w:hAnsiTheme="minorEastAsia" w:eastAsiaTheme="minorEastAsia"/>
          <w:b/>
          <w:color w:val="000000" w:themeColor="text1"/>
          <w:sz w:val="24"/>
          <w:highlight w:val="none"/>
          <w14:textFill>
            <w14:solidFill>
              <w14:schemeClr w14:val="tx1"/>
            </w14:solidFill>
          </w14:textFill>
        </w:rPr>
        <w:t>乙方：</w:t>
      </w:r>
      <w:r>
        <w:rPr>
          <w:rFonts w:hint="eastAsia" w:asciiTheme="minorEastAsia" w:hAnsiTheme="minorEastAsia" w:eastAsiaTheme="minorEastAsia"/>
          <w:b/>
          <w:color w:val="000000" w:themeColor="text1"/>
          <w:sz w:val="24"/>
          <w:highlight w:val="none"/>
          <w:u w:val="single"/>
          <w14:textFill>
            <w14:solidFill>
              <w14:schemeClr w14:val="tx1"/>
            </w14:solidFill>
          </w14:textFill>
        </w:rPr>
        <w:t>（盖章）</w:t>
      </w:r>
    </w:p>
    <w:p w14:paraId="5092C37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rPr>
          <w:rFonts w:asciiTheme="minorEastAsia" w:hAnsiTheme="minorEastAsia" w:eastAsiaTheme="minorEastAsia"/>
          <w:color w:val="000000" w:themeColor="text1"/>
          <w:sz w:val="24"/>
          <w:highlight w:val="none"/>
          <w:u w:val="singl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 xml:space="preserve">地址： </w:t>
      </w:r>
      <w:r>
        <w:rPr>
          <w:rFonts w:asciiTheme="minorEastAsia" w:hAnsiTheme="minorEastAsia" w:eastAsiaTheme="minorEastAsia"/>
          <w:color w:val="000000" w:themeColor="text1"/>
          <w:sz w:val="24"/>
          <w:highlight w:val="none"/>
          <w14:textFill>
            <w14:solidFill>
              <w14:schemeClr w14:val="tx1"/>
            </w14:solidFill>
          </w14:textFill>
        </w:rPr>
        <w:t xml:space="preserve">                                     </w:t>
      </w:r>
      <w:r>
        <w:rPr>
          <w:rFonts w:hint="eastAsia" w:asciiTheme="minorEastAsia" w:hAnsiTheme="minorEastAsia" w:eastAsiaTheme="minorEastAsia"/>
          <w:color w:val="000000" w:themeColor="text1"/>
          <w:sz w:val="24"/>
          <w:highlight w:val="none"/>
          <w14:textFill>
            <w14:solidFill>
              <w14:schemeClr w14:val="tx1"/>
            </w14:solidFill>
          </w14:textFill>
        </w:rPr>
        <w:t>地址：</w:t>
      </w:r>
    </w:p>
    <w:p w14:paraId="609EDDE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rPr>
          <w:rFonts w:asciiTheme="minorEastAsia" w:hAnsiTheme="minorEastAsia" w:eastAsiaTheme="minorEastAsia"/>
          <w:color w:val="000000" w:themeColor="text1"/>
          <w:sz w:val="24"/>
          <w:highlight w:val="none"/>
          <w:u w:val="singl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 xml:space="preserve">法定（或授权）代表人： </w:t>
      </w:r>
      <w:r>
        <w:rPr>
          <w:rFonts w:asciiTheme="minorEastAsia" w:hAnsiTheme="minorEastAsia" w:eastAsiaTheme="minorEastAsia"/>
          <w:color w:val="000000" w:themeColor="text1"/>
          <w:sz w:val="24"/>
          <w:highlight w:val="none"/>
          <w14:textFill>
            <w14:solidFill>
              <w14:schemeClr w14:val="tx1"/>
            </w14:solidFill>
          </w14:textFill>
        </w:rPr>
        <w:t xml:space="preserve">                    </w:t>
      </w:r>
      <w:r>
        <w:rPr>
          <w:rFonts w:hint="eastAsia" w:asciiTheme="minorEastAsia" w:hAnsiTheme="minorEastAsia" w:eastAsiaTheme="minorEastAsia"/>
          <w:color w:val="000000" w:themeColor="text1"/>
          <w:sz w:val="24"/>
          <w:highlight w:val="none"/>
          <w14:textFill>
            <w14:solidFill>
              <w14:schemeClr w14:val="tx1"/>
            </w14:solidFill>
          </w14:textFill>
        </w:rPr>
        <w:t>法定（或授权）代表人：</w:t>
      </w:r>
    </w:p>
    <w:p w14:paraId="0C15809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rPr>
          <w:rFonts w:asciiTheme="minorEastAsia" w:hAnsiTheme="minorEastAsia" w:eastAsiaTheme="minorEastAsia"/>
          <w:color w:val="000000" w:themeColor="text1"/>
          <w:sz w:val="24"/>
          <w:highlight w:val="non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 xml:space="preserve">                                       </w:t>
      </w:r>
      <w:r>
        <w:rPr>
          <w:rFonts w:asciiTheme="minorEastAsia" w:hAnsiTheme="minorEastAsia" w:eastAsiaTheme="minorEastAsia"/>
          <w:color w:val="000000" w:themeColor="text1"/>
          <w:sz w:val="24"/>
          <w:highlight w:val="none"/>
          <w14:textFill>
            <w14:solidFill>
              <w14:schemeClr w14:val="tx1"/>
            </w14:solidFill>
          </w14:textFill>
        </w:rPr>
        <w:t xml:space="preserve">    </w:t>
      </w:r>
      <w:r>
        <w:rPr>
          <w:rFonts w:hint="eastAsia" w:asciiTheme="minorEastAsia" w:hAnsiTheme="minorEastAsia" w:eastAsiaTheme="minorEastAsia"/>
          <w:color w:val="000000" w:themeColor="text1"/>
          <w:sz w:val="24"/>
          <w:highlight w:val="none"/>
          <w14:textFill>
            <w14:solidFill>
              <w14:schemeClr w14:val="tx1"/>
            </w14:solidFill>
          </w14:textFill>
        </w:rPr>
        <w:t>开户行：</w:t>
      </w:r>
    </w:p>
    <w:p w14:paraId="5F5FB31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5280" w:firstLineChars="2200"/>
        <w:rPr>
          <w:rFonts w:asciiTheme="minorEastAsia" w:hAnsiTheme="minorEastAsia" w:eastAsiaTheme="minorEastAsia"/>
          <w:color w:val="000000" w:themeColor="text1"/>
          <w:sz w:val="24"/>
          <w:highlight w:val="non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帐号：</w:t>
      </w:r>
    </w:p>
    <w:p w14:paraId="1F5C9F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960" w:firstLineChars="400"/>
        <w:rPr>
          <w:rFonts w:asciiTheme="minorEastAsia" w:hAnsiTheme="minorEastAsia" w:eastAsiaTheme="minorEastAsia"/>
          <w:color w:val="000000" w:themeColor="text1"/>
          <w:sz w:val="24"/>
          <w:highlight w:val="none"/>
          <w14:textFill>
            <w14:solidFill>
              <w14:schemeClr w14:val="tx1"/>
            </w14:solidFill>
          </w14:textFill>
        </w:rPr>
      </w:pPr>
      <w:r>
        <w:rPr>
          <w:rFonts w:hint="eastAsia" w:asciiTheme="minorEastAsia" w:hAnsiTheme="minorEastAsia" w:eastAsiaTheme="minorEastAsia"/>
          <w:color w:val="000000" w:themeColor="text1"/>
          <w:sz w:val="24"/>
          <w:highlight w:val="none"/>
          <w14:textFill>
            <w14:solidFill>
              <w14:schemeClr w14:val="tx1"/>
            </w14:solidFill>
          </w14:textFill>
        </w:rPr>
        <w:t xml:space="preserve">年 </w:t>
      </w:r>
      <w:r>
        <w:rPr>
          <w:rFonts w:asciiTheme="minorEastAsia" w:hAnsiTheme="minorEastAsia" w:eastAsiaTheme="minorEastAsia"/>
          <w:color w:val="000000" w:themeColor="text1"/>
          <w:sz w:val="24"/>
          <w:highlight w:val="none"/>
          <w14:textFill>
            <w14:solidFill>
              <w14:schemeClr w14:val="tx1"/>
            </w14:solidFill>
          </w14:textFill>
        </w:rPr>
        <w:t xml:space="preserve"> </w:t>
      </w:r>
      <w:r>
        <w:rPr>
          <w:rFonts w:hint="eastAsia" w:asciiTheme="minorEastAsia" w:hAnsiTheme="minorEastAsia" w:eastAsiaTheme="minorEastAsia"/>
          <w:color w:val="000000" w:themeColor="text1"/>
          <w:sz w:val="24"/>
          <w:highlight w:val="none"/>
          <w14:textFill>
            <w14:solidFill>
              <w14:schemeClr w14:val="tx1"/>
            </w14:solidFill>
          </w14:textFill>
        </w:rPr>
        <w:t xml:space="preserve">月 </w:t>
      </w:r>
      <w:r>
        <w:rPr>
          <w:rFonts w:asciiTheme="minorEastAsia" w:hAnsiTheme="minorEastAsia" w:eastAsiaTheme="minorEastAsia"/>
          <w:color w:val="000000" w:themeColor="text1"/>
          <w:sz w:val="24"/>
          <w:highlight w:val="none"/>
          <w14:textFill>
            <w14:solidFill>
              <w14:schemeClr w14:val="tx1"/>
            </w14:solidFill>
          </w14:textFill>
        </w:rPr>
        <w:t xml:space="preserve"> </w:t>
      </w:r>
      <w:r>
        <w:rPr>
          <w:rFonts w:hint="eastAsia" w:asciiTheme="minorEastAsia" w:hAnsiTheme="minorEastAsia" w:eastAsiaTheme="minorEastAsia"/>
          <w:color w:val="000000" w:themeColor="text1"/>
          <w:sz w:val="24"/>
          <w:highlight w:val="none"/>
          <w14:textFill>
            <w14:solidFill>
              <w14:schemeClr w14:val="tx1"/>
            </w14:solidFill>
          </w14:textFill>
        </w:rPr>
        <w:t xml:space="preserve">日 </w:t>
      </w:r>
      <w:r>
        <w:rPr>
          <w:rFonts w:asciiTheme="minorEastAsia" w:hAnsiTheme="minorEastAsia" w:eastAsiaTheme="minorEastAsia"/>
          <w:color w:val="000000" w:themeColor="text1"/>
          <w:sz w:val="24"/>
          <w:highlight w:val="none"/>
          <w14:textFill>
            <w14:solidFill>
              <w14:schemeClr w14:val="tx1"/>
            </w14:solidFill>
          </w14:textFill>
        </w:rPr>
        <w:t xml:space="preserve">                                    </w:t>
      </w:r>
      <w:r>
        <w:rPr>
          <w:rFonts w:hint="eastAsia" w:asciiTheme="minorEastAsia" w:hAnsiTheme="minorEastAsia" w:eastAsiaTheme="minorEastAsia"/>
          <w:color w:val="000000" w:themeColor="text1"/>
          <w:sz w:val="24"/>
          <w:highlight w:val="none"/>
          <w14:textFill>
            <w14:solidFill>
              <w14:schemeClr w14:val="tx1"/>
            </w14:solidFill>
          </w14:textFill>
        </w:rPr>
        <w:t xml:space="preserve">年 </w:t>
      </w:r>
      <w:r>
        <w:rPr>
          <w:rFonts w:asciiTheme="minorEastAsia" w:hAnsiTheme="minorEastAsia" w:eastAsiaTheme="minorEastAsia"/>
          <w:color w:val="000000" w:themeColor="text1"/>
          <w:sz w:val="24"/>
          <w:highlight w:val="none"/>
          <w14:textFill>
            <w14:solidFill>
              <w14:schemeClr w14:val="tx1"/>
            </w14:solidFill>
          </w14:textFill>
        </w:rPr>
        <w:t xml:space="preserve"> </w:t>
      </w:r>
      <w:r>
        <w:rPr>
          <w:rFonts w:hint="eastAsia" w:asciiTheme="minorEastAsia" w:hAnsiTheme="minorEastAsia" w:eastAsiaTheme="minorEastAsia"/>
          <w:color w:val="000000" w:themeColor="text1"/>
          <w:sz w:val="24"/>
          <w:highlight w:val="none"/>
          <w14:textFill>
            <w14:solidFill>
              <w14:schemeClr w14:val="tx1"/>
            </w14:solidFill>
          </w14:textFill>
        </w:rPr>
        <w:t xml:space="preserve">月 </w:t>
      </w:r>
      <w:r>
        <w:rPr>
          <w:rFonts w:asciiTheme="minorEastAsia" w:hAnsiTheme="minorEastAsia" w:eastAsiaTheme="minorEastAsia"/>
          <w:color w:val="000000" w:themeColor="text1"/>
          <w:sz w:val="24"/>
          <w:highlight w:val="none"/>
          <w14:textFill>
            <w14:solidFill>
              <w14:schemeClr w14:val="tx1"/>
            </w14:solidFill>
          </w14:textFill>
        </w:rPr>
        <w:t xml:space="preserve"> </w:t>
      </w:r>
      <w:r>
        <w:rPr>
          <w:rFonts w:hint="eastAsia" w:asciiTheme="minorEastAsia" w:hAnsiTheme="minorEastAsia" w:eastAsiaTheme="minorEastAsia"/>
          <w:color w:val="000000" w:themeColor="text1"/>
          <w:sz w:val="24"/>
          <w:highlight w:val="none"/>
          <w14:textFill>
            <w14:solidFill>
              <w14:schemeClr w14:val="tx1"/>
            </w14:solidFill>
          </w14:textFill>
        </w:rPr>
        <w:t>日</w:t>
      </w:r>
    </w:p>
    <w:p w14:paraId="4ED6D1A3">
      <w:pPr>
        <w:spacing w:line="500" w:lineRule="exact"/>
        <w:ind w:firstLine="551" w:firstLineChars="196"/>
        <w:rPr>
          <w:rFonts w:asciiTheme="minorEastAsia" w:hAnsiTheme="minorEastAsia" w:eastAsiaTheme="minorEastAsia"/>
          <w:b/>
          <w:color w:val="000000" w:themeColor="text1"/>
          <w:sz w:val="28"/>
          <w:highlight w:val="none"/>
          <w14:textFill>
            <w14:solidFill>
              <w14:schemeClr w14:val="tx1"/>
            </w14:solidFill>
          </w14:textFill>
        </w:rPr>
      </w:pPr>
      <w:r>
        <w:rPr>
          <w:rFonts w:hint="eastAsia" w:asciiTheme="minorEastAsia" w:hAnsiTheme="minorEastAsia" w:eastAsiaTheme="minorEastAsia"/>
          <w:b/>
          <w:color w:val="000000" w:themeColor="text1"/>
          <w:sz w:val="28"/>
          <w:highlight w:val="none"/>
          <w14:textFill>
            <w14:solidFill>
              <w14:schemeClr w14:val="tx1"/>
            </w14:solidFill>
          </w14:textFill>
        </w:rPr>
        <w:t>招标代理机构声明：本合同标的经采购代理机构依法定程序采购，合同条款与招投标（响应）文件的内容一致。</w:t>
      </w:r>
    </w:p>
    <w:p w14:paraId="5CB3AFF6">
      <w:pPr>
        <w:spacing w:line="500" w:lineRule="exact"/>
        <w:rPr>
          <w:rFonts w:asciiTheme="minorEastAsia" w:hAnsiTheme="minorEastAsia" w:eastAsiaTheme="minorEastAsia"/>
          <w:b/>
          <w:color w:val="000000" w:themeColor="text1"/>
          <w:sz w:val="28"/>
          <w:highlight w:val="none"/>
          <w:u w:val="single"/>
          <w14:textFill>
            <w14:solidFill>
              <w14:schemeClr w14:val="tx1"/>
            </w14:solidFill>
          </w14:textFill>
        </w:rPr>
      </w:pPr>
      <w:r>
        <w:rPr>
          <w:rFonts w:hint="eastAsia" w:asciiTheme="minorEastAsia" w:hAnsiTheme="minorEastAsia" w:eastAsiaTheme="minorEastAsia"/>
          <w:b/>
          <w:color w:val="000000" w:themeColor="text1"/>
          <w:sz w:val="28"/>
          <w:highlight w:val="none"/>
          <w14:textFill>
            <w14:solidFill>
              <w14:schemeClr w14:val="tx1"/>
            </w14:solidFill>
          </w14:textFill>
        </w:rPr>
        <w:t>招标代理机构：</w:t>
      </w:r>
      <w:r>
        <w:rPr>
          <w:rFonts w:hint="eastAsia" w:asciiTheme="minorEastAsia" w:hAnsiTheme="minorEastAsia" w:eastAsiaTheme="minorEastAsia"/>
          <w:b/>
          <w:color w:val="000000" w:themeColor="text1"/>
          <w:sz w:val="28"/>
          <w:highlight w:val="none"/>
          <w:u w:val="single"/>
          <w14:textFill>
            <w14:solidFill>
              <w14:schemeClr w14:val="tx1"/>
            </w14:solidFill>
          </w14:textFill>
        </w:rPr>
        <w:t>海南</w:t>
      </w:r>
      <w:r>
        <w:rPr>
          <w:rFonts w:hint="eastAsia" w:asciiTheme="minorEastAsia" w:hAnsiTheme="minorEastAsia" w:eastAsiaTheme="minorEastAsia"/>
          <w:b/>
          <w:color w:val="000000" w:themeColor="text1"/>
          <w:sz w:val="28"/>
          <w:highlight w:val="none"/>
          <w:u w:val="single"/>
          <w:lang w:val="en-US" w:eastAsia="zh-CN"/>
          <w14:textFill>
            <w14:solidFill>
              <w14:schemeClr w14:val="tx1"/>
            </w14:solidFill>
          </w14:textFill>
        </w:rPr>
        <w:t>菲迪克招标咨询</w:t>
      </w:r>
      <w:r>
        <w:rPr>
          <w:rFonts w:hint="eastAsia" w:asciiTheme="minorEastAsia" w:hAnsiTheme="minorEastAsia" w:eastAsiaTheme="minorEastAsia"/>
          <w:b/>
          <w:color w:val="000000" w:themeColor="text1"/>
          <w:sz w:val="28"/>
          <w:highlight w:val="none"/>
          <w:u w:val="single"/>
          <w14:textFill>
            <w14:solidFill>
              <w14:schemeClr w14:val="tx1"/>
            </w14:solidFill>
          </w14:textFill>
        </w:rPr>
        <w:t>有限公司（盖章）</w:t>
      </w:r>
    </w:p>
    <w:p w14:paraId="3C6C9025">
      <w:pPr>
        <w:spacing w:line="500" w:lineRule="exact"/>
        <w:rPr>
          <w:rFonts w:asciiTheme="minorEastAsia" w:hAnsiTheme="minorEastAsia" w:eastAsiaTheme="minorEastAsia"/>
          <w:color w:val="000000" w:themeColor="text1"/>
          <w:sz w:val="28"/>
          <w:highlight w:val="none"/>
          <w14:textFill>
            <w14:solidFill>
              <w14:schemeClr w14:val="tx1"/>
            </w14:solidFill>
          </w14:textFill>
        </w:rPr>
      </w:pPr>
      <w:r>
        <w:rPr>
          <w:rFonts w:hint="eastAsia" w:asciiTheme="minorEastAsia" w:hAnsiTheme="minorEastAsia" w:eastAsiaTheme="minorEastAsia"/>
          <w:color w:val="000000" w:themeColor="text1"/>
          <w:sz w:val="28"/>
          <w:highlight w:val="none"/>
          <w14:textFill>
            <w14:solidFill>
              <w14:schemeClr w14:val="tx1"/>
            </w14:solidFill>
          </w14:textFill>
        </w:rPr>
        <w:t>经办人：</w:t>
      </w:r>
    </w:p>
    <w:p w14:paraId="3D1EAECD">
      <w:pPr>
        <w:rPr>
          <w:rFonts w:hint="eastAsia" w:asciiTheme="minorEastAsia" w:hAnsiTheme="minorEastAsia" w:eastAsiaTheme="minorEastAsia"/>
          <w:color w:val="000000" w:themeColor="text1"/>
          <w:sz w:val="28"/>
          <w:highlight w:val="none"/>
          <w14:textFill>
            <w14:solidFill>
              <w14:schemeClr w14:val="tx1"/>
            </w14:solidFill>
          </w14:textFill>
        </w:rPr>
      </w:pPr>
      <w:r>
        <w:rPr>
          <w:rFonts w:hint="eastAsia" w:asciiTheme="minorEastAsia" w:hAnsiTheme="minorEastAsia" w:eastAsiaTheme="minorEastAsia"/>
          <w:color w:val="000000" w:themeColor="text1"/>
          <w:sz w:val="28"/>
          <w:highlight w:val="none"/>
          <w14:textFill>
            <w14:solidFill>
              <w14:schemeClr w14:val="tx1"/>
            </w14:solidFill>
          </w14:textFill>
        </w:rPr>
        <w:t xml:space="preserve">年 </w:t>
      </w:r>
      <w:r>
        <w:rPr>
          <w:rFonts w:asciiTheme="minorEastAsia" w:hAnsiTheme="minorEastAsia" w:eastAsiaTheme="minorEastAsia"/>
          <w:color w:val="000000" w:themeColor="text1"/>
          <w:sz w:val="28"/>
          <w:highlight w:val="none"/>
          <w14:textFill>
            <w14:solidFill>
              <w14:schemeClr w14:val="tx1"/>
            </w14:solidFill>
          </w14:textFill>
        </w:rPr>
        <w:t xml:space="preserve">  </w:t>
      </w:r>
      <w:r>
        <w:rPr>
          <w:rFonts w:hint="eastAsia" w:asciiTheme="minorEastAsia" w:hAnsiTheme="minorEastAsia" w:eastAsiaTheme="minorEastAsia"/>
          <w:color w:val="000000" w:themeColor="text1"/>
          <w:sz w:val="28"/>
          <w:highlight w:val="none"/>
          <w14:textFill>
            <w14:solidFill>
              <w14:schemeClr w14:val="tx1"/>
            </w14:solidFill>
          </w14:textFill>
        </w:rPr>
        <w:t xml:space="preserve">月 </w:t>
      </w:r>
      <w:r>
        <w:rPr>
          <w:rFonts w:asciiTheme="minorEastAsia" w:hAnsiTheme="minorEastAsia" w:eastAsiaTheme="minorEastAsia"/>
          <w:color w:val="000000" w:themeColor="text1"/>
          <w:sz w:val="28"/>
          <w:highlight w:val="none"/>
          <w14:textFill>
            <w14:solidFill>
              <w14:schemeClr w14:val="tx1"/>
            </w14:solidFill>
          </w14:textFill>
        </w:rPr>
        <w:t xml:space="preserve">  </w:t>
      </w:r>
      <w:r>
        <w:rPr>
          <w:rFonts w:hint="eastAsia" w:asciiTheme="minorEastAsia" w:hAnsiTheme="minorEastAsia" w:eastAsiaTheme="minorEastAsia"/>
          <w:color w:val="000000" w:themeColor="text1"/>
          <w:sz w:val="28"/>
          <w:highlight w:val="none"/>
          <w14:textFill>
            <w14:solidFill>
              <w14:schemeClr w14:val="tx1"/>
            </w14:solidFill>
          </w14:textFill>
        </w:rPr>
        <w:t>日</w:t>
      </w:r>
    </w:p>
    <w:p w14:paraId="1CFDB790">
      <w:pPr>
        <w:rPr>
          <w:rFonts w:hint="eastAsia" w:asciiTheme="minorEastAsia" w:hAnsiTheme="minorEastAsia" w:eastAsiaTheme="minorEastAsia"/>
          <w:color w:val="000000" w:themeColor="text1"/>
          <w:sz w:val="28"/>
          <w:highlight w:val="none"/>
          <w14:textFill>
            <w14:solidFill>
              <w14:schemeClr w14:val="tx1"/>
            </w14:solidFill>
          </w14:textFill>
        </w:rPr>
      </w:pPr>
      <w:r>
        <w:rPr>
          <w:rFonts w:hint="eastAsia" w:asciiTheme="minorEastAsia" w:hAnsiTheme="minorEastAsia" w:eastAsiaTheme="minorEastAsia"/>
          <w:color w:val="000000" w:themeColor="text1"/>
          <w:sz w:val="28"/>
          <w:highlight w:val="none"/>
          <w14:textFill>
            <w14:solidFill>
              <w14:schemeClr w14:val="tx1"/>
            </w14:solidFill>
          </w14:textFill>
        </w:rPr>
        <w:br w:type="page"/>
      </w:r>
    </w:p>
    <w:p w14:paraId="4AB07DDE">
      <w:pPr>
        <w:jc w:val="center"/>
        <w:rPr>
          <w:rFonts w:hint="default" w:eastAsia="仿宋_GB2312"/>
          <w:b/>
          <w:color w:val="000000" w:themeColor="text1"/>
          <w:sz w:val="44"/>
          <w:highlight w:val="none"/>
          <w:lang w:val="en-US" w:eastAsia="zh-CN"/>
          <w14:textFill>
            <w14:solidFill>
              <w14:schemeClr w14:val="tx1"/>
            </w14:solidFill>
          </w14:textFill>
        </w:rPr>
      </w:pPr>
      <w:r>
        <w:rPr>
          <w:rFonts w:hint="eastAsia"/>
          <w:b/>
          <w:color w:val="000000" w:themeColor="text1"/>
          <w:sz w:val="44"/>
          <w:highlight w:val="none"/>
          <w:lang w:val="en-US" w:eastAsia="zh-CN"/>
          <w14:textFill>
            <w14:solidFill>
              <w14:schemeClr w14:val="tx1"/>
            </w14:solidFill>
          </w14:textFill>
        </w:rPr>
        <w:t>采购包3</w:t>
      </w:r>
    </w:p>
    <w:p w14:paraId="071277F3">
      <w:pPr>
        <w:jc w:val="center"/>
        <w:rPr>
          <w:b/>
          <w:color w:val="000000" w:themeColor="text1"/>
          <w:sz w:val="44"/>
          <w:highlight w:val="none"/>
          <w14:textFill>
            <w14:solidFill>
              <w14:schemeClr w14:val="tx1"/>
            </w14:solidFill>
          </w14:textFill>
        </w:rPr>
      </w:pPr>
      <w:r>
        <w:rPr>
          <w:b/>
          <w:color w:val="000000" w:themeColor="text1"/>
          <w:sz w:val="44"/>
          <w:highlight w:val="none"/>
          <w14:textFill>
            <w14:solidFill>
              <w14:schemeClr w14:val="tx1"/>
            </w14:solidFill>
          </w14:textFill>
        </w:rPr>
        <w:t>技 术 服 务 合 同 书</w:t>
      </w:r>
    </w:p>
    <w:p w14:paraId="64E7CEE1">
      <w:pPr>
        <w:jc w:val="center"/>
        <w:rPr>
          <w:color w:val="000000" w:themeColor="text1"/>
          <w:highlight w:val="none"/>
          <w14:textFill>
            <w14:solidFill>
              <w14:schemeClr w14:val="tx1"/>
            </w14:solidFill>
          </w14:textFill>
        </w:rPr>
      </w:pPr>
    </w:p>
    <w:p w14:paraId="6568996C">
      <w:pPr>
        <w:rPr>
          <w:color w:val="000000" w:themeColor="text1"/>
          <w:highlight w:val="none"/>
          <w14:textFill>
            <w14:solidFill>
              <w14:schemeClr w14:val="tx1"/>
            </w14:solidFill>
          </w14:textFill>
        </w:rPr>
      </w:pPr>
    </w:p>
    <w:p w14:paraId="118CBAC2">
      <w:pPr>
        <w:rPr>
          <w:color w:val="000000" w:themeColor="text1"/>
          <w:sz w:val="28"/>
          <w:highlight w:val="none"/>
          <w14:textFill>
            <w14:solidFill>
              <w14:schemeClr w14:val="tx1"/>
            </w14:solidFill>
          </w14:textFill>
        </w:rPr>
      </w:pPr>
    </w:p>
    <w:p w14:paraId="4BAAF6B8">
      <w:pPr>
        <w:rPr>
          <w:color w:val="000000" w:themeColor="text1"/>
          <w:sz w:val="28"/>
          <w:highlight w:val="none"/>
          <w14:textFill>
            <w14:solidFill>
              <w14:schemeClr w14:val="tx1"/>
            </w14:solidFill>
          </w14:textFill>
        </w:rPr>
      </w:pPr>
    </w:p>
    <w:p w14:paraId="2B9F0BDB">
      <w:pPr>
        <w:rPr>
          <w:color w:val="000000" w:themeColor="text1"/>
          <w:sz w:val="28"/>
          <w:highlight w:val="none"/>
          <w14:textFill>
            <w14:solidFill>
              <w14:schemeClr w14:val="tx1"/>
            </w14:solidFill>
          </w14:textFill>
        </w:rPr>
      </w:pPr>
    </w:p>
    <w:p w14:paraId="26708D00">
      <w:pPr>
        <w:spacing w:line="360" w:lineRule="auto"/>
        <w:ind w:left="2397" w:leftChars="266" w:hanging="1546" w:hangingChars="550"/>
        <w:jc w:val="left"/>
        <w:rPr>
          <w:rFonts w:hint="default" w:eastAsia="宋体"/>
          <w:b w:val="0"/>
          <w:bCs w:val="0"/>
          <w:color w:val="000000" w:themeColor="text1"/>
          <w:sz w:val="28"/>
          <w:highlight w:val="none"/>
          <w:u w:val="single"/>
          <w:lang w:val="en-US" w:eastAsia="zh-CN"/>
          <w14:textFill>
            <w14:solidFill>
              <w14:schemeClr w14:val="tx1"/>
            </w14:solidFill>
          </w14:textFill>
        </w:rPr>
      </w:pPr>
      <w:r>
        <w:rPr>
          <w:b/>
          <w:bCs/>
          <w:color w:val="000000" w:themeColor="text1"/>
          <w:sz w:val="28"/>
          <w:highlight w:val="none"/>
          <w14:textFill>
            <w14:solidFill>
              <w14:schemeClr w14:val="tx1"/>
            </w14:solidFill>
          </w14:textFill>
        </w:rPr>
        <w:t>项目名称：</w:t>
      </w:r>
      <w:r>
        <w:rPr>
          <w:rFonts w:hint="eastAsia"/>
          <w:b w:val="0"/>
          <w:bCs w:val="0"/>
          <w:color w:val="000000" w:themeColor="text1"/>
          <w:sz w:val="28"/>
          <w:highlight w:val="none"/>
          <w:u w:val="single"/>
          <w:lang w:val="en-US" w:eastAsia="zh-CN"/>
          <w14:textFill>
            <w14:solidFill>
              <w14:schemeClr w14:val="tx1"/>
            </w14:solidFill>
          </w14:textFill>
        </w:rPr>
        <w:t xml:space="preserve">                                      </w:t>
      </w:r>
    </w:p>
    <w:p w14:paraId="71B779B3">
      <w:pPr>
        <w:spacing w:line="400" w:lineRule="exact"/>
        <w:ind w:firstLine="422" w:firstLineChars="150"/>
        <w:rPr>
          <w:b/>
          <w:bCs/>
          <w:color w:val="000000" w:themeColor="text1"/>
          <w:sz w:val="28"/>
          <w:highlight w:val="none"/>
          <w14:textFill>
            <w14:solidFill>
              <w14:schemeClr w14:val="tx1"/>
            </w14:solidFill>
          </w14:textFill>
        </w:rPr>
      </w:pPr>
      <w:r>
        <w:rPr>
          <w:b/>
          <w:bCs/>
          <w:color w:val="000000" w:themeColor="text1"/>
          <w:sz w:val="28"/>
          <w:highlight w:val="none"/>
          <w14:textFill>
            <w14:solidFill>
              <w14:schemeClr w14:val="tx1"/>
            </w14:solidFill>
          </w14:textFill>
        </w:rPr>
        <w:t>被服务方：          海南省生态环境监测中心</w:t>
      </w:r>
    </w:p>
    <w:p w14:paraId="5DF7A274">
      <w:pPr>
        <w:spacing w:line="400" w:lineRule="exact"/>
        <w:ind w:firstLine="703" w:firstLineChars="250"/>
        <w:rPr>
          <w:b/>
          <w:bCs/>
          <w:color w:val="000000" w:themeColor="text1"/>
          <w:sz w:val="28"/>
          <w:highlight w:val="none"/>
          <w14:textFill>
            <w14:solidFill>
              <w14:schemeClr w14:val="tx1"/>
            </w14:solidFill>
          </w14:textFill>
        </w:rPr>
      </w:pPr>
      <w:r>
        <w:rPr>
          <w:b/>
          <w:bCs/>
          <w:color w:val="000000" w:themeColor="text1"/>
          <w:sz w:val="28"/>
          <w:highlight w:val="none"/>
          <w14:textFill>
            <w14:solidFill>
              <w14:schemeClr w14:val="tx1"/>
            </w14:solidFill>
          </w14:textFill>
        </w:rPr>
        <mc:AlternateContent>
          <mc:Choice Requires="wps">
            <w:drawing>
              <wp:anchor distT="0" distB="0" distL="114300" distR="114300" simplePos="0" relativeHeight="251660288" behindDoc="0" locked="0" layoutInCell="0" allowOverlap="1">
                <wp:simplePos x="0" y="0"/>
                <wp:positionH relativeFrom="column">
                  <wp:posOffset>1064260</wp:posOffset>
                </wp:positionH>
                <wp:positionV relativeFrom="paragraph">
                  <wp:posOffset>41910</wp:posOffset>
                </wp:positionV>
                <wp:extent cx="4017010" cy="0"/>
                <wp:effectExtent l="0" t="4445" r="0" b="5080"/>
                <wp:wrapNone/>
                <wp:docPr id="327559728" name="直接连接符 327559728"/>
                <wp:cNvGraphicFramePr/>
                <a:graphic xmlns:a="http://schemas.openxmlformats.org/drawingml/2006/main">
                  <a:graphicData uri="http://schemas.microsoft.com/office/word/2010/wordprocessingShape">
                    <wps:wsp>
                      <wps:cNvCnPr>
                        <a:cxnSpLocks noChangeShapeType="1"/>
                      </wps:cNvCnPr>
                      <wps:spPr bwMode="auto">
                        <a:xfrm>
                          <a:off x="0" y="0"/>
                          <a:ext cx="401701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83.8pt;margin-top:3.3pt;height:0pt;width:316.3pt;z-index:251660288;mso-width-relative:page;mso-height-relative:page;" filled="f" stroked="t" coordsize="21600,21600" o:allowincell="f" o:gfxdata="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Dp3YjTAAAABwEAAA8AAAAAAAAAAQAgAAAAIgAAAGRycy9kb3ducmV2LnhtbFBLAQIUABQAAAAI&#10;AIdO4kC5wrkC8gEAAMgDAAAOAAAAAAAAAAEAIAAAACIBAABkcnMvZTJvRG9jLnhtbFBLBQYAAAAA&#10;BgAGAFkBAACGBQAAAAA=&#10;">
                <v:fill on="f" focussize="0,0"/>
                <v:stroke color="#000000" joinstyle="round"/>
                <v:imagedata o:title=""/>
                <o:lock v:ext="edit" aspectratio="f"/>
              </v:line>
            </w:pict>
          </mc:Fallback>
        </mc:AlternateContent>
      </w:r>
      <w:r>
        <w:rPr>
          <w:b/>
          <w:bCs/>
          <w:color w:val="000000" w:themeColor="text1"/>
          <w:sz w:val="28"/>
          <w:highlight w:val="none"/>
          <w14:textFill>
            <w14:solidFill>
              <w14:schemeClr w14:val="tx1"/>
            </w14:solidFill>
          </w14:textFill>
        </w:rPr>
        <w:t>(甲方)</w:t>
      </w:r>
    </w:p>
    <w:p w14:paraId="0D892450">
      <w:pPr>
        <w:spacing w:line="400" w:lineRule="exact"/>
        <w:rPr>
          <w:b/>
          <w:bCs/>
          <w:color w:val="000000" w:themeColor="text1"/>
          <w:sz w:val="28"/>
          <w:highlight w:val="none"/>
          <w14:textFill>
            <w14:solidFill>
              <w14:schemeClr w14:val="tx1"/>
            </w14:solidFill>
          </w14:textFill>
        </w:rPr>
      </w:pPr>
    </w:p>
    <w:p w14:paraId="1B6BC7A1">
      <w:pPr>
        <w:spacing w:line="400" w:lineRule="exact"/>
        <w:ind w:firstLine="422" w:firstLineChars="150"/>
        <w:rPr>
          <w:b/>
          <w:bCs/>
          <w:color w:val="000000" w:themeColor="text1"/>
          <w:sz w:val="28"/>
          <w:highlight w:val="none"/>
          <w14:textFill>
            <w14:solidFill>
              <w14:schemeClr w14:val="tx1"/>
            </w14:solidFill>
          </w14:textFill>
        </w:rPr>
      </w:pPr>
      <w:r>
        <w:rPr>
          <w:b/>
          <w:bCs/>
          <w:color w:val="000000" w:themeColor="text1"/>
          <w:sz w:val="28"/>
          <w:highlight w:val="none"/>
          <w14:textFill>
            <w14:solidFill>
              <w14:schemeClr w14:val="tx1"/>
            </w14:solidFill>
          </w14:textFill>
        </w:rPr>
        <w:t xml:space="preserve">服务方：           </w:t>
      </w:r>
    </w:p>
    <w:p w14:paraId="50FC05EA">
      <w:pPr>
        <w:spacing w:line="400" w:lineRule="exact"/>
        <w:ind w:firstLine="562" w:firstLineChars="200"/>
        <w:rPr>
          <w:b/>
          <w:bCs/>
          <w:color w:val="000000" w:themeColor="text1"/>
          <w:sz w:val="28"/>
          <w:highlight w:val="none"/>
          <w14:textFill>
            <w14:solidFill>
              <w14:schemeClr w14:val="tx1"/>
            </w14:solidFill>
          </w14:textFill>
        </w:rPr>
      </w:pPr>
      <w:r>
        <w:rPr>
          <w:b/>
          <w:bCs/>
          <w:color w:val="000000" w:themeColor="text1"/>
          <w:sz w:val="28"/>
          <w:highlight w:val="none"/>
          <w14:textFill>
            <w14:solidFill>
              <w14:schemeClr w14:val="tx1"/>
            </w14:solidFill>
          </w14:textFill>
        </w:rPr>
        <mc:AlternateContent>
          <mc:Choice Requires="wps">
            <w:drawing>
              <wp:anchor distT="0" distB="0" distL="114300" distR="114300" simplePos="0" relativeHeight="251659264" behindDoc="0" locked="0" layoutInCell="0" allowOverlap="1">
                <wp:simplePos x="0" y="0"/>
                <wp:positionH relativeFrom="column">
                  <wp:posOffset>1036955</wp:posOffset>
                </wp:positionH>
                <wp:positionV relativeFrom="paragraph">
                  <wp:posOffset>13335</wp:posOffset>
                </wp:positionV>
                <wp:extent cx="4017010" cy="0"/>
                <wp:effectExtent l="0" t="4445" r="0" b="5080"/>
                <wp:wrapNone/>
                <wp:docPr id="630619896" name="直接连接符 630619896"/>
                <wp:cNvGraphicFramePr/>
                <a:graphic xmlns:a="http://schemas.openxmlformats.org/drawingml/2006/main">
                  <a:graphicData uri="http://schemas.microsoft.com/office/word/2010/wordprocessingShape">
                    <wps:wsp>
                      <wps:cNvCnPr>
                        <a:cxnSpLocks noChangeShapeType="1"/>
                      </wps:cNvCnPr>
                      <wps:spPr bwMode="auto">
                        <a:xfrm>
                          <a:off x="0" y="0"/>
                          <a:ext cx="401701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81.65pt;margin-top:1.05pt;height:0pt;width:316.3pt;z-index:251659264;mso-width-relative:page;mso-height-relative:page;" filled="f" stroked="t" coordsize="21600,21600" o:allowincell="f" o:gfxdata="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clXbA1AAAAAcBAAAPAAAAAAAAAAEAIAAAACIAAABkcnMvZG93bnJldi54bWxQSwECFAAUAAAA&#10;CACHTuJAAeIObPIBAADIAwAADgAAAAAAAAABACAAAAAjAQAAZHJzL2Uyb0RvYy54bWxQSwUGAAAA&#10;AAYABgBZAQAAhwUAAAAA&#10;">
                <v:fill on="f" focussize="0,0"/>
                <v:stroke color="#000000" joinstyle="round"/>
                <v:imagedata o:title=""/>
                <o:lock v:ext="edit" aspectratio="f"/>
              </v:line>
            </w:pict>
          </mc:Fallback>
        </mc:AlternateContent>
      </w:r>
      <w:r>
        <w:rPr>
          <w:b/>
          <w:bCs/>
          <w:color w:val="000000" w:themeColor="text1"/>
          <w:sz w:val="28"/>
          <w:highlight w:val="none"/>
          <w14:textFill>
            <w14:solidFill>
              <w14:schemeClr w14:val="tx1"/>
            </w14:solidFill>
          </w14:textFill>
        </w:rPr>
        <w:t>(乙方)</w:t>
      </w:r>
    </w:p>
    <w:p w14:paraId="6868A246">
      <w:pPr>
        <w:rPr>
          <w:color w:val="000000" w:themeColor="text1"/>
          <w:sz w:val="28"/>
          <w:highlight w:val="none"/>
          <w14:textFill>
            <w14:solidFill>
              <w14:schemeClr w14:val="tx1"/>
            </w14:solidFill>
          </w14:textFill>
        </w:rPr>
      </w:pPr>
    </w:p>
    <w:p w14:paraId="67F66A3F">
      <w:pPr>
        <w:rPr>
          <w:color w:val="000000" w:themeColor="text1"/>
          <w:highlight w:val="none"/>
          <w14:textFill>
            <w14:solidFill>
              <w14:schemeClr w14:val="tx1"/>
            </w14:solidFill>
          </w14:textFill>
        </w:rPr>
      </w:pPr>
    </w:p>
    <w:p w14:paraId="1D417AE0">
      <w:pPr>
        <w:spacing w:line="600" w:lineRule="exact"/>
        <w:ind w:left="1280" w:leftChars="400"/>
        <w:rPr>
          <w:color w:val="000000" w:themeColor="text1"/>
          <w:sz w:val="28"/>
          <w:szCs w:val="28"/>
          <w:highlight w:val="none"/>
          <w14:textFill>
            <w14:solidFill>
              <w14:schemeClr w14:val="tx1"/>
            </w14:solidFill>
          </w14:textFill>
        </w:rPr>
      </w:pPr>
      <w:r>
        <w:rPr>
          <w:color w:val="000000" w:themeColor="text1"/>
          <w:sz w:val="28"/>
          <w:szCs w:val="28"/>
          <w:highlight w:val="none"/>
          <w14:textFill>
            <w14:solidFill>
              <w14:schemeClr w14:val="tx1"/>
            </w14:solidFill>
          </w14:textFill>
        </w:rPr>
        <w:t>签定地点：    海南省海口市</w:t>
      </w:r>
    </w:p>
    <w:p w14:paraId="14CF8791">
      <w:pPr>
        <w:spacing w:line="600" w:lineRule="exact"/>
        <w:ind w:left="1280" w:leftChars="400"/>
        <w:rPr>
          <w:color w:val="000000" w:themeColor="text1"/>
          <w:sz w:val="28"/>
          <w:szCs w:val="28"/>
          <w:highlight w:val="none"/>
          <w14:textFill>
            <w14:solidFill>
              <w14:schemeClr w14:val="tx1"/>
            </w14:solidFill>
          </w14:textFill>
        </w:rPr>
      </w:pPr>
      <w:r>
        <w:rPr>
          <w:color w:val="000000" w:themeColor="text1"/>
          <w:sz w:val="28"/>
          <w:szCs w:val="28"/>
          <w:highlight w:val="none"/>
          <w14:textFill>
            <w14:solidFill>
              <w14:schemeClr w14:val="tx1"/>
            </w14:solidFill>
          </w14:textFill>
        </w:rPr>
        <w:t>签定日期：    202</w:t>
      </w:r>
      <w:r>
        <w:rPr>
          <w:rFonts w:hint="eastAsia"/>
          <w:color w:val="000000" w:themeColor="text1"/>
          <w:sz w:val="28"/>
          <w:szCs w:val="28"/>
          <w:highlight w:val="none"/>
          <w:lang w:val="en-US" w:eastAsia="zh-CN"/>
          <w14:textFill>
            <w14:solidFill>
              <w14:schemeClr w14:val="tx1"/>
            </w14:solidFill>
          </w14:textFill>
        </w:rPr>
        <w:t>5</w:t>
      </w:r>
      <w:r>
        <w:rPr>
          <w:color w:val="000000" w:themeColor="text1"/>
          <w:sz w:val="28"/>
          <w:szCs w:val="28"/>
          <w:highlight w:val="none"/>
          <w14:textFill>
            <w14:solidFill>
              <w14:schemeClr w14:val="tx1"/>
            </w14:solidFill>
          </w14:textFill>
        </w:rPr>
        <w:t>年  月  日</w:t>
      </w:r>
    </w:p>
    <w:p w14:paraId="521587D5">
      <w:pPr>
        <w:spacing w:line="600" w:lineRule="exact"/>
        <w:ind w:left="1280" w:leftChars="400"/>
        <w:rPr>
          <w:color w:val="000000" w:themeColor="text1"/>
          <w:sz w:val="28"/>
          <w:szCs w:val="28"/>
          <w:highlight w:val="none"/>
          <w14:textFill>
            <w14:solidFill>
              <w14:schemeClr w14:val="tx1"/>
            </w14:solidFill>
          </w14:textFill>
        </w:rPr>
      </w:pPr>
      <w:r>
        <w:rPr>
          <w:color w:val="000000" w:themeColor="text1"/>
          <w:sz w:val="28"/>
          <w:szCs w:val="28"/>
          <w:highlight w:val="none"/>
          <w14:textFill>
            <w14:solidFill>
              <w14:schemeClr w14:val="tx1"/>
            </w14:solidFill>
          </w14:textFill>
        </w:rPr>
        <w:t>有效日期：    202</w:t>
      </w:r>
      <w:r>
        <w:rPr>
          <w:rFonts w:hint="eastAsia"/>
          <w:color w:val="000000" w:themeColor="text1"/>
          <w:sz w:val="28"/>
          <w:szCs w:val="28"/>
          <w:highlight w:val="none"/>
          <w:lang w:val="en-US" w:eastAsia="zh-CN"/>
          <w14:textFill>
            <w14:solidFill>
              <w14:schemeClr w14:val="tx1"/>
            </w14:solidFill>
          </w14:textFill>
        </w:rPr>
        <w:t>5</w:t>
      </w:r>
      <w:r>
        <w:rPr>
          <w:color w:val="000000" w:themeColor="text1"/>
          <w:sz w:val="28"/>
          <w:szCs w:val="28"/>
          <w:highlight w:val="none"/>
          <w14:textFill>
            <w14:solidFill>
              <w14:schemeClr w14:val="tx1"/>
            </w14:solidFill>
          </w14:textFill>
        </w:rPr>
        <w:t>年  月  日至 202</w:t>
      </w:r>
      <w:r>
        <w:rPr>
          <w:rFonts w:hint="eastAsia"/>
          <w:color w:val="000000" w:themeColor="text1"/>
          <w:sz w:val="28"/>
          <w:szCs w:val="28"/>
          <w:highlight w:val="none"/>
          <w:lang w:val="en-US" w:eastAsia="zh-CN"/>
          <w14:textFill>
            <w14:solidFill>
              <w14:schemeClr w14:val="tx1"/>
            </w14:solidFill>
          </w14:textFill>
        </w:rPr>
        <w:t>5</w:t>
      </w:r>
      <w:r>
        <w:rPr>
          <w:color w:val="000000" w:themeColor="text1"/>
          <w:sz w:val="28"/>
          <w:szCs w:val="28"/>
          <w:highlight w:val="none"/>
          <w14:textFill>
            <w14:solidFill>
              <w14:schemeClr w14:val="tx1"/>
            </w14:solidFill>
          </w14:textFill>
        </w:rPr>
        <w:t>年  月  日</w:t>
      </w:r>
    </w:p>
    <w:p w14:paraId="7799338A">
      <w:pPr>
        <w:pStyle w:val="10"/>
        <w:ind w:right="340"/>
        <w:rPr>
          <w:color w:val="000000" w:themeColor="text1"/>
          <w:highlight w:val="none"/>
          <w14:textFill>
            <w14:solidFill>
              <w14:schemeClr w14:val="tx1"/>
            </w14:solidFill>
          </w14:textFill>
        </w:rPr>
      </w:pPr>
    </w:p>
    <w:p w14:paraId="29B153D7">
      <w:pPr>
        <w:pStyle w:val="10"/>
        <w:widowControl/>
        <w:ind w:right="340"/>
        <w:jc w:val="lef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7BB56B40">
      <w:pPr>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依据《中华人民共和国民法典》的规定，合同双方就</w:t>
      </w:r>
      <w:r>
        <w:rPr>
          <w:rFonts w:hint="eastAsia"/>
          <w:b/>
          <w:bCs/>
          <w:color w:val="000000" w:themeColor="text1"/>
          <w:sz w:val="24"/>
          <w:szCs w:val="24"/>
          <w:highlight w:val="none"/>
          <w:u w:val="single"/>
          <w14:textFill>
            <w14:solidFill>
              <w14:schemeClr w14:val="tx1"/>
            </w14:solidFill>
          </w14:textFill>
        </w:rPr>
        <w:t>《项目</w:t>
      </w:r>
      <w:r>
        <w:rPr>
          <w:rFonts w:hint="eastAsia"/>
          <w:b/>
          <w:bCs/>
          <w:color w:val="000000" w:themeColor="text1"/>
          <w:sz w:val="24"/>
          <w:szCs w:val="24"/>
          <w:highlight w:val="none"/>
          <w:u w:val="single"/>
          <w:lang w:val="en-US" w:eastAsia="zh-CN"/>
          <w14:textFill>
            <w14:solidFill>
              <w14:schemeClr w14:val="tx1"/>
            </w14:solidFill>
          </w14:textFill>
        </w:rPr>
        <w:t>名称</w:t>
      </w:r>
      <w:r>
        <w:rPr>
          <w:rFonts w:hint="eastAsia"/>
          <w:b/>
          <w:bCs/>
          <w:color w:val="000000" w:themeColor="text1"/>
          <w:sz w:val="24"/>
          <w:szCs w:val="24"/>
          <w:highlight w:val="none"/>
          <w:u w:val="single"/>
          <w14:textFill>
            <w14:solidFill>
              <w14:schemeClr w14:val="tx1"/>
            </w14:solidFill>
          </w14:textFill>
        </w:rPr>
        <w:t>》</w:t>
      </w:r>
      <w:r>
        <w:rPr>
          <w:rFonts w:hint="eastAsia"/>
          <w:color w:val="000000" w:themeColor="text1"/>
          <w:sz w:val="24"/>
          <w:szCs w:val="24"/>
          <w:highlight w:val="none"/>
          <w14:textFill>
            <w14:solidFill>
              <w14:schemeClr w14:val="tx1"/>
            </w14:solidFill>
          </w14:textFill>
        </w:rPr>
        <w:t>协商一致，签订本合同。</w:t>
      </w:r>
    </w:p>
    <w:p w14:paraId="2174A572">
      <w:pPr>
        <w:bidi w:val="0"/>
        <w:rPr>
          <w:color w:val="000000" w:themeColor="text1"/>
          <w:sz w:val="24"/>
          <w:szCs w:val="21"/>
          <w14:textFill>
            <w14:solidFill>
              <w14:schemeClr w14:val="tx1"/>
            </w14:solidFill>
          </w14:textFill>
        </w:rPr>
      </w:pPr>
      <w:bookmarkStart w:id="36" w:name="_Toc31772"/>
      <w:r>
        <w:rPr>
          <w:color w:val="000000" w:themeColor="text1"/>
          <w:sz w:val="24"/>
          <w:szCs w:val="21"/>
          <w14:textFill>
            <w14:solidFill>
              <w14:schemeClr w14:val="tx1"/>
            </w14:solidFill>
          </w14:textFill>
        </w:rPr>
        <w:t>1</w:t>
      </w:r>
      <w:r>
        <w:rPr>
          <w:rFonts w:hint="eastAsia"/>
          <w:color w:val="000000" w:themeColor="text1"/>
          <w:sz w:val="24"/>
          <w:szCs w:val="21"/>
          <w14:textFill>
            <w14:solidFill>
              <w14:schemeClr w14:val="tx1"/>
            </w14:solidFill>
          </w14:textFill>
        </w:rPr>
        <w:t>、合同范围</w:t>
      </w:r>
      <w:bookmarkEnd w:id="36"/>
    </w:p>
    <w:p w14:paraId="538BC307">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1.1</w:t>
      </w:r>
      <w:r>
        <w:rPr>
          <w:rFonts w:hint="eastAsia"/>
          <w:b/>
          <w:bCs/>
          <w:color w:val="000000" w:themeColor="text1"/>
          <w:sz w:val="24"/>
          <w:szCs w:val="24"/>
          <w:highlight w:val="none"/>
          <w:u w:val="single"/>
          <w14:textFill>
            <w14:solidFill>
              <w14:schemeClr w14:val="tx1"/>
            </w14:solidFill>
          </w14:textFill>
        </w:rPr>
        <w:t>海南省生态环境监测中心</w:t>
      </w:r>
      <w:r>
        <w:rPr>
          <w:rFonts w:hint="eastAsia"/>
          <w:color w:val="000000" w:themeColor="text1"/>
          <w:sz w:val="24"/>
          <w:szCs w:val="24"/>
          <w:highlight w:val="none"/>
          <w14:textFill>
            <w14:solidFill>
              <w14:schemeClr w14:val="tx1"/>
            </w14:solidFill>
          </w14:textFill>
        </w:rPr>
        <w:t>（简称甲方）委托</w:t>
      </w:r>
      <w:r>
        <w:rPr>
          <w:b/>
          <w:bCs/>
          <w:color w:val="000000" w:themeColor="text1"/>
          <w:sz w:val="24"/>
          <w:szCs w:val="24"/>
          <w:highlight w:val="none"/>
          <w:u w:val="single"/>
          <w14:textFill>
            <w14:solidFill>
              <w14:schemeClr w14:val="tx1"/>
            </w14:solidFill>
          </w14:textFill>
        </w:rPr>
        <w:t xml:space="preserve">     </w:t>
      </w:r>
      <w:r>
        <w:rPr>
          <w:rFonts w:hint="eastAsia"/>
          <w:color w:val="000000" w:themeColor="text1"/>
          <w:sz w:val="24"/>
          <w:szCs w:val="24"/>
          <w:highlight w:val="none"/>
          <w14:textFill>
            <w14:solidFill>
              <w14:schemeClr w14:val="tx1"/>
            </w14:solidFill>
          </w14:textFill>
        </w:rPr>
        <w:t>（简称乙方）开展</w:t>
      </w:r>
      <w:r>
        <w:rPr>
          <w:rFonts w:hint="eastAsia"/>
          <w:b/>
          <w:bCs/>
          <w:color w:val="000000" w:themeColor="text1"/>
          <w:sz w:val="24"/>
          <w:szCs w:val="24"/>
          <w:highlight w:val="none"/>
          <w:u w:val="single"/>
          <w14:textFill>
            <w14:solidFill>
              <w14:schemeClr w14:val="tx1"/>
            </w14:solidFill>
          </w14:textFill>
        </w:rPr>
        <w:t>项目</w:t>
      </w:r>
      <w:r>
        <w:rPr>
          <w:rFonts w:hint="eastAsia"/>
          <w:b/>
          <w:bCs/>
          <w:color w:val="000000" w:themeColor="text1"/>
          <w:sz w:val="24"/>
          <w:szCs w:val="24"/>
          <w:highlight w:val="none"/>
          <w:u w:val="single"/>
          <w:lang w:val="en-US" w:eastAsia="zh-CN"/>
          <w14:textFill>
            <w14:solidFill>
              <w14:schemeClr w14:val="tx1"/>
            </w14:solidFill>
          </w14:textFill>
        </w:rPr>
        <w:t>名称</w:t>
      </w:r>
      <w:r>
        <w:rPr>
          <w:rFonts w:hint="eastAsia"/>
          <w:color w:val="000000" w:themeColor="text1"/>
          <w:sz w:val="24"/>
          <w:szCs w:val="24"/>
          <w:highlight w:val="none"/>
          <w14:textFill>
            <w14:solidFill>
              <w14:schemeClr w14:val="tx1"/>
            </w14:solidFill>
          </w14:textFill>
        </w:rPr>
        <w:t>。</w:t>
      </w:r>
    </w:p>
    <w:p w14:paraId="70AFCD0E">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w:t>
      </w:r>
      <w:r>
        <w:rPr>
          <w:rFonts w:hint="eastAsia"/>
          <w:color w:val="000000" w:themeColor="text1"/>
          <w:sz w:val="24"/>
          <w:szCs w:val="24"/>
          <w:highlight w:val="none"/>
          <w14:textFill>
            <w14:solidFill>
              <w14:schemeClr w14:val="tx1"/>
            </w14:solidFill>
          </w14:textFill>
        </w:rPr>
        <w:t>2为贯彻落实廉政要求，维护采购结果的公正性，保证合同顺利履行，乙方在本项目中需按照《廉洁履约承诺书》相关要求严格约束自身行为，遵守廉洁承诺为本合同履行不可分割的一部分，若乙方违背上述条款，甲方有权视情节轻重，扣除相应合同款项或者单方解除合同。</w:t>
      </w:r>
    </w:p>
    <w:p w14:paraId="79AB83B3">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1.3</w:t>
      </w:r>
      <w:r>
        <w:rPr>
          <w:rFonts w:hint="eastAsia"/>
          <w:color w:val="000000" w:themeColor="text1"/>
          <w:sz w:val="24"/>
          <w:szCs w:val="24"/>
          <w:highlight w:val="none"/>
          <w14:textFill>
            <w14:solidFill>
              <w14:schemeClr w14:val="tx1"/>
            </w14:solidFill>
          </w14:textFill>
        </w:rPr>
        <w:t>服务范围包括：</w:t>
      </w:r>
      <w:r>
        <w:rPr>
          <w:rFonts w:hint="eastAsia" w:ascii="Times New Roman" w:hAnsi="Times New Roman" w:eastAsia="宋体"/>
          <w:color w:val="000000" w:themeColor="text1"/>
          <w:sz w:val="24"/>
          <w:highlight w:val="none"/>
          <w14:textFill>
            <w14:solidFill>
              <w14:schemeClr w14:val="tx1"/>
            </w14:solidFill>
          </w14:textFill>
        </w:rPr>
        <w:t>海南省流域补偿断面水质自动站运行维护服务及水环境质量自动监测站房智慧化改造</w:t>
      </w:r>
      <w:r>
        <w:rPr>
          <w:rFonts w:hint="eastAsia" w:ascii="Times New Roman" w:hAnsi="Times New Roman" w:eastAsia="宋体"/>
          <w:color w:val="000000" w:themeColor="text1"/>
          <w:sz w:val="24"/>
          <w:highlight w:val="none"/>
          <w:lang w:val="en-US" w:eastAsia="zh-CN"/>
          <w14:textFill>
            <w14:solidFill>
              <w14:schemeClr w14:val="tx1"/>
            </w14:solidFill>
          </w14:textFill>
        </w:rPr>
        <w:t>服务</w:t>
      </w:r>
      <w:r>
        <w:rPr>
          <w:rFonts w:hint="eastAsia"/>
          <w:color w:val="000000" w:themeColor="text1"/>
          <w:sz w:val="24"/>
          <w:szCs w:val="24"/>
          <w:highlight w:val="none"/>
          <w14:textFill>
            <w14:solidFill>
              <w14:schemeClr w14:val="tx1"/>
            </w14:solidFill>
          </w14:textFill>
        </w:rPr>
        <w:t>。</w:t>
      </w:r>
      <w:r>
        <w:rPr>
          <w:rFonts w:hint="eastAsia"/>
          <w:color w:val="000000" w:themeColor="text1"/>
          <w:sz w:val="24"/>
          <w:szCs w:val="24"/>
          <w:highlight w:val="none"/>
          <w:lang w:val="en-US" w:eastAsia="zh-CN"/>
          <w14:textFill>
            <w14:solidFill>
              <w14:schemeClr w14:val="tx1"/>
            </w14:solidFill>
          </w14:textFill>
        </w:rPr>
        <w:t>涉及</w:t>
      </w:r>
      <w:r>
        <w:rPr>
          <w:rFonts w:hint="eastAsia"/>
          <w:color w:val="000000" w:themeColor="text1"/>
          <w:sz w:val="24"/>
          <w:szCs w:val="24"/>
          <w:highlight w:val="none"/>
          <w14:textFill>
            <w14:solidFill>
              <w14:schemeClr w14:val="tx1"/>
            </w14:solidFill>
          </w14:textFill>
        </w:rPr>
        <w:t>水站清单如下：</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2"/>
        <w:gridCol w:w="1231"/>
        <w:gridCol w:w="1195"/>
        <w:gridCol w:w="2198"/>
        <w:gridCol w:w="3216"/>
      </w:tblGrid>
      <w:tr w14:paraId="389DC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trPr>
        <w:tc>
          <w:tcPr>
            <w:tcW w:w="708" w:type="dxa"/>
            <w:noWrap w:val="0"/>
            <w:vAlign w:val="center"/>
          </w:tcPr>
          <w:p w14:paraId="16B03A3C">
            <w:pPr>
              <w:adjustRightInd w:val="0"/>
              <w:snapToGrid w:val="0"/>
              <w:jc w:val="center"/>
              <w:rPr>
                <w:rFonts w:hAnsi="Calibri"/>
                <w:b/>
                <w:bCs/>
                <w:color w:val="000000" w:themeColor="text1"/>
                <w:sz w:val="24"/>
                <w:szCs w:val="24"/>
                <w:highlight w:val="none"/>
                <w:lang w:eastAsia="en-US"/>
                <w14:textFill>
                  <w14:solidFill>
                    <w14:schemeClr w14:val="tx1"/>
                  </w14:solidFill>
                </w14:textFill>
              </w:rPr>
            </w:pPr>
            <w:r>
              <w:rPr>
                <w:rFonts w:hint="eastAsia" w:hAnsi="Calibri"/>
                <w:b/>
                <w:bCs/>
                <w:color w:val="000000" w:themeColor="text1"/>
                <w:sz w:val="24"/>
                <w:szCs w:val="24"/>
                <w:highlight w:val="none"/>
                <w:lang w:eastAsia="en-US"/>
                <w14:textFill>
                  <w14:solidFill>
                    <w14:schemeClr w14:val="tx1"/>
                  </w14:solidFill>
                </w14:textFill>
              </w:rPr>
              <w:t>序号</w:t>
            </w:r>
          </w:p>
        </w:tc>
        <w:tc>
          <w:tcPr>
            <w:tcW w:w="1322" w:type="dxa"/>
            <w:noWrap w:val="0"/>
            <w:vAlign w:val="center"/>
          </w:tcPr>
          <w:p w14:paraId="68A933F9">
            <w:pPr>
              <w:adjustRightInd w:val="0"/>
              <w:snapToGrid w:val="0"/>
              <w:jc w:val="center"/>
              <w:rPr>
                <w:rFonts w:hAnsi="Calibri"/>
                <w:b/>
                <w:bCs/>
                <w:color w:val="000000" w:themeColor="text1"/>
                <w:sz w:val="24"/>
                <w:szCs w:val="24"/>
                <w:highlight w:val="none"/>
                <w:lang w:eastAsia="en-US"/>
                <w14:textFill>
                  <w14:solidFill>
                    <w14:schemeClr w14:val="tx1"/>
                  </w14:solidFill>
                </w14:textFill>
              </w:rPr>
            </w:pPr>
            <w:r>
              <w:rPr>
                <w:rFonts w:hint="eastAsia" w:hAnsi="Calibri"/>
                <w:b/>
                <w:bCs/>
                <w:color w:val="000000" w:themeColor="text1"/>
                <w:sz w:val="24"/>
                <w:szCs w:val="24"/>
                <w:highlight w:val="none"/>
                <w:lang w:eastAsia="en-US"/>
                <w14:textFill>
                  <w14:solidFill>
                    <w14:schemeClr w14:val="tx1"/>
                  </w14:solidFill>
                </w14:textFill>
              </w:rPr>
              <w:t>站点名称</w:t>
            </w:r>
          </w:p>
        </w:tc>
        <w:tc>
          <w:tcPr>
            <w:tcW w:w="1282" w:type="dxa"/>
            <w:noWrap w:val="0"/>
            <w:vAlign w:val="center"/>
          </w:tcPr>
          <w:p w14:paraId="53B7D1DC">
            <w:pPr>
              <w:adjustRightInd w:val="0"/>
              <w:snapToGrid w:val="0"/>
              <w:jc w:val="center"/>
              <w:rPr>
                <w:rFonts w:hAnsi="Calibri"/>
                <w:b/>
                <w:bCs/>
                <w:color w:val="000000" w:themeColor="text1"/>
                <w:sz w:val="24"/>
                <w:szCs w:val="24"/>
                <w:highlight w:val="none"/>
                <w:lang w:eastAsia="en-US"/>
                <w14:textFill>
                  <w14:solidFill>
                    <w14:schemeClr w14:val="tx1"/>
                  </w14:solidFill>
                </w14:textFill>
              </w:rPr>
            </w:pPr>
            <w:r>
              <w:rPr>
                <w:rFonts w:hint="eastAsia" w:hAnsi="Calibri"/>
                <w:b/>
                <w:bCs/>
                <w:color w:val="000000" w:themeColor="text1"/>
                <w:sz w:val="24"/>
                <w:szCs w:val="24"/>
                <w:highlight w:val="none"/>
                <w:lang w:eastAsia="en-US"/>
                <w14:textFill>
                  <w14:solidFill>
                    <w14:schemeClr w14:val="tx1"/>
                  </w14:solidFill>
                </w14:textFill>
              </w:rPr>
              <w:t>所在市县</w:t>
            </w:r>
          </w:p>
        </w:tc>
        <w:tc>
          <w:tcPr>
            <w:tcW w:w="2403" w:type="dxa"/>
            <w:noWrap w:val="0"/>
            <w:vAlign w:val="center"/>
          </w:tcPr>
          <w:p w14:paraId="4F3CC5D6">
            <w:pPr>
              <w:adjustRightInd w:val="0"/>
              <w:snapToGrid w:val="0"/>
              <w:jc w:val="center"/>
              <w:rPr>
                <w:rFonts w:hint="default" w:hAnsi="Calibri" w:eastAsia="宋体"/>
                <w:b/>
                <w:bCs/>
                <w:color w:val="000000" w:themeColor="text1"/>
                <w:sz w:val="24"/>
                <w:szCs w:val="24"/>
                <w:highlight w:val="none"/>
                <w:lang w:val="en-US" w:eastAsia="zh-CN"/>
                <w14:textFill>
                  <w14:solidFill>
                    <w14:schemeClr w14:val="tx1"/>
                  </w14:solidFill>
                </w14:textFill>
              </w:rPr>
            </w:pPr>
            <w:r>
              <w:rPr>
                <w:rFonts w:hint="eastAsia" w:hAnsi="Calibri"/>
                <w:b/>
                <w:bCs/>
                <w:color w:val="000000" w:themeColor="text1"/>
                <w:sz w:val="24"/>
                <w:szCs w:val="24"/>
                <w:highlight w:val="none"/>
                <w:lang w:val="en-US" w:eastAsia="zh-CN"/>
                <w14:textFill>
                  <w14:solidFill>
                    <w14:schemeClr w14:val="tx1"/>
                  </w14:solidFill>
                </w14:textFill>
              </w:rPr>
              <w:t>服务类型</w:t>
            </w:r>
          </w:p>
        </w:tc>
        <w:tc>
          <w:tcPr>
            <w:tcW w:w="3513" w:type="dxa"/>
            <w:noWrap w:val="0"/>
            <w:vAlign w:val="center"/>
          </w:tcPr>
          <w:p w14:paraId="3F9B4895">
            <w:pPr>
              <w:adjustRightInd w:val="0"/>
              <w:snapToGrid w:val="0"/>
              <w:jc w:val="center"/>
              <w:rPr>
                <w:rFonts w:hAnsi="Calibri"/>
                <w:b/>
                <w:bCs/>
                <w:color w:val="000000" w:themeColor="text1"/>
                <w:sz w:val="24"/>
                <w:szCs w:val="24"/>
                <w:highlight w:val="none"/>
                <w:lang w:eastAsia="en-US"/>
                <w14:textFill>
                  <w14:solidFill>
                    <w14:schemeClr w14:val="tx1"/>
                  </w14:solidFill>
                </w14:textFill>
              </w:rPr>
            </w:pPr>
            <w:r>
              <w:rPr>
                <w:rFonts w:hint="eastAsia" w:hAnsi="Calibri"/>
                <w:b/>
                <w:bCs/>
                <w:color w:val="000000" w:themeColor="text1"/>
                <w:sz w:val="24"/>
                <w:szCs w:val="24"/>
                <w:highlight w:val="none"/>
                <w:lang w:eastAsia="en-US"/>
                <w14:textFill>
                  <w14:solidFill>
                    <w14:schemeClr w14:val="tx1"/>
                  </w14:solidFill>
                </w14:textFill>
              </w:rPr>
              <w:t>监测项目</w:t>
            </w:r>
          </w:p>
        </w:tc>
      </w:tr>
      <w:tr w14:paraId="32785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noWrap w:val="0"/>
            <w:vAlign w:val="center"/>
          </w:tcPr>
          <w:p w14:paraId="65AC2201">
            <w:pPr>
              <w:adjustRightInd w:val="0"/>
              <w:snapToGrid w:val="0"/>
              <w:jc w:val="center"/>
              <w:rPr>
                <w:rFonts w:hAnsi="Calibri"/>
                <w:color w:val="000000" w:themeColor="text1"/>
                <w:sz w:val="24"/>
                <w:szCs w:val="24"/>
                <w:highlight w:val="none"/>
                <w:lang w:eastAsia="zh-CN"/>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1</w:t>
            </w:r>
          </w:p>
        </w:tc>
        <w:tc>
          <w:tcPr>
            <w:tcW w:w="1322" w:type="dxa"/>
            <w:noWrap w:val="0"/>
            <w:vAlign w:val="center"/>
          </w:tcPr>
          <w:p w14:paraId="67A6D0E7">
            <w:pPr>
              <w:adjustRightInd w:val="0"/>
              <w:snapToGrid w:val="0"/>
              <w:jc w:val="center"/>
              <w:rPr>
                <w:rFonts w:hAnsi="Calibri"/>
                <w:color w:val="000000" w:themeColor="text1"/>
                <w:sz w:val="24"/>
                <w:szCs w:val="24"/>
                <w:highlight w:val="none"/>
                <w:lang w:eastAsia="en-US"/>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七水村</w:t>
            </w:r>
          </w:p>
        </w:tc>
        <w:tc>
          <w:tcPr>
            <w:tcW w:w="1282" w:type="dxa"/>
            <w:noWrap w:val="0"/>
            <w:vAlign w:val="center"/>
          </w:tcPr>
          <w:p w14:paraId="28992E43">
            <w:pPr>
              <w:adjustRightInd w:val="0"/>
              <w:snapToGrid w:val="0"/>
              <w:jc w:val="center"/>
              <w:rPr>
                <w:rFonts w:hAnsi="Calibri"/>
                <w:color w:val="000000" w:themeColor="text1"/>
                <w:sz w:val="24"/>
                <w:szCs w:val="24"/>
                <w:highlight w:val="none"/>
                <w:lang w:eastAsia="en-US"/>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白沙县</w:t>
            </w:r>
          </w:p>
        </w:tc>
        <w:tc>
          <w:tcPr>
            <w:tcW w:w="2403" w:type="dxa"/>
            <w:noWrap w:val="0"/>
            <w:vAlign w:val="center"/>
          </w:tcPr>
          <w:p w14:paraId="78E987A9">
            <w:pPr>
              <w:adjustRightInd w:val="0"/>
              <w:snapToGrid w:val="0"/>
              <w:jc w:val="center"/>
              <w:rPr>
                <w:rFonts w:hint="default" w:hAnsi="Calibri"/>
                <w:color w:val="000000" w:themeColor="text1"/>
                <w:sz w:val="24"/>
                <w:szCs w:val="24"/>
                <w:highlight w:val="none"/>
                <w:lang w:val="en-US" w:eastAsia="zh-CN"/>
                <w14:textFill>
                  <w14:solidFill>
                    <w14:schemeClr w14:val="tx1"/>
                  </w14:solidFill>
                </w14:textFill>
              </w:rPr>
            </w:pPr>
            <w:r>
              <w:rPr>
                <w:rFonts w:hint="eastAsia" w:hAnsi="Calibri"/>
                <w:color w:val="000000" w:themeColor="text1"/>
                <w:sz w:val="24"/>
                <w:szCs w:val="24"/>
                <w:highlight w:val="none"/>
                <w:lang w:val="en-US" w:eastAsia="zh-CN"/>
                <w14:textFill>
                  <w14:solidFill>
                    <w14:schemeClr w14:val="tx1"/>
                  </w14:solidFill>
                </w14:textFill>
              </w:rPr>
              <w:t>运行维护服务</w:t>
            </w:r>
          </w:p>
        </w:tc>
        <w:tc>
          <w:tcPr>
            <w:tcW w:w="3513" w:type="dxa"/>
            <w:noWrap w:val="0"/>
            <w:vAlign w:val="center"/>
          </w:tcPr>
          <w:p w14:paraId="398E7CD5">
            <w:pPr>
              <w:adjustRightInd w:val="0"/>
              <w:snapToGrid w:val="0"/>
              <w:jc w:val="center"/>
              <w:rPr>
                <w:rFonts w:hAnsi="Calibri"/>
                <w:color w:val="000000" w:themeColor="text1"/>
                <w:sz w:val="24"/>
                <w:szCs w:val="24"/>
                <w:highlight w:val="none"/>
                <w:lang w:eastAsia="zh-CN"/>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水温、p</w:t>
            </w:r>
            <w:r>
              <w:rPr>
                <w:rFonts w:hAnsi="Calibri"/>
                <w:color w:val="000000" w:themeColor="text1"/>
                <w:sz w:val="24"/>
                <w:szCs w:val="24"/>
                <w:highlight w:val="none"/>
                <w:lang w:eastAsia="zh-CN"/>
                <w14:textFill>
                  <w14:solidFill>
                    <w14:schemeClr w14:val="tx1"/>
                  </w14:solidFill>
                </w14:textFill>
              </w:rPr>
              <w:t>H</w:t>
            </w:r>
            <w:r>
              <w:rPr>
                <w:rFonts w:hint="eastAsia" w:hAnsi="Calibri"/>
                <w:color w:val="000000" w:themeColor="text1"/>
                <w:sz w:val="24"/>
                <w:szCs w:val="24"/>
                <w:highlight w:val="none"/>
                <w:lang w:eastAsia="zh-CN"/>
                <w14:textFill>
                  <w14:solidFill>
                    <w14:schemeClr w14:val="tx1"/>
                  </w14:solidFill>
                </w14:textFill>
              </w:rPr>
              <w:t>值、溶解氧、电导率、浊度、高锰酸盐指数、氨氮、总磷、总氮、水位</w:t>
            </w:r>
          </w:p>
        </w:tc>
      </w:tr>
      <w:tr w14:paraId="156A3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noWrap w:val="0"/>
            <w:vAlign w:val="center"/>
          </w:tcPr>
          <w:p w14:paraId="20800E86">
            <w:pPr>
              <w:adjustRightInd w:val="0"/>
              <w:snapToGrid w:val="0"/>
              <w:jc w:val="center"/>
              <w:rPr>
                <w:rFonts w:hAnsi="Calibri"/>
                <w:color w:val="000000" w:themeColor="text1"/>
                <w:sz w:val="24"/>
                <w:szCs w:val="24"/>
                <w:highlight w:val="none"/>
                <w:lang w:eastAsia="zh-CN"/>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2</w:t>
            </w:r>
          </w:p>
        </w:tc>
        <w:tc>
          <w:tcPr>
            <w:tcW w:w="1322" w:type="dxa"/>
            <w:noWrap w:val="0"/>
            <w:vAlign w:val="center"/>
          </w:tcPr>
          <w:p w14:paraId="4AB96D94">
            <w:pPr>
              <w:adjustRightInd w:val="0"/>
              <w:snapToGrid w:val="0"/>
              <w:jc w:val="center"/>
              <w:rPr>
                <w:rFonts w:hAnsi="Calibri"/>
                <w:color w:val="000000" w:themeColor="text1"/>
                <w:sz w:val="24"/>
                <w:szCs w:val="24"/>
                <w:highlight w:val="none"/>
                <w:lang w:eastAsia="en-US"/>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牙叉农场</w:t>
            </w:r>
          </w:p>
        </w:tc>
        <w:tc>
          <w:tcPr>
            <w:tcW w:w="1282" w:type="dxa"/>
            <w:noWrap w:val="0"/>
            <w:vAlign w:val="center"/>
          </w:tcPr>
          <w:p w14:paraId="090B56D2">
            <w:pPr>
              <w:adjustRightInd w:val="0"/>
              <w:snapToGrid w:val="0"/>
              <w:jc w:val="center"/>
              <w:rPr>
                <w:rFonts w:hAnsi="Calibri"/>
                <w:color w:val="000000" w:themeColor="text1"/>
                <w:sz w:val="24"/>
                <w:szCs w:val="24"/>
                <w:highlight w:val="none"/>
                <w:lang w:eastAsia="en-US"/>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白沙县</w:t>
            </w:r>
          </w:p>
        </w:tc>
        <w:tc>
          <w:tcPr>
            <w:tcW w:w="2403" w:type="dxa"/>
            <w:noWrap w:val="0"/>
            <w:vAlign w:val="center"/>
          </w:tcPr>
          <w:p w14:paraId="65CF10F1">
            <w:pPr>
              <w:adjustRightInd w:val="0"/>
              <w:snapToGrid w:val="0"/>
              <w:jc w:val="center"/>
              <w:rPr>
                <w:rFonts w:hint="eastAsia" w:hAnsi="Calibri"/>
                <w:color w:val="000000" w:themeColor="text1"/>
                <w:sz w:val="24"/>
                <w:szCs w:val="24"/>
                <w:highlight w:val="none"/>
                <w:lang w:eastAsia="zh-CN"/>
                <w14:textFill>
                  <w14:solidFill>
                    <w14:schemeClr w14:val="tx1"/>
                  </w14:solidFill>
                </w14:textFill>
              </w:rPr>
            </w:pPr>
            <w:r>
              <w:rPr>
                <w:rFonts w:hint="eastAsia" w:hAnsi="Calibri"/>
                <w:color w:val="000000" w:themeColor="text1"/>
                <w:sz w:val="24"/>
                <w:szCs w:val="24"/>
                <w:highlight w:val="none"/>
                <w:lang w:val="en-US" w:eastAsia="zh-CN"/>
                <w14:textFill>
                  <w14:solidFill>
                    <w14:schemeClr w14:val="tx1"/>
                  </w14:solidFill>
                </w14:textFill>
              </w:rPr>
              <w:t>运行维护服务</w:t>
            </w:r>
          </w:p>
        </w:tc>
        <w:tc>
          <w:tcPr>
            <w:tcW w:w="3513" w:type="dxa"/>
            <w:noWrap w:val="0"/>
            <w:vAlign w:val="center"/>
          </w:tcPr>
          <w:p w14:paraId="5A2D2C1C">
            <w:pPr>
              <w:adjustRightInd w:val="0"/>
              <w:snapToGrid w:val="0"/>
              <w:jc w:val="center"/>
              <w:rPr>
                <w:rFonts w:hAnsi="Calibri"/>
                <w:color w:val="000000" w:themeColor="text1"/>
                <w:sz w:val="24"/>
                <w:szCs w:val="24"/>
                <w:highlight w:val="none"/>
                <w:lang w:eastAsia="zh-CN"/>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水温、p</w:t>
            </w:r>
            <w:r>
              <w:rPr>
                <w:rFonts w:hAnsi="Calibri"/>
                <w:color w:val="000000" w:themeColor="text1"/>
                <w:sz w:val="24"/>
                <w:szCs w:val="24"/>
                <w:highlight w:val="none"/>
                <w:lang w:eastAsia="zh-CN"/>
                <w14:textFill>
                  <w14:solidFill>
                    <w14:schemeClr w14:val="tx1"/>
                  </w14:solidFill>
                </w14:textFill>
              </w:rPr>
              <w:t>H</w:t>
            </w:r>
            <w:r>
              <w:rPr>
                <w:rFonts w:hint="eastAsia" w:hAnsi="Calibri"/>
                <w:color w:val="000000" w:themeColor="text1"/>
                <w:sz w:val="24"/>
                <w:szCs w:val="24"/>
                <w:highlight w:val="none"/>
                <w:lang w:eastAsia="zh-CN"/>
                <w14:textFill>
                  <w14:solidFill>
                    <w14:schemeClr w14:val="tx1"/>
                  </w14:solidFill>
                </w14:textFill>
              </w:rPr>
              <w:t>值、溶解氧、电导率、浊度、高锰酸盐指数、氨氮、总磷、总氮、水位</w:t>
            </w:r>
          </w:p>
        </w:tc>
      </w:tr>
      <w:tr w14:paraId="72173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noWrap w:val="0"/>
            <w:vAlign w:val="center"/>
          </w:tcPr>
          <w:p w14:paraId="03C1A20A">
            <w:pPr>
              <w:adjustRightInd w:val="0"/>
              <w:snapToGrid w:val="0"/>
              <w:jc w:val="center"/>
              <w:rPr>
                <w:rFonts w:hAnsi="Calibri"/>
                <w:color w:val="000000" w:themeColor="text1"/>
                <w:sz w:val="24"/>
                <w:szCs w:val="24"/>
                <w:highlight w:val="none"/>
                <w:lang w:eastAsia="zh-CN"/>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3</w:t>
            </w:r>
          </w:p>
        </w:tc>
        <w:tc>
          <w:tcPr>
            <w:tcW w:w="1322" w:type="dxa"/>
            <w:noWrap w:val="0"/>
            <w:vAlign w:val="center"/>
          </w:tcPr>
          <w:p w14:paraId="34D04F58">
            <w:pPr>
              <w:adjustRightInd w:val="0"/>
              <w:snapToGrid w:val="0"/>
              <w:jc w:val="center"/>
              <w:rPr>
                <w:rFonts w:hAnsi="Calibri"/>
                <w:color w:val="000000" w:themeColor="text1"/>
                <w:sz w:val="24"/>
                <w:szCs w:val="24"/>
                <w:highlight w:val="none"/>
                <w:lang w:eastAsia="en-US"/>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三道农场</w:t>
            </w:r>
          </w:p>
        </w:tc>
        <w:tc>
          <w:tcPr>
            <w:tcW w:w="1282" w:type="dxa"/>
            <w:noWrap w:val="0"/>
            <w:vAlign w:val="center"/>
          </w:tcPr>
          <w:p w14:paraId="342CBA94">
            <w:pPr>
              <w:adjustRightInd w:val="0"/>
              <w:snapToGrid w:val="0"/>
              <w:jc w:val="center"/>
              <w:rPr>
                <w:rFonts w:hAnsi="Calibri"/>
                <w:color w:val="000000" w:themeColor="text1"/>
                <w:sz w:val="24"/>
                <w:szCs w:val="24"/>
                <w:highlight w:val="none"/>
                <w:lang w:eastAsia="en-US"/>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保亭县</w:t>
            </w:r>
          </w:p>
        </w:tc>
        <w:tc>
          <w:tcPr>
            <w:tcW w:w="2403" w:type="dxa"/>
            <w:noWrap w:val="0"/>
            <w:vAlign w:val="center"/>
          </w:tcPr>
          <w:p w14:paraId="019DC42D">
            <w:pPr>
              <w:adjustRightInd w:val="0"/>
              <w:snapToGrid w:val="0"/>
              <w:jc w:val="center"/>
              <w:rPr>
                <w:rFonts w:hint="eastAsia" w:hAnsi="Calibri"/>
                <w:color w:val="000000" w:themeColor="text1"/>
                <w:sz w:val="24"/>
                <w:szCs w:val="24"/>
                <w:highlight w:val="none"/>
                <w:lang w:eastAsia="zh-CN"/>
                <w14:textFill>
                  <w14:solidFill>
                    <w14:schemeClr w14:val="tx1"/>
                  </w14:solidFill>
                </w14:textFill>
              </w:rPr>
            </w:pPr>
            <w:r>
              <w:rPr>
                <w:rFonts w:hint="eastAsia" w:hAnsi="Calibri"/>
                <w:color w:val="000000" w:themeColor="text1"/>
                <w:sz w:val="24"/>
                <w:szCs w:val="24"/>
                <w:highlight w:val="none"/>
                <w:lang w:val="en-US" w:eastAsia="zh-CN"/>
                <w14:textFill>
                  <w14:solidFill>
                    <w14:schemeClr w14:val="tx1"/>
                  </w14:solidFill>
                </w14:textFill>
              </w:rPr>
              <w:t>运行维护服务</w:t>
            </w:r>
          </w:p>
        </w:tc>
        <w:tc>
          <w:tcPr>
            <w:tcW w:w="3513" w:type="dxa"/>
            <w:noWrap w:val="0"/>
            <w:vAlign w:val="center"/>
          </w:tcPr>
          <w:p w14:paraId="15E915A2">
            <w:pPr>
              <w:adjustRightInd w:val="0"/>
              <w:snapToGrid w:val="0"/>
              <w:jc w:val="center"/>
              <w:rPr>
                <w:rFonts w:hAnsi="Calibri"/>
                <w:color w:val="000000" w:themeColor="text1"/>
                <w:sz w:val="24"/>
                <w:szCs w:val="24"/>
                <w:highlight w:val="none"/>
                <w:lang w:eastAsia="zh-CN"/>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水温、p</w:t>
            </w:r>
            <w:r>
              <w:rPr>
                <w:rFonts w:hAnsi="Calibri"/>
                <w:color w:val="000000" w:themeColor="text1"/>
                <w:sz w:val="24"/>
                <w:szCs w:val="24"/>
                <w:highlight w:val="none"/>
                <w:lang w:eastAsia="zh-CN"/>
                <w14:textFill>
                  <w14:solidFill>
                    <w14:schemeClr w14:val="tx1"/>
                  </w14:solidFill>
                </w14:textFill>
              </w:rPr>
              <w:t>H</w:t>
            </w:r>
            <w:r>
              <w:rPr>
                <w:rFonts w:hint="eastAsia" w:hAnsi="Calibri"/>
                <w:color w:val="000000" w:themeColor="text1"/>
                <w:sz w:val="24"/>
                <w:szCs w:val="24"/>
                <w:highlight w:val="none"/>
                <w:lang w:eastAsia="zh-CN"/>
                <w14:textFill>
                  <w14:solidFill>
                    <w14:schemeClr w14:val="tx1"/>
                  </w14:solidFill>
                </w14:textFill>
              </w:rPr>
              <w:t>值、溶解氧、电导率、浊度、高锰酸盐指数、氨氮、总磷、总氮、流量</w:t>
            </w:r>
          </w:p>
        </w:tc>
      </w:tr>
      <w:tr w14:paraId="1F571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noWrap w:val="0"/>
            <w:vAlign w:val="center"/>
          </w:tcPr>
          <w:p w14:paraId="77B4234E">
            <w:pPr>
              <w:adjustRightInd w:val="0"/>
              <w:snapToGrid w:val="0"/>
              <w:jc w:val="center"/>
              <w:rPr>
                <w:rFonts w:hAnsi="Calibri"/>
                <w:color w:val="000000" w:themeColor="text1"/>
                <w:sz w:val="24"/>
                <w:szCs w:val="24"/>
                <w:highlight w:val="none"/>
                <w:lang w:eastAsia="zh-CN"/>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4</w:t>
            </w:r>
          </w:p>
        </w:tc>
        <w:tc>
          <w:tcPr>
            <w:tcW w:w="1322" w:type="dxa"/>
            <w:noWrap w:val="0"/>
            <w:vAlign w:val="center"/>
          </w:tcPr>
          <w:p w14:paraId="5A611D52">
            <w:pPr>
              <w:adjustRightInd w:val="0"/>
              <w:snapToGrid w:val="0"/>
              <w:jc w:val="center"/>
              <w:rPr>
                <w:rFonts w:hAnsi="Calibri"/>
                <w:color w:val="000000" w:themeColor="text1"/>
                <w:sz w:val="24"/>
                <w:szCs w:val="24"/>
                <w:highlight w:val="none"/>
                <w:lang w:eastAsia="en-US"/>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三道十五队</w:t>
            </w:r>
          </w:p>
        </w:tc>
        <w:tc>
          <w:tcPr>
            <w:tcW w:w="1282" w:type="dxa"/>
            <w:noWrap w:val="0"/>
            <w:vAlign w:val="center"/>
          </w:tcPr>
          <w:p w14:paraId="14918BC5">
            <w:pPr>
              <w:adjustRightInd w:val="0"/>
              <w:snapToGrid w:val="0"/>
              <w:jc w:val="center"/>
              <w:rPr>
                <w:rFonts w:hAnsi="Calibri"/>
                <w:color w:val="000000" w:themeColor="text1"/>
                <w:sz w:val="24"/>
                <w:szCs w:val="24"/>
                <w:highlight w:val="none"/>
                <w:lang w:eastAsia="en-US"/>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保亭县</w:t>
            </w:r>
          </w:p>
        </w:tc>
        <w:tc>
          <w:tcPr>
            <w:tcW w:w="2403" w:type="dxa"/>
            <w:noWrap w:val="0"/>
            <w:vAlign w:val="center"/>
          </w:tcPr>
          <w:p w14:paraId="1343FC53">
            <w:pPr>
              <w:adjustRightInd w:val="0"/>
              <w:snapToGrid w:val="0"/>
              <w:jc w:val="center"/>
              <w:rPr>
                <w:rFonts w:hint="eastAsia" w:hAnsi="Calibri"/>
                <w:color w:val="000000" w:themeColor="text1"/>
                <w:sz w:val="24"/>
                <w:szCs w:val="24"/>
                <w:highlight w:val="none"/>
                <w:lang w:eastAsia="zh-CN"/>
                <w14:textFill>
                  <w14:solidFill>
                    <w14:schemeClr w14:val="tx1"/>
                  </w14:solidFill>
                </w14:textFill>
              </w:rPr>
            </w:pPr>
            <w:r>
              <w:rPr>
                <w:rFonts w:hint="eastAsia" w:hAnsi="Calibri"/>
                <w:color w:val="000000" w:themeColor="text1"/>
                <w:sz w:val="24"/>
                <w:szCs w:val="24"/>
                <w:highlight w:val="none"/>
                <w:lang w:val="en-US" w:eastAsia="zh-CN"/>
                <w14:textFill>
                  <w14:solidFill>
                    <w14:schemeClr w14:val="tx1"/>
                  </w14:solidFill>
                </w14:textFill>
              </w:rPr>
              <w:t>运行维护服务</w:t>
            </w:r>
          </w:p>
        </w:tc>
        <w:tc>
          <w:tcPr>
            <w:tcW w:w="3513" w:type="dxa"/>
            <w:noWrap w:val="0"/>
            <w:vAlign w:val="center"/>
          </w:tcPr>
          <w:p w14:paraId="2955E3B4">
            <w:pPr>
              <w:adjustRightInd w:val="0"/>
              <w:snapToGrid w:val="0"/>
              <w:jc w:val="center"/>
              <w:rPr>
                <w:rFonts w:hAnsi="Calibri"/>
                <w:color w:val="000000" w:themeColor="text1"/>
                <w:sz w:val="24"/>
                <w:szCs w:val="24"/>
                <w:highlight w:val="none"/>
                <w:lang w:eastAsia="zh-CN"/>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水温、p</w:t>
            </w:r>
            <w:r>
              <w:rPr>
                <w:rFonts w:hAnsi="Calibri"/>
                <w:color w:val="000000" w:themeColor="text1"/>
                <w:sz w:val="24"/>
                <w:szCs w:val="24"/>
                <w:highlight w:val="none"/>
                <w:lang w:eastAsia="zh-CN"/>
                <w14:textFill>
                  <w14:solidFill>
                    <w14:schemeClr w14:val="tx1"/>
                  </w14:solidFill>
                </w14:textFill>
              </w:rPr>
              <w:t>H</w:t>
            </w:r>
            <w:r>
              <w:rPr>
                <w:rFonts w:hint="eastAsia" w:hAnsi="Calibri"/>
                <w:color w:val="000000" w:themeColor="text1"/>
                <w:sz w:val="24"/>
                <w:szCs w:val="24"/>
                <w:highlight w:val="none"/>
                <w:lang w:eastAsia="zh-CN"/>
                <w14:textFill>
                  <w14:solidFill>
                    <w14:schemeClr w14:val="tx1"/>
                  </w14:solidFill>
                </w14:textFill>
              </w:rPr>
              <w:t>值、溶解氧、电导率、浊度、高锰酸盐指数、氨氮、总磷、总氮</w:t>
            </w:r>
          </w:p>
        </w:tc>
      </w:tr>
      <w:tr w14:paraId="7D8C2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noWrap w:val="0"/>
            <w:vAlign w:val="center"/>
          </w:tcPr>
          <w:p w14:paraId="6CE7FDD8">
            <w:pPr>
              <w:adjustRightInd w:val="0"/>
              <w:snapToGrid w:val="0"/>
              <w:jc w:val="center"/>
              <w:rPr>
                <w:rFonts w:hAnsi="Calibri"/>
                <w:color w:val="000000" w:themeColor="text1"/>
                <w:sz w:val="24"/>
                <w:szCs w:val="24"/>
                <w:highlight w:val="none"/>
                <w:lang w:eastAsia="zh-CN"/>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5</w:t>
            </w:r>
          </w:p>
        </w:tc>
        <w:tc>
          <w:tcPr>
            <w:tcW w:w="1322" w:type="dxa"/>
            <w:noWrap w:val="0"/>
            <w:vAlign w:val="center"/>
          </w:tcPr>
          <w:p w14:paraId="61E75005">
            <w:pPr>
              <w:adjustRightInd w:val="0"/>
              <w:snapToGrid w:val="0"/>
              <w:jc w:val="center"/>
              <w:rPr>
                <w:rFonts w:hAnsi="Calibri"/>
                <w:color w:val="000000" w:themeColor="text1"/>
                <w:sz w:val="24"/>
                <w:szCs w:val="24"/>
                <w:highlight w:val="none"/>
                <w:lang w:eastAsia="en-US"/>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祖空村</w:t>
            </w:r>
          </w:p>
        </w:tc>
        <w:tc>
          <w:tcPr>
            <w:tcW w:w="1282" w:type="dxa"/>
            <w:noWrap w:val="0"/>
            <w:vAlign w:val="center"/>
          </w:tcPr>
          <w:p w14:paraId="35C51627">
            <w:pPr>
              <w:adjustRightInd w:val="0"/>
              <w:snapToGrid w:val="0"/>
              <w:jc w:val="center"/>
              <w:rPr>
                <w:rFonts w:hAnsi="Calibri"/>
                <w:color w:val="000000" w:themeColor="text1"/>
                <w:sz w:val="24"/>
                <w:szCs w:val="24"/>
                <w:highlight w:val="none"/>
                <w:lang w:eastAsia="en-US"/>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陵水县</w:t>
            </w:r>
          </w:p>
        </w:tc>
        <w:tc>
          <w:tcPr>
            <w:tcW w:w="2403" w:type="dxa"/>
            <w:noWrap w:val="0"/>
            <w:vAlign w:val="center"/>
          </w:tcPr>
          <w:p w14:paraId="35E04DD6">
            <w:pPr>
              <w:adjustRightInd w:val="0"/>
              <w:snapToGrid w:val="0"/>
              <w:jc w:val="center"/>
              <w:rPr>
                <w:rFonts w:hint="eastAsia" w:hAnsi="Calibri"/>
                <w:color w:val="000000" w:themeColor="text1"/>
                <w:sz w:val="24"/>
                <w:szCs w:val="24"/>
                <w:highlight w:val="none"/>
                <w:lang w:eastAsia="zh-CN"/>
                <w14:textFill>
                  <w14:solidFill>
                    <w14:schemeClr w14:val="tx1"/>
                  </w14:solidFill>
                </w14:textFill>
              </w:rPr>
            </w:pPr>
            <w:r>
              <w:rPr>
                <w:rFonts w:hint="eastAsia" w:hAnsi="Calibri"/>
                <w:color w:val="000000" w:themeColor="text1"/>
                <w:sz w:val="24"/>
                <w:szCs w:val="24"/>
                <w:highlight w:val="none"/>
                <w:lang w:val="en-US" w:eastAsia="zh-CN"/>
                <w14:textFill>
                  <w14:solidFill>
                    <w14:schemeClr w14:val="tx1"/>
                  </w14:solidFill>
                </w14:textFill>
              </w:rPr>
              <w:t>运行维护服务</w:t>
            </w:r>
          </w:p>
        </w:tc>
        <w:tc>
          <w:tcPr>
            <w:tcW w:w="3513" w:type="dxa"/>
            <w:noWrap w:val="0"/>
            <w:vAlign w:val="center"/>
          </w:tcPr>
          <w:p w14:paraId="2BDB234B">
            <w:pPr>
              <w:adjustRightInd w:val="0"/>
              <w:snapToGrid w:val="0"/>
              <w:jc w:val="center"/>
              <w:rPr>
                <w:rFonts w:hAnsi="Calibri"/>
                <w:color w:val="000000" w:themeColor="text1"/>
                <w:sz w:val="24"/>
                <w:szCs w:val="24"/>
                <w:highlight w:val="none"/>
                <w:lang w:eastAsia="zh-CN"/>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水温、p</w:t>
            </w:r>
            <w:r>
              <w:rPr>
                <w:rFonts w:hAnsi="Calibri"/>
                <w:color w:val="000000" w:themeColor="text1"/>
                <w:sz w:val="24"/>
                <w:szCs w:val="24"/>
                <w:highlight w:val="none"/>
                <w:lang w:eastAsia="zh-CN"/>
                <w14:textFill>
                  <w14:solidFill>
                    <w14:schemeClr w14:val="tx1"/>
                  </w14:solidFill>
                </w14:textFill>
              </w:rPr>
              <w:t>H</w:t>
            </w:r>
            <w:r>
              <w:rPr>
                <w:rFonts w:hint="eastAsia" w:hAnsi="Calibri"/>
                <w:color w:val="000000" w:themeColor="text1"/>
                <w:sz w:val="24"/>
                <w:szCs w:val="24"/>
                <w:highlight w:val="none"/>
                <w:lang w:eastAsia="zh-CN"/>
                <w14:textFill>
                  <w14:solidFill>
                    <w14:schemeClr w14:val="tx1"/>
                  </w14:solidFill>
                </w14:textFill>
              </w:rPr>
              <w:t>值、溶解氧、电导率、浊度、高锰酸盐指数、氨氮、总磷、总氮、流量</w:t>
            </w:r>
          </w:p>
        </w:tc>
      </w:tr>
      <w:tr w14:paraId="26095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noWrap w:val="0"/>
            <w:vAlign w:val="center"/>
          </w:tcPr>
          <w:p w14:paraId="226BA402">
            <w:pPr>
              <w:adjustRightInd w:val="0"/>
              <w:snapToGrid w:val="0"/>
              <w:jc w:val="center"/>
              <w:rPr>
                <w:rFonts w:hAnsi="Calibri"/>
                <w:color w:val="000000" w:themeColor="text1"/>
                <w:sz w:val="24"/>
                <w:szCs w:val="24"/>
                <w:highlight w:val="none"/>
                <w:lang w:eastAsia="zh-CN"/>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6</w:t>
            </w:r>
          </w:p>
        </w:tc>
        <w:tc>
          <w:tcPr>
            <w:tcW w:w="1322" w:type="dxa"/>
            <w:noWrap w:val="0"/>
            <w:vAlign w:val="center"/>
          </w:tcPr>
          <w:p w14:paraId="38C3000F">
            <w:pPr>
              <w:adjustRightInd w:val="0"/>
              <w:snapToGrid w:val="0"/>
              <w:jc w:val="center"/>
              <w:rPr>
                <w:rFonts w:hAnsi="Calibri"/>
                <w:color w:val="000000" w:themeColor="text1"/>
                <w:sz w:val="24"/>
                <w:szCs w:val="24"/>
                <w:highlight w:val="none"/>
                <w:lang w:eastAsia="en-US"/>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温鹅村</w:t>
            </w:r>
          </w:p>
        </w:tc>
        <w:tc>
          <w:tcPr>
            <w:tcW w:w="1282" w:type="dxa"/>
            <w:noWrap w:val="0"/>
            <w:vAlign w:val="center"/>
          </w:tcPr>
          <w:p w14:paraId="5E8F8AF8">
            <w:pPr>
              <w:adjustRightInd w:val="0"/>
              <w:snapToGrid w:val="0"/>
              <w:jc w:val="center"/>
              <w:rPr>
                <w:rFonts w:hAnsi="Calibri"/>
                <w:color w:val="000000" w:themeColor="text1"/>
                <w:sz w:val="24"/>
                <w:szCs w:val="24"/>
                <w:highlight w:val="none"/>
                <w:lang w:eastAsia="en-US"/>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屯昌县</w:t>
            </w:r>
          </w:p>
        </w:tc>
        <w:tc>
          <w:tcPr>
            <w:tcW w:w="2403" w:type="dxa"/>
            <w:noWrap w:val="0"/>
            <w:vAlign w:val="center"/>
          </w:tcPr>
          <w:p w14:paraId="44D017F0">
            <w:pPr>
              <w:adjustRightInd w:val="0"/>
              <w:snapToGrid w:val="0"/>
              <w:jc w:val="center"/>
              <w:rPr>
                <w:rFonts w:hint="eastAsia" w:hAnsi="Calibri"/>
                <w:color w:val="000000" w:themeColor="text1"/>
                <w:sz w:val="24"/>
                <w:szCs w:val="24"/>
                <w:highlight w:val="none"/>
                <w:lang w:eastAsia="zh-CN"/>
                <w14:textFill>
                  <w14:solidFill>
                    <w14:schemeClr w14:val="tx1"/>
                  </w14:solidFill>
                </w14:textFill>
              </w:rPr>
            </w:pPr>
            <w:r>
              <w:rPr>
                <w:rFonts w:hint="eastAsia" w:hAnsi="Calibri"/>
                <w:color w:val="000000" w:themeColor="text1"/>
                <w:sz w:val="24"/>
                <w:szCs w:val="24"/>
                <w:highlight w:val="none"/>
                <w:lang w:val="en-US" w:eastAsia="zh-CN"/>
                <w14:textFill>
                  <w14:solidFill>
                    <w14:schemeClr w14:val="tx1"/>
                  </w14:solidFill>
                </w14:textFill>
              </w:rPr>
              <w:t>运行维护服务</w:t>
            </w:r>
          </w:p>
        </w:tc>
        <w:tc>
          <w:tcPr>
            <w:tcW w:w="3513" w:type="dxa"/>
            <w:noWrap w:val="0"/>
            <w:vAlign w:val="center"/>
          </w:tcPr>
          <w:p w14:paraId="6EF8ECFE">
            <w:pPr>
              <w:adjustRightInd w:val="0"/>
              <w:snapToGrid w:val="0"/>
              <w:jc w:val="center"/>
              <w:rPr>
                <w:rFonts w:hAnsi="Calibri"/>
                <w:color w:val="000000" w:themeColor="text1"/>
                <w:sz w:val="24"/>
                <w:szCs w:val="24"/>
                <w:highlight w:val="none"/>
                <w:lang w:eastAsia="zh-CN"/>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水温、p</w:t>
            </w:r>
            <w:r>
              <w:rPr>
                <w:rFonts w:hAnsi="Calibri"/>
                <w:color w:val="000000" w:themeColor="text1"/>
                <w:sz w:val="24"/>
                <w:szCs w:val="24"/>
                <w:highlight w:val="none"/>
                <w:lang w:eastAsia="zh-CN"/>
                <w14:textFill>
                  <w14:solidFill>
                    <w14:schemeClr w14:val="tx1"/>
                  </w14:solidFill>
                </w14:textFill>
              </w:rPr>
              <w:t>H</w:t>
            </w:r>
            <w:r>
              <w:rPr>
                <w:rFonts w:hint="eastAsia" w:hAnsi="Calibri"/>
                <w:color w:val="000000" w:themeColor="text1"/>
                <w:sz w:val="24"/>
                <w:szCs w:val="24"/>
                <w:highlight w:val="none"/>
                <w:lang w:eastAsia="zh-CN"/>
                <w14:textFill>
                  <w14:solidFill>
                    <w14:schemeClr w14:val="tx1"/>
                  </w14:solidFill>
                </w14:textFill>
              </w:rPr>
              <w:t>值、溶解氧、电导率、浊度、高锰酸盐指数、氨氮、总磷、总氮、水位</w:t>
            </w:r>
          </w:p>
        </w:tc>
      </w:tr>
      <w:tr w14:paraId="21426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noWrap w:val="0"/>
            <w:vAlign w:val="center"/>
          </w:tcPr>
          <w:p w14:paraId="73C93A0E">
            <w:pPr>
              <w:adjustRightInd w:val="0"/>
              <w:snapToGrid w:val="0"/>
              <w:jc w:val="center"/>
              <w:rPr>
                <w:rFonts w:hAnsi="Calibri"/>
                <w:color w:val="000000" w:themeColor="text1"/>
                <w:sz w:val="24"/>
                <w:szCs w:val="24"/>
                <w:highlight w:val="none"/>
                <w:lang w:eastAsia="zh-CN"/>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7</w:t>
            </w:r>
          </w:p>
        </w:tc>
        <w:tc>
          <w:tcPr>
            <w:tcW w:w="1322" w:type="dxa"/>
            <w:noWrap w:val="0"/>
            <w:vAlign w:val="center"/>
          </w:tcPr>
          <w:p w14:paraId="3CFC408E">
            <w:pPr>
              <w:adjustRightInd w:val="0"/>
              <w:snapToGrid w:val="0"/>
              <w:jc w:val="center"/>
              <w:rPr>
                <w:rFonts w:hAnsi="Calibri"/>
                <w:color w:val="000000" w:themeColor="text1"/>
                <w:sz w:val="24"/>
                <w:szCs w:val="24"/>
                <w:highlight w:val="none"/>
                <w:lang w:eastAsia="en-US"/>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洋中村</w:t>
            </w:r>
          </w:p>
        </w:tc>
        <w:tc>
          <w:tcPr>
            <w:tcW w:w="1282" w:type="dxa"/>
            <w:noWrap w:val="0"/>
            <w:vAlign w:val="center"/>
          </w:tcPr>
          <w:p w14:paraId="67F26A7B">
            <w:pPr>
              <w:adjustRightInd w:val="0"/>
              <w:snapToGrid w:val="0"/>
              <w:jc w:val="center"/>
              <w:rPr>
                <w:rFonts w:hAnsi="Calibri"/>
                <w:color w:val="000000" w:themeColor="text1"/>
                <w:sz w:val="24"/>
                <w:szCs w:val="24"/>
                <w:highlight w:val="none"/>
                <w:lang w:eastAsia="en-US"/>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澄迈县</w:t>
            </w:r>
          </w:p>
        </w:tc>
        <w:tc>
          <w:tcPr>
            <w:tcW w:w="2403" w:type="dxa"/>
            <w:noWrap w:val="0"/>
            <w:vAlign w:val="center"/>
          </w:tcPr>
          <w:p w14:paraId="0742FABD">
            <w:pPr>
              <w:adjustRightInd w:val="0"/>
              <w:snapToGrid w:val="0"/>
              <w:jc w:val="center"/>
              <w:rPr>
                <w:rFonts w:hint="eastAsia" w:hAnsi="Calibri"/>
                <w:color w:val="000000" w:themeColor="text1"/>
                <w:sz w:val="24"/>
                <w:szCs w:val="24"/>
                <w:highlight w:val="none"/>
                <w:lang w:eastAsia="zh-CN"/>
                <w14:textFill>
                  <w14:solidFill>
                    <w14:schemeClr w14:val="tx1"/>
                  </w14:solidFill>
                </w14:textFill>
              </w:rPr>
            </w:pPr>
            <w:r>
              <w:rPr>
                <w:rFonts w:hint="eastAsia" w:hAnsi="Calibri"/>
                <w:color w:val="000000" w:themeColor="text1"/>
                <w:sz w:val="24"/>
                <w:szCs w:val="24"/>
                <w:highlight w:val="none"/>
                <w:lang w:val="en-US" w:eastAsia="zh-CN"/>
                <w14:textFill>
                  <w14:solidFill>
                    <w14:schemeClr w14:val="tx1"/>
                  </w14:solidFill>
                </w14:textFill>
              </w:rPr>
              <w:t>运行维护服务</w:t>
            </w:r>
          </w:p>
        </w:tc>
        <w:tc>
          <w:tcPr>
            <w:tcW w:w="3513" w:type="dxa"/>
            <w:noWrap w:val="0"/>
            <w:vAlign w:val="center"/>
          </w:tcPr>
          <w:p w14:paraId="30B702AD">
            <w:pPr>
              <w:adjustRightInd w:val="0"/>
              <w:snapToGrid w:val="0"/>
              <w:jc w:val="center"/>
              <w:rPr>
                <w:rFonts w:hAnsi="Calibri"/>
                <w:color w:val="000000" w:themeColor="text1"/>
                <w:sz w:val="24"/>
                <w:szCs w:val="24"/>
                <w:highlight w:val="none"/>
                <w:lang w:eastAsia="zh-CN"/>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水温、p</w:t>
            </w:r>
            <w:r>
              <w:rPr>
                <w:rFonts w:hAnsi="Calibri"/>
                <w:color w:val="000000" w:themeColor="text1"/>
                <w:sz w:val="24"/>
                <w:szCs w:val="24"/>
                <w:highlight w:val="none"/>
                <w:lang w:eastAsia="zh-CN"/>
                <w14:textFill>
                  <w14:solidFill>
                    <w14:schemeClr w14:val="tx1"/>
                  </w14:solidFill>
                </w14:textFill>
              </w:rPr>
              <w:t>H</w:t>
            </w:r>
            <w:r>
              <w:rPr>
                <w:rFonts w:hint="eastAsia" w:hAnsi="Calibri"/>
                <w:color w:val="000000" w:themeColor="text1"/>
                <w:sz w:val="24"/>
                <w:szCs w:val="24"/>
                <w:highlight w:val="none"/>
                <w:lang w:eastAsia="zh-CN"/>
                <w14:textFill>
                  <w14:solidFill>
                    <w14:schemeClr w14:val="tx1"/>
                  </w14:solidFill>
                </w14:textFill>
              </w:rPr>
              <w:t>值、溶解氧、电导率、浊度、高锰酸盐指数、氨氮、总磷、总氮、流量</w:t>
            </w:r>
          </w:p>
        </w:tc>
      </w:tr>
      <w:tr w14:paraId="39BAD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noWrap w:val="0"/>
            <w:vAlign w:val="center"/>
          </w:tcPr>
          <w:p w14:paraId="508047AA">
            <w:pPr>
              <w:adjustRightInd w:val="0"/>
              <w:snapToGrid w:val="0"/>
              <w:jc w:val="center"/>
              <w:rPr>
                <w:rFonts w:hAnsi="Calibri"/>
                <w:color w:val="000000" w:themeColor="text1"/>
                <w:sz w:val="24"/>
                <w:szCs w:val="24"/>
                <w:highlight w:val="none"/>
                <w:lang w:eastAsia="zh-CN"/>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8</w:t>
            </w:r>
          </w:p>
        </w:tc>
        <w:tc>
          <w:tcPr>
            <w:tcW w:w="1322" w:type="dxa"/>
            <w:noWrap w:val="0"/>
            <w:vAlign w:val="center"/>
          </w:tcPr>
          <w:p w14:paraId="7163969B">
            <w:pPr>
              <w:adjustRightInd w:val="0"/>
              <w:snapToGrid w:val="0"/>
              <w:jc w:val="center"/>
              <w:rPr>
                <w:rFonts w:hAnsi="Calibri"/>
                <w:color w:val="000000" w:themeColor="text1"/>
                <w:sz w:val="24"/>
                <w:szCs w:val="24"/>
                <w:highlight w:val="none"/>
                <w:lang w:eastAsia="en-US"/>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新中农场</w:t>
            </w:r>
          </w:p>
        </w:tc>
        <w:tc>
          <w:tcPr>
            <w:tcW w:w="1282" w:type="dxa"/>
            <w:noWrap w:val="0"/>
            <w:vAlign w:val="center"/>
          </w:tcPr>
          <w:p w14:paraId="6B83CE32">
            <w:pPr>
              <w:adjustRightInd w:val="0"/>
              <w:snapToGrid w:val="0"/>
              <w:jc w:val="center"/>
              <w:rPr>
                <w:rFonts w:hAnsi="Calibri"/>
                <w:color w:val="000000" w:themeColor="text1"/>
                <w:sz w:val="24"/>
                <w:szCs w:val="24"/>
                <w:highlight w:val="none"/>
                <w:lang w:eastAsia="en-US"/>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琼中县</w:t>
            </w:r>
          </w:p>
        </w:tc>
        <w:tc>
          <w:tcPr>
            <w:tcW w:w="2403" w:type="dxa"/>
            <w:noWrap w:val="0"/>
            <w:vAlign w:val="center"/>
          </w:tcPr>
          <w:p w14:paraId="72858F39">
            <w:pPr>
              <w:adjustRightInd w:val="0"/>
              <w:snapToGrid w:val="0"/>
              <w:jc w:val="center"/>
              <w:rPr>
                <w:rFonts w:hint="eastAsia" w:hAnsi="Calibri"/>
                <w:color w:val="000000" w:themeColor="text1"/>
                <w:sz w:val="24"/>
                <w:szCs w:val="24"/>
                <w:highlight w:val="none"/>
                <w:lang w:eastAsia="zh-CN"/>
                <w14:textFill>
                  <w14:solidFill>
                    <w14:schemeClr w14:val="tx1"/>
                  </w14:solidFill>
                </w14:textFill>
              </w:rPr>
            </w:pPr>
            <w:r>
              <w:rPr>
                <w:rFonts w:hint="eastAsia" w:hAnsi="Calibri"/>
                <w:color w:val="000000" w:themeColor="text1"/>
                <w:sz w:val="24"/>
                <w:szCs w:val="24"/>
                <w:highlight w:val="none"/>
                <w:lang w:val="en-US" w:eastAsia="zh-CN"/>
                <w14:textFill>
                  <w14:solidFill>
                    <w14:schemeClr w14:val="tx1"/>
                  </w14:solidFill>
                </w14:textFill>
              </w:rPr>
              <w:t>运行维护服务</w:t>
            </w:r>
          </w:p>
        </w:tc>
        <w:tc>
          <w:tcPr>
            <w:tcW w:w="3513" w:type="dxa"/>
            <w:noWrap w:val="0"/>
            <w:vAlign w:val="center"/>
          </w:tcPr>
          <w:p w14:paraId="5B5929D4">
            <w:pPr>
              <w:adjustRightInd w:val="0"/>
              <w:snapToGrid w:val="0"/>
              <w:jc w:val="center"/>
              <w:rPr>
                <w:rFonts w:hAnsi="Calibri"/>
                <w:color w:val="000000" w:themeColor="text1"/>
                <w:sz w:val="24"/>
                <w:szCs w:val="24"/>
                <w:highlight w:val="none"/>
                <w:lang w:eastAsia="zh-CN"/>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水温、p</w:t>
            </w:r>
            <w:r>
              <w:rPr>
                <w:rFonts w:hAnsi="Calibri"/>
                <w:color w:val="000000" w:themeColor="text1"/>
                <w:sz w:val="24"/>
                <w:szCs w:val="24"/>
                <w:highlight w:val="none"/>
                <w:lang w:eastAsia="zh-CN"/>
                <w14:textFill>
                  <w14:solidFill>
                    <w14:schemeClr w14:val="tx1"/>
                  </w14:solidFill>
                </w14:textFill>
              </w:rPr>
              <w:t>H</w:t>
            </w:r>
            <w:r>
              <w:rPr>
                <w:rFonts w:hint="eastAsia" w:hAnsi="Calibri"/>
                <w:color w:val="000000" w:themeColor="text1"/>
                <w:sz w:val="24"/>
                <w:szCs w:val="24"/>
                <w:highlight w:val="none"/>
                <w:lang w:eastAsia="zh-CN"/>
                <w14:textFill>
                  <w14:solidFill>
                    <w14:schemeClr w14:val="tx1"/>
                  </w14:solidFill>
                </w14:textFill>
              </w:rPr>
              <w:t>值、溶解氧、电导率、浊度、高锰酸盐指数、氨氮、总磷、总氮</w:t>
            </w:r>
          </w:p>
        </w:tc>
      </w:tr>
      <w:tr w14:paraId="3886E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noWrap w:val="0"/>
            <w:vAlign w:val="center"/>
          </w:tcPr>
          <w:p w14:paraId="6B67EA0F">
            <w:pPr>
              <w:adjustRightInd w:val="0"/>
              <w:snapToGrid w:val="0"/>
              <w:jc w:val="center"/>
              <w:rPr>
                <w:rFonts w:hAnsi="Calibri"/>
                <w:color w:val="000000" w:themeColor="text1"/>
                <w:sz w:val="24"/>
                <w:szCs w:val="24"/>
                <w:highlight w:val="none"/>
                <w:lang w:eastAsia="zh-CN"/>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9</w:t>
            </w:r>
          </w:p>
        </w:tc>
        <w:tc>
          <w:tcPr>
            <w:tcW w:w="1322" w:type="dxa"/>
            <w:noWrap w:val="0"/>
            <w:vAlign w:val="center"/>
          </w:tcPr>
          <w:p w14:paraId="27022174">
            <w:pPr>
              <w:adjustRightInd w:val="0"/>
              <w:snapToGrid w:val="0"/>
              <w:jc w:val="center"/>
              <w:rPr>
                <w:rFonts w:hAnsi="Calibri"/>
                <w:color w:val="000000" w:themeColor="text1"/>
                <w:sz w:val="24"/>
                <w:szCs w:val="24"/>
                <w:highlight w:val="none"/>
                <w:lang w:eastAsia="en-US"/>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什统村</w:t>
            </w:r>
          </w:p>
        </w:tc>
        <w:tc>
          <w:tcPr>
            <w:tcW w:w="1282" w:type="dxa"/>
            <w:noWrap w:val="0"/>
            <w:vAlign w:val="center"/>
          </w:tcPr>
          <w:p w14:paraId="1C0A0716">
            <w:pPr>
              <w:adjustRightInd w:val="0"/>
              <w:snapToGrid w:val="0"/>
              <w:jc w:val="center"/>
              <w:rPr>
                <w:rFonts w:hAnsi="Calibri"/>
                <w:color w:val="000000" w:themeColor="text1"/>
                <w:sz w:val="24"/>
                <w:szCs w:val="24"/>
                <w:highlight w:val="none"/>
                <w:lang w:eastAsia="en-US"/>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琼中县</w:t>
            </w:r>
          </w:p>
        </w:tc>
        <w:tc>
          <w:tcPr>
            <w:tcW w:w="2403" w:type="dxa"/>
            <w:noWrap w:val="0"/>
            <w:vAlign w:val="center"/>
          </w:tcPr>
          <w:p w14:paraId="72C31CEB">
            <w:pPr>
              <w:adjustRightInd w:val="0"/>
              <w:snapToGrid w:val="0"/>
              <w:jc w:val="center"/>
              <w:rPr>
                <w:rFonts w:hint="eastAsia" w:hAnsi="Calibri"/>
                <w:color w:val="000000" w:themeColor="text1"/>
                <w:sz w:val="24"/>
                <w:szCs w:val="24"/>
                <w:highlight w:val="none"/>
                <w:lang w:eastAsia="zh-CN"/>
                <w14:textFill>
                  <w14:solidFill>
                    <w14:schemeClr w14:val="tx1"/>
                  </w14:solidFill>
                </w14:textFill>
              </w:rPr>
            </w:pPr>
            <w:r>
              <w:rPr>
                <w:rFonts w:hint="eastAsia" w:hAnsi="Calibri"/>
                <w:color w:val="000000" w:themeColor="text1"/>
                <w:sz w:val="24"/>
                <w:szCs w:val="24"/>
                <w:highlight w:val="none"/>
                <w:lang w:val="en-US" w:eastAsia="zh-CN"/>
                <w14:textFill>
                  <w14:solidFill>
                    <w14:schemeClr w14:val="tx1"/>
                  </w14:solidFill>
                </w14:textFill>
              </w:rPr>
              <w:t>运行维护服务</w:t>
            </w:r>
          </w:p>
        </w:tc>
        <w:tc>
          <w:tcPr>
            <w:tcW w:w="3513" w:type="dxa"/>
            <w:noWrap w:val="0"/>
            <w:vAlign w:val="center"/>
          </w:tcPr>
          <w:p w14:paraId="06B10FA0">
            <w:pPr>
              <w:adjustRightInd w:val="0"/>
              <w:snapToGrid w:val="0"/>
              <w:jc w:val="center"/>
              <w:rPr>
                <w:rFonts w:hAnsi="Calibri"/>
                <w:color w:val="000000" w:themeColor="text1"/>
                <w:sz w:val="24"/>
                <w:szCs w:val="24"/>
                <w:highlight w:val="none"/>
                <w:lang w:eastAsia="zh-CN"/>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水温、p</w:t>
            </w:r>
            <w:r>
              <w:rPr>
                <w:rFonts w:hAnsi="Calibri"/>
                <w:color w:val="000000" w:themeColor="text1"/>
                <w:sz w:val="24"/>
                <w:szCs w:val="24"/>
                <w:highlight w:val="none"/>
                <w:lang w:eastAsia="zh-CN"/>
                <w14:textFill>
                  <w14:solidFill>
                    <w14:schemeClr w14:val="tx1"/>
                  </w14:solidFill>
                </w14:textFill>
              </w:rPr>
              <w:t>H</w:t>
            </w:r>
            <w:r>
              <w:rPr>
                <w:rFonts w:hint="eastAsia" w:hAnsi="Calibri"/>
                <w:color w:val="000000" w:themeColor="text1"/>
                <w:sz w:val="24"/>
                <w:szCs w:val="24"/>
                <w:highlight w:val="none"/>
                <w:lang w:eastAsia="zh-CN"/>
                <w14:textFill>
                  <w14:solidFill>
                    <w14:schemeClr w14:val="tx1"/>
                  </w14:solidFill>
                </w14:textFill>
              </w:rPr>
              <w:t>值、溶解氧、电导率、浊度、高锰酸盐指数、氨氮、总磷、总氮、流量</w:t>
            </w:r>
          </w:p>
        </w:tc>
      </w:tr>
      <w:tr w14:paraId="66AE2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noWrap w:val="0"/>
            <w:vAlign w:val="center"/>
          </w:tcPr>
          <w:p w14:paraId="34CB5C58">
            <w:pPr>
              <w:adjustRightInd w:val="0"/>
              <w:snapToGrid w:val="0"/>
              <w:jc w:val="center"/>
              <w:rPr>
                <w:rFonts w:hint="default" w:hAnsi="Calibri"/>
                <w:color w:val="000000" w:themeColor="text1"/>
                <w:sz w:val="24"/>
                <w:szCs w:val="24"/>
                <w:highlight w:val="none"/>
                <w:lang w:val="en-US" w:eastAsia="zh-CN"/>
                <w14:textFill>
                  <w14:solidFill>
                    <w14:schemeClr w14:val="tx1"/>
                  </w14:solidFill>
                </w14:textFill>
              </w:rPr>
            </w:pPr>
            <w:r>
              <w:rPr>
                <w:rFonts w:hint="eastAsia" w:hAnsi="Calibri"/>
                <w:color w:val="000000" w:themeColor="text1"/>
                <w:sz w:val="24"/>
                <w:szCs w:val="24"/>
                <w:highlight w:val="none"/>
                <w:lang w:val="en-US" w:eastAsia="zh-CN"/>
                <w14:textFill>
                  <w14:solidFill>
                    <w14:schemeClr w14:val="tx1"/>
                  </w14:solidFill>
                </w14:textFill>
              </w:rPr>
              <w:t>10</w:t>
            </w:r>
          </w:p>
        </w:tc>
        <w:tc>
          <w:tcPr>
            <w:tcW w:w="1322" w:type="dxa"/>
            <w:noWrap w:val="0"/>
            <w:vAlign w:val="center"/>
          </w:tcPr>
          <w:p w14:paraId="022EE457">
            <w:pPr>
              <w:adjustRightInd w:val="0"/>
              <w:snapToGrid w:val="0"/>
              <w:jc w:val="center"/>
              <w:rPr>
                <w:rFonts w:hint="eastAsia" w:hAnsi="Calibri"/>
                <w:color w:val="000000" w:themeColor="text1"/>
                <w:sz w:val="24"/>
                <w:szCs w:val="24"/>
                <w:highlight w:val="none"/>
                <w:lang w:eastAsia="zh-CN"/>
                <w14:textFill>
                  <w14:solidFill>
                    <w14:schemeClr w14:val="tx1"/>
                  </w14:solidFill>
                </w14:textFill>
              </w:rPr>
            </w:pPr>
          </w:p>
        </w:tc>
        <w:tc>
          <w:tcPr>
            <w:tcW w:w="1282" w:type="dxa"/>
            <w:noWrap w:val="0"/>
            <w:vAlign w:val="center"/>
          </w:tcPr>
          <w:p w14:paraId="0C493976">
            <w:pPr>
              <w:adjustRightInd w:val="0"/>
              <w:snapToGrid w:val="0"/>
              <w:jc w:val="center"/>
              <w:rPr>
                <w:rFonts w:hint="eastAsia" w:hAnsi="Calibri"/>
                <w:color w:val="000000" w:themeColor="text1"/>
                <w:sz w:val="24"/>
                <w:szCs w:val="24"/>
                <w:highlight w:val="none"/>
                <w:lang w:eastAsia="zh-CN"/>
                <w14:textFill>
                  <w14:solidFill>
                    <w14:schemeClr w14:val="tx1"/>
                  </w14:solidFill>
                </w14:textFill>
              </w:rPr>
            </w:pPr>
          </w:p>
        </w:tc>
        <w:tc>
          <w:tcPr>
            <w:tcW w:w="2403" w:type="dxa"/>
            <w:noWrap w:val="0"/>
            <w:vAlign w:val="center"/>
          </w:tcPr>
          <w:p w14:paraId="650BD834">
            <w:pPr>
              <w:adjustRightInd w:val="0"/>
              <w:snapToGrid w:val="0"/>
              <w:jc w:val="center"/>
              <w:rPr>
                <w:rFonts w:hint="default" w:hAnsi="Calibri"/>
                <w:color w:val="000000" w:themeColor="text1"/>
                <w:sz w:val="24"/>
                <w:szCs w:val="24"/>
                <w:highlight w:val="none"/>
                <w:lang w:val="en-US" w:eastAsia="zh-CN"/>
                <w14:textFill>
                  <w14:solidFill>
                    <w14:schemeClr w14:val="tx1"/>
                  </w14:solidFill>
                </w14:textFill>
              </w:rPr>
            </w:pPr>
            <w:r>
              <w:rPr>
                <w:rFonts w:hint="eastAsia" w:hAnsi="Calibri"/>
                <w:color w:val="000000" w:themeColor="text1"/>
                <w:sz w:val="24"/>
                <w:szCs w:val="24"/>
                <w:highlight w:val="none"/>
                <w:lang w:val="en-US" w:eastAsia="zh-CN"/>
                <w14:textFill>
                  <w14:solidFill>
                    <w14:schemeClr w14:val="tx1"/>
                  </w14:solidFill>
                </w14:textFill>
              </w:rPr>
              <w:t>智慧化站房改造服务</w:t>
            </w:r>
          </w:p>
        </w:tc>
        <w:tc>
          <w:tcPr>
            <w:tcW w:w="3513" w:type="dxa"/>
            <w:noWrap w:val="0"/>
            <w:vAlign w:val="center"/>
          </w:tcPr>
          <w:p w14:paraId="488FA00D">
            <w:pPr>
              <w:adjustRightInd w:val="0"/>
              <w:snapToGrid w:val="0"/>
              <w:jc w:val="center"/>
              <w:rPr>
                <w:rFonts w:hint="eastAsia" w:hAnsi="Calibri"/>
                <w:color w:val="000000" w:themeColor="text1"/>
                <w:sz w:val="24"/>
                <w:szCs w:val="24"/>
                <w:highlight w:val="none"/>
                <w:lang w:eastAsia="zh-CN"/>
                <w14:textFill>
                  <w14:solidFill>
                    <w14:schemeClr w14:val="tx1"/>
                  </w14:solidFill>
                </w14:textFill>
              </w:rPr>
            </w:pPr>
            <w:r>
              <w:rPr>
                <w:rFonts w:hint="eastAsia" w:hAnsi="Calibri"/>
                <w:color w:val="000000" w:themeColor="text1"/>
                <w:sz w:val="24"/>
                <w:szCs w:val="24"/>
                <w:highlight w:val="none"/>
                <w:lang w:eastAsia="zh-CN"/>
                <w14:textFill>
                  <w14:solidFill>
                    <w14:schemeClr w14:val="tx1"/>
                  </w14:solidFill>
                </w14:textFill>
              </w:rPr>
              <w:t>水温、p</w:t>
            </w:r>
            <w:r>
              <w:rPr>
                <w:rFonts w:hAnsi="Calibri"/>
                <w:color w:val="000000" w:themeColor="text1"/>
                <w:sz w:val="24"/>
                <w:szCs w:val="24"/>
                <w:highlight w:val="none"/>
                <w:lang w:eastAsia="zh-CN"/>
                <w14:textFill>
                  <w14:solidFill>
                    <w14:schemeClr w14:val="tx1"/>
                  </w14:solidFill>
                </w14:textFill>
              </w:rPr>
              <w:t>H</w:t>
            </w:r>
            <w:r>
              <w:rPr>
                <w:rFonts w:hint="eastAsia" w:hAnsi="Calibri"/>
                <w:color w:val="000000" w:themeColor="text1"/>
                <w:sz w:val="24"/>
                <w:szCs w:val="24"/>
                <w:highlight w:val="none"/>
                <w:lang w:eastAsia="zh-CN"/>
                <w14:textFill>
                  <w14:solidFill>
                    <w14:schemeClr w14:val="tx1"/>
                  </w14:solidFill>
                </w14:textFill>
              </w:rPr>
              <w:t>值、溶解氧、电导率、浊度、高锰酸盐指数、氨氮、总磷、总氮</w:t>
            </w:r>
          </w:p>
        </w:tc>
      </w:tr>
    </w:tbl>
    <w:p w14:paraId="35B4D35C">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p>
    <w:p w14:paraId="75445AAD">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w:t>
      </w:r>
      <w:r>
        <w:rPr>
          <w:rFonts w:hint="eastAsia"/>
          <w:color w:val="000000" w:themeColor="text1"/>
          <w:sz w:val="24"/>
          <w:szCs w:val="24"/>
          <w:highlight w:val="none"/>
          <w14:textFill>
            <w14:solidFill>
              <w14:schemeClr w14:val="tx1"/>
            </w14:solidFill>
          </w14:textFill>
        </w:rPr>
        <w:t>4乙方按甲方要求提供1名经过采购人考核并认可的驻站人员，学历为大学本科及以上。</w:t>
      </w:r>
    </w:p>
    <w:p w14:paraId="6D280CF6">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w:t>
      </w:r>
      <w:r>
        <w:rPr>
          <w:rFonts w:hint="eastAsia"/>
          <w:color w:val="000000" w:themeColor="text1"/>
          <w:sz w:val="24"/>
          <w:szCs w:val="24"/>
          <w:highlight w:val="none"/>
          <w14:textFill>
            <w14:solidFill>
              <w14:schemeClr w14:val="tx1"/>
            </w14:solidFill>
          </w14:textFill>
        </w:rPr>
        <w:t>5甲方在运维期间根据国家相关标准或政策要求增加国家地表水自动监测站运维服务的，乙方应予配合，新增项目相关设备的运维费由甲乙双方商后另行确定。</w:t>
      </w:r>
    </w:p>
    <w:p w14:paraId="4F0A0E6B">
      <w:pPr>
        <w:bidi w:val="0"/>
        <w:rPr>
          <w:color w:val="000000" w:themeColor="text1"/>
          <w:sz w:val="24"/>
          <w:szCs w:val="21"/>
          <w14:textFill>
            <w14:solidFill>
              <w14:schemeClr w14:val="tx1"/>
            </w14:solidFill>
          </w14:textFill>
        </w:rPr>
      </w:pPr>
      <w:bookmarkStart w:id="37" w:name="_Toc13160"/>
      <w:r>
        <w:rPr>
          <w:rFonts w:hint="eastAsia"/>
          <w:color w:val="000000" w:themeColor="text1"/>
          <w:sz w:val="24"/>
          <w:szCs w:val="21"/>
          <w14:textFill>
            <w14:solidFill>
              <w14:schemeClr w14:val="tx1"/>
            </w14:solidFill>
          </w14:textFill>
        </w:rPr>
        <w:t>2、权利和义务</w:t>
      </w:r>
      <w:bookmarkEnd w:id="37"/>
    </w:p>
    <w:p w14:paraId="2F4A4323">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2.</w:t>
      </w:r>
      <w:r>
        <w:rPr>
          <w:rFonts w:hint="eastAsia"/>
          <w:color w:val="000000" w:themeColor="text1"/>
          <w:sz w:val="24"/>
          <w:szCs w:val="24"/>
          <w:highlight w:val="none"/>
          <w14:textFill>
            <w14:solidFill>
              <w14:schemeClr w14:val="tx1"/>
            </w14:solidFill>
          </w14:textFill>
        </w:rPr>
        <w:t>1甲方应当向乙方提出明确的服务要求，以便乙方能够开展工作，如果乙方向甲方提出配合完成项目工作的合理请求，甲方应及时做出答复，并给予必要协助。</w:t>
      </w:r>
    </w:p>
    <w:p w14:paraId="7D8289FC">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2.</w:t>
      </w:r>
      <w:r>
        <w:rPr>
          <w:rFonts w:hint="eastAsia"/>
          <w:color w:val="000000" w:themeColor="text1"/>
          <w:sz w:val="24"/>
          <w:szCs w:val="24"/>
          <w:highlight w:val="none"/>
          <w14:textFill>
            <w14:solidFill>
              <w14:schemeClr w14:val="tx1"/>
            </w14:solidFill>
          </w14:textFill>
        </w:rPr>
        <w:t>2甲方保留书面要求乙方变更、增加或减少服务范围、实施人员和日程安排的权利。</w:t>
      </w:r>
    </w:p>
    <w:p w14:paraId="4A93D6FC">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2.</w:t>
      </w:r>
      <w:r>
        <w:rPr>
          <w:rFonts w:hint="eastAsia"/>
          <w:color w:val="000000" w:themeColor="text1"/>
          <w:sz w:val="24"/>
          <w:szCs w:val="24"/>
          <w:highlight w:val="none"/>
          <w14:textFill>
            <w14:solidFill>
              <w14:schemeClr w14:val="tx1"/>
            </w14:solidFill>
          </w14:textFill>
        </w:rPr>
        <w:t>3在项目实施过程中，乙方应当按甲方提出的时间节点完成各项工作，并按项目进度提交项目实施的各项成果，并对其内容负责，对项目过程中的需求偏差、进度偏差，应按项目的变更管理流程，与甲方及时协商、确认和调整。</w:t>
      </w:r>
    </w:p>
    <w:p w14:paraId="10E84597">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2.4</w:t>
      </w:r>
      <w:r>
        <w:rPr>
          <w:rFonts w:hint="eastAsia"/>
          <w:color w:val="000000" w:themeColor="text1"/>
          <w:sz w:val="24"/>
          <w:szCs w:val="24"/>
          <w:highlight w:val="none"/>
          <w14:textFill>
            <w14:solidFill>
              <w14:schemeClr w14:val="tx1"/>
            </w14:solidFill>
          </w14:textFill>
        </w:rPr>
        <w:t>乙方应当指派技术小组执行本合同的工作。该技术小组应和甲方建立友好的协作关系。在项目实施过程中，乙方不得更换项目经理及项目组主要成员，如遇特殊情况需要更换，需经过甲方书面同意。</w:t>
      </w:r>
    </w:p>
    <w:p w14:paraId="57C8AF59">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2.5</w:t>
      </w:r>
      <w:r>
        <w:rPr>
          <w:rFonts w:hint="eastAsia"/>
          <w:color w:val="000000" w:themeColor="text1"/>
          <w:sz w:val="24"/>
          <w:szCs w:val="24"/>
          <w:highlight w:val="none"/>
          <w14:textFill>
            <w14:solidFill>
              <w14:schemeClr w14:val="tx1"/>
            </w14:solidFill>
          </w14:textFill>
        </w:rPr>
        <w:t>乙方指定一名项目经理作为乙方现场总代表，协助甲方人员解决可能出现的技术问题。如果甲方认为在工作现场的乙方任何成员不称职，甲方有权要求乙方另外指派合乎甲方要求的人员。</w:t>
      </w:r>
    </w:p>
    <w:p w14:paraId="4AD40841">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2.6</w:t>
      </w:r>
      <w:r>
        <w:rPr>
          <w:rFonts w:hint="eastAsia"/>
          <w:color w:val="000000" w:themeColor="text1"/>
          <w:sz w:val="24"/>
          <w:szCs w:val="24"/>
          <w:highlight w:val="none"/>
          <w14:textFill>
            <w14:solidFill>
              <w14:schemeClr w14:val="tx1"/>
            </w14:solidFill>
          </w14:textFill>
        </w:rPr>
        <w:t>乙方应保证整个项目的整体实施效果达到项目工作的总体目标，对项目的实施工作承担总体责任。</w:t>
      </w:r>
    </w:p>
    <w:p w14:paraId="578F7861">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2.7</w:t>
      </w:r>
      <w:r>
        <w:rPr>
          <w:rFonts w:hint="eastAsia"/>
          <w:color w:val="000000" w:themeColor="text1"/>
          <w:sz w:val="24"/>
          <w:szCs w:val="24"/>
          <w:highlight w:val="none"/>
          <w14:textFill>
            <w14:solidFill>
              <w14:schemeClr w14:val="tx1"/>
            </w14:solidFill>
          </w14:textFill>
        </w:rPr>
        <w:t>乙方应服从、配合甲方及甲方指定人员的工作指示。</w:t>
      </w:r>
    </w:p>
    <w:p w14:paraId="65BCE615">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2.</w:t>
      </w:r>
      <w:r>
        <w:rPr>
          <w:rFonts w:hint="eastAsia"/>
          <w:color w:val="000000" w:themeColor="text1"/>
          <w:sz w:val="24"/>
          <w:szCs w:val="24"/>
          <w:highlight w:val="none"/>
          <w14:textFill>
            <w14:solidFill>
              <w14:schemeClr w14:val="tx1"/>
            </w14:solidFill>
          </w14:textFill>
        </w:rPr>
        <w:t>8乙方应提供详细的服务计划、服务承诺和具体的服务保证措施、应急响应方案等，成立专门的服务小组，提供完善周到的现场服务。</w:t>
      </w:r>
    </w:p>
    <w:p w14:paraId="3E494A27">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2.9</w:t>
      </w:r>
      <w:r>
        <w:rPr>
          <w:rFonts w:hint="eastAsia"/>
          <w:color w:val="000000" w:themeColor="text1"/>
          <w:sz w:val="24"/>
          <w:szCs w:val="24"/>
          <w:highlight w:val="none"/>
          <w14:textFill>
            <w14:solidFill>
              <w14:schemeClr w14:val="tx1"/>
            </w14:solidFill>
          </w14:textFill>
        </w:rPr>
        <w:t>在合同有效期内，乙方负责跨界断面地表水水质自动监测站日常运行，乙方对跨界断面地表水水质自动监测站基础设施、仪器设备、相关辅助设备及技术软件的财产安全、消防安全等，负有保障义务。</w:t>
      </w:r>
    </w:p>
    <w:p w14:paraId="08741853">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2.10</w:t>
      </w:r>
      <w:r>
        <w:rPr>
          <w:rFonts w:hint="eastAsia"/>
          <w:color w:val="000000" w:themeColor="text1"/>
          <w:sz w:val="24"/>
          <w:szCs w:val="24"/>
          <w:highlight w:val="none"/>
          <w14:textFill>
            <w14:solidFill>
              <w14:schemeClr w14:val="tx1"/>
            </w14:solidFill>
          </w14:textFill>
        </w:rPr>
        <w:t>运维期间，乙方应按安全生产有关规定，建立安全生产制度，切实消除安全隐患。</w:t>
      </w:r>
    </w:p>
    <w:p w14:paraId="57B5BAD7">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2.11</w:t>
      </w:r>
      <w:r>
        <w:rPr>
          <w:rFonts w:hint="eastAsia"/>
          <w:color w:val="000000" w:themeColor="text1"/>
          <w:sz w:val="24"/>
          <w:szCs w:val="24"/>
          <w:highlight w:val="none"/>
          <w14:textFill>
            <w14:solidFill>
              <w14:schemeClr w14:val="tx1"/>
            </w14:solidFill>
          </w14:textFill>
        </w:rPr>
        <w:t>乙方需为本项目配备至少一名高级管理人员作为本项目的专职项目经理，负责此项目的日常运作、沟通协调；按招标文件要求和投标文件承诺，配备相关专职技术人员，负责日常数据查看、数据初审与文书事务等工作。</w:t>
      </w:r>
    </w:p>
    <w:p w14:paraId="03BF05FA">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2.12</w:t>
      </w:r>
      <w:r>
        <w:rPr>
          <w:rFonts w:hint="eastAsia"/>
          <w:color w:val="000000" w:themeColor="text1"/>
          <w:sz w:val="24"/>
          <w:szCs w:val="24"/>
          <w:highlight w:val="none"/>
          <w14:textFill>
            <w14:solidFill>
              <w14:schemeClr w14:val="tx1"/>
            </w14:solidFill>
          </w14:textFill>
        </w:rPr>
        <w:t>乙方应保证每</w:t>
      </w:r>
      <w:r>
        <w:rPr>
          <w:color w:val="000000" w:themeColor="text1"/>
          <w:sz w:val="24"/>
          <w:szCs w:val="24"/>
          <w:highlight w:val="none"/>
          <w14:textFill>
            <w14:solidFill>
              <w14:schemeClr w14:val="tx1"/>
            </w14:solidFill>
          </w14:textFill>
        </w:rPr>
        <w:t>3</w:t>
      </w:r>
      <w:r>
        <w:rPr>
          <w:rFonts w:hint="eastAsia"/>
          <w:color w:val="000000" w:themeColor="text1"/>
          <w:sz w:val="24"/>
          <w:szCs w:val="24"/>
          <w:highlight w:val="none"/>
          <w14:textFill>
            <w14:solidFill>
              <w14:schemeClr w14:val="tx1"/>
            </w14:solidFill>
          </w14:textFill>
        </w:rPr>
        <w:t>个水站至少有1名专业技术人员负责日常维护，每</w:t>
      </w:r>
      <w:r>
        <w:rPr>
          <w:color w:val="000000" w:themeColor="text1"/>
          <w:sz w:val="24"/>
          <w:szCs w:val="24"/>
          <w:highlight w:val="none"/>
          <w14:textFill>
            <w14:solidFill>
              <w14:schemeClr w14:val="tx1"/>
            </w14:solidFill>
          </w14:textFill>
        </w:rPr>
        <w:t>3</w:t>
      </w:r>
      <w:r>
        <w:rPr>
          <w:rFonts w:hint="eastAsia"/>
          <w:color w:val="000000" w:themeColor="text1"/>
          <w:sz w:val="24"/>
          <w:szCs w:val="24"/>
          <w:highlight w:val="none"/>
          <w14:textFill>
            <w14:solidFill>
              <w14:schemeClr w14:val="tx1"/>
            </w14:solidFill>
          </w14:textFill>
        </w:rPr>
        <w:t>个水站至少配备1辆运维车辆。</w:t>
      </w:r>
    </w:p>
    <w:p w14:paraId="6A4FAD7C">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2.13</w:t>
      </w:r>
      <w:r>
        <w:rPr>
          <w:rFonts w:hint="eastAsia"/>
          <w:color w:val="000000" w:themeColor="text1"/>
          <w:sz w:val="24"/>
          <w:szCs w:val="24"/>
          <w:highlight w:val="none"/>
          <w14:textFill>
            <w14:solidFill>
              <w14:schemeClr w14:val="tx1"/>
            </w14:solidFill>
          </w14:textFill>
        </w:rPr>
        <w:t>乙方应保障至少建立1个驻地办事处。</w:t>
      </w:r>
    </w:p>
    <w:p w14:paraId="4F04F7D1">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2.14</w:t>
      </w:r>
      <w:r>
        <w:rPr>
          <w:rFonts w:hint="eastAsia"/>
          <w:color w:val="000000" w:themeColor="text1"/>
          <w:sz w:val="24"/>
          <w:szCs w:val="24"/>
          <w:highlight w:val="none"/>
          <w14:textFill>
            <w14:solidFill>
              <w14:schemeClr w14:val="tx1"/>
            </w14:solidFill>
          </w14:textFill>
        </w:rPr>
        <w:t>乙方应保证每</w:t>
      </w:r>
      <w:r>
        <w:rPr>
          <w:color w:val="000000" w:themeColor="text1"/>
          <w:sz w:val="24"/>
          <w:szCs w:val="24"/>
          <w:highlight w:val="none"/>
          <w14:textFill>
            <w14:solidFill>
              <w14:schemeClr w14:val="tx1"/>
            </w14:solidFill>
          </w14:textFill>
        </w:rPr>
        <w:t>3</w:t>
      </w:r>
      <w:r>
        <w:rPr>
          <w:rFonts w:hint="eastAsia"/>
          <w:color w:val="000000" w:themeColor="text1"/>
          <w:sz w:val="24"/>
          <w:szCs w:val="24"/>
          <w:highlight w:val="none"/>
          <w14:textFill>
            <w14:solidFill>
              <w14:schemeClr w14:val="tx1"/>
            </w14:solidFill>
          </w14:textFill>
        </w:rPr>
        <w:t>个水站至少配备1套便携五参数（水温、pH值、溶解氧、电导率和浊度）监测设备，溶解氧便携监测设备应满足原位监测要求。</w:t>
      </w:r>
    </w:p>
    <w:p w14:paraId="1F588D0C">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2.15</w:t>
      </w:r>
      <w:r>
        <w:rPr>
          <w:rFonts w:hint="eastAsia"/>
          <w:color w:val="000000" w:themeColor="text1"/>
          <w:sz w:val="24"/>
          <w:szCs w:val="24"/>
          <w:highlight w:val="none"/>
          <w14:textFill>
            <w14:solidFill>
              <w14:schemeClr w14:val="tx1"/>
            </w14:solidFill>
          </w14:textFill>
        </w:rPr>
        <w:t>乙方应保证建立不少于1个备品备件库，至少每种仪器配备一台备机。</w:t>
      </w:r>
    </w:p>
    <w:p w14:paraId="08B1119D">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2.16</w:t>
      </w:r>
      <w:r>
        <w:rPr>
          <w:rFonts w:hint="eastAsia"/>
          <w:color w:val="000000" w:themeColor="text1"/>
          <w:sz w:val="24"/>
          <w:szCs w:val="24"/>
          <w:highlight w:val="none"/>
          <w14:textFill>
            <w14:solidFill>
              <w14:schemeClr w14:val="tx1"/>
            </w14:solidFill>
          </w14:textFill>
        </w:rPr>
        <w:t>乙方应按甲方要求开展其提供备机的性能和功能测试，并承担相关费用。乙方需在合同签订后15日内通过备机性能和功能测试；如未通过测试，乙方应按甲方要求限期整改；如乙方在整改期限内仍未通过测试，甲方有权要求更换符合要求的备机品牌或型号；如乙方不能配合甲方完成备机性能和功能测试，甲方有权终止合同。</w:t>
      </w:r>
    </w:p>
    <w:p w14:paraId="74FA0642">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2.17</w:t>
      </w:r>
      <w:r>
        <w:rPr>
          <w:rFonts w:hint="eastAsia"/>
          <w:color w:val="000000" w:themeColor="text1"/>
          <w:sz w:val="24"/>
          <w:szCs w:val="24"/>
          <w:highlight w:val="none"/>
          <w14:textFill>
            <w14:solidFill>
              <w14:schemeClr w14:val="tx1"/>
            </w14:solidFill>
          </w14:textFill>
        </w:rPr>
        <w:t>遇不可抗力因素导致跨界水站设备毁坏的，由甲乙双方协商解决。</w:t>
      </w:r>
    </w:p>
    <w:p w14:paraId="7F5951EE">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2.18</w:t>
      </w:r>
      <w:r>
        <w:rPr>
          <w:rFonts w:hint="eastAsia"/>
          <w:color w:val="000000" w:themeColor="text1"/>
          <w:sz w:val="24"/>
          <w:szCs w:val="24"/>
          <w:highlight w:val="none"/>
          <w14:textFill>
            <w14:solidFill>
              <w14:schemeClr w14:val="tx1"/>
            </w14:solidFill>
          </w14:textFill>
        </w:rPr>
        <w:t>乙方需对水站产生的废液按相关管理规定安全贮存并及时交由有资质的公司进行处理。</w:t>
      </w:r>
    </w:p>
    <w:p w14:paraId="5500E408">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2.19</w:t>
      </w:r>
      <w:r>
        <w:rPr>
          <w:rFonts w:hint="eastAsia"/>
          <w:color w:val="000000" w:themeColor="text1"/>
          <w:sz w:val="24"/>
          <w:szCs w:val="24"/>
          <w:highlight w:val="none"/>
          <w14:textFill>
            <w14:solidFill>
              <w14:schemeClr w14:val="tx1"/>
            </w14:solidFill>
          </w14:textFill>
        </w:rPr>
        <w:t>在跨界断面地表水自动监测系统运维及管理期间，在合同约束范围内乙方拥有管理自主权；不能以任何形式外包合同规定的运行维护任务。不论何时，乙方无权将甲方的任何资产进行对外投资、合作、经济担保及资产抵押。</w:t>
      </w:r>
    </w:p>
    <w:p w14:paraId="0D3D2609">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2.20</w:t>
      </w:r>
      <w:r>
        <w:rPr>
          <w:rFonts w:hint="eastAsia"/>
          <w:color w:val="000000" w:themeColor="text1"/>
          <w:sz w:val="24"/>
          <w:szCs w:val="24"/>
          <w:highlight w:val="none"/>
          <w14:textFill>
            <w14:solidFill>
              <w14:schemeClr w14:val="tx1"/>
            </w14:solidFill>
          </w14:textFill>
        </w:rPr>
        <w:t>合同有效期内，乙方应遵守生态环境部、中国环境监测总站、海南省生态环境厅及甲方关于水站运行管理的有关规定及要求。</w:t>
      </w:r>
    </w:p>
    <w:p w14:paraId="3206E739">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2.21</w:t>
      </w:r>
      <w:r>
        <w:rPr>
          <w:rFonts w:hint="eastAsia"/>
          <w:color w:val="000000" w:themeColor="text1"/>
          <w:sz w:val="24"/>
          <w:szCs w:val="24"/>
          <w:highlight w:val="none"/>
          <w14:textFill>
            <w14:solidFill>
              <w14:schemeClr w14:val="tx1"/>
            </w14:solidFill>
          </w14:textFill>
        </w:rPr>
        <w:t>乙方需针对本项目运维管理要求设计一套完整、可行的信息化管理方案。</w:t>
      </w:r>
    </w:p>
    <w:p w14:paraId="36026F8D">
      <w:pPr>
        <w:bidi w:val="0"/>
        <w:rPr>
          <w:color w:val="000000" w:themeColor="text1"/>
          <w:sz w:val="24"/>
          <w:szCs w:val="21"/>
          <w14:textFill>
            <w14:solidFill>
              <w14:schemeClr w14:val="tx1"/>
            </w14:solidFill>
          </w14:textFill>
        </w:rPr>
      </w:pPr>
      <w:bookmarkStart w:id="38" w:name="_Toc24713"/>
      <w:r>
        <w:rPr>
          <w:rFonts w:hint="eastAsia"/>
          <w:color w:val="000000" w:themeColor="text1"/>
          <w:sz w:val="24"/>
          <w:szCs w:val="21"/>
          <w14:textFill>
            <w14:solidFill>
              <w14:schemeClr w14:val="tx1"/>
            </w14:solidFill>
          </w14:textFill>
        </w:rPr>
        <w:t>3、履行期限</w:t>
      </w:r>
      <w:bookmarkEnd w:id="38"/>
    </w:p>
    <w:p w14:paraId="3B840554">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3.</w:t>
      </w:r>
      <w:r>
        <w:rPr>
          <w:rFonts w:hint="eastAsia"/>
          <w:color w:val="000000" w:themeColor="text1"/>
          <w:sz w:val="24"/>
          <w:szCs w:val="24"/>
          <w:highlight w:val="none"/>
          <w14:textFill>
            <w14:solidFill>
              <w14:schemeClr w14:val="tx1"/>
            </w14:solidFill>
          </w14:textFill>
        </w:rPr>
        <w:t>1乙方保证按照项目进度的要求，合理安排工期，确保按时保质完成合同约定的任务。</w:t>
      </w:r>
    </w:p>
    <w:p w14:paraId="50A72C85">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3.</w:t>
      </w:r>
      <w:r>
        <w:rPr>
          <w:rFonts w:hint="eastAsia"/>
          <w:color w:val="000000" w:themeColor="text1"/>
          <w:sz w:val="24"/>
          <w:szCs w:val="24"/>
          <w:highlight w:val="none"/>
          <w14:textFill>
            <w14:solidFill>
              <w14:schemeClr w14:val="tx1"/>
            </w14:solidFill>
          </w14:textFill>
        </w:rPr>
        <w:t>2乙方应定期以合理的、甲方可以理解的方式，向甲方提供书面的项目阶段进度报告。内容包括但不限于：</w:t>
      </w:r>
    </w:p>
    <w:p w14:paraId="55A7591C">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（1）项目进度与计划执行；</w:t>
      </w:r>
    </w:p>
    <w:p w14:paraId="0B703A91">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w:t>
      </w:r>
      <w:r>
        <w:rPr>
          <w:color w:val="000000" w:themeColor="text1"/>
          <w:sz w:val="24"/>
          <w:szCs w:val="24"/>
          <w:highlight w:val="none"/>
          <w14:textFill>
            <w14:solidFill>
              <w14:schemeClr w14:val="tx1"/>
            </w14:solidFill>
          </w14:textFill>
        </w:rPr>
        <w:t>2</w:t>
      </w:r>
      <w:r>
        <w:rPr>
          <w:rFonts w:hint="eastAsia"/>
          <w:color w:val="000000" w:themeColor="text1"/>
          <w:sz w:val="24"/>
          <w:szCs w:val="24"/>
          <w:highlight w:val="none"/>
          <w14:textFill>
            <w14:solidFill>
              <w14:schemeClr w14:val="tx1"/>
            </w14:solidFill>
          </w14:textFill>
        </w:rPr>
        <w:t>）已完成的工作内容；</w:t>
      </w:r>
    </w:p>
    <w:p w14:paraId="415B8913">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（3）有无遇到的困难和障碍；</w:t>
      </w:r>
    </w:p>
    <w:p w14:paraId="4E9F25EF">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（4）人员配置有无项目变更及/或变更情况；</w:t>
      </w:r>
    </w:p>
    <w:p w14:paraId="64E8481D">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（5）其它与本项目有关的甲方应该或要求知道的情况。</w:t>
      </w:r>
    </w:p>
    <w:p w14:paraId="0167D08D">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3.</w:t>
      </w:r>
      <w:r>
        <w:rPr>
          <w:rFonts w:hint="eastAsia"/>
          <w:color w:val="000000" w:themeColor="text1"/>
          <w:sz w:val="24"/>
          <w:szCs w:val="24"/>
          <w:highlight w:val="none"/>
          <w14:textFill>
            <w14:solidFill>
              <w14:schemeClr w14:val="tx1"/>
            </w14:solidFill>
          </w14:textFill>
        </w:rPr>
        <w:t>3如有重大的问题或重要的变更发生，乙方需在7天内向甲方做出书面报告；乙方也应当在合理的时间内回复甲方在其它时间内提出的与本项目相关的询问。如乙方违反本条的规定，乙方应承担由此而引起的项目迟延和甲方不能及时付款或配合项目进行的后果及项目延期的责任。</w:t>
      </w:r>
    </w:p>
    <w:p w14:paraId="0C100008">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3.4</w:t>
      </w:r>
      <w:r>
        <w:rPr>
          <w:rFonts w:hint="eastAsia"/>
          <w:color w:val="000000" w:themeColor="text1"/>
          <w:sz w:val="24"/>
          <w:szCs w:val="24"/>
          <w:highlight w:val="none"/>
          <w14:textFill>
            <w14:solidFill>
              <w14:schemeClr w14:val="tx1"/>
            </w14:solidFill>
          </w14:textFill>
        </w:rPr>
        <w:t>本合同履行期限自2</w:t>
      </w:r>
      <w:r>
        <w:rPr>
          <w:color w:val="000000" w:themeColor="text1"/>
          <w:sz w:val="24"/>
          <w:szCs w:val="24"/>
          <w:highlight w:val="none"/>
          <w14:textFill>
            <w14:solidFill>
              <w14:schemeClr w14:val="tx1"/>
            </w14:solidFill>
          </w14:textFill>
        </w:rPr>
        <w:t>02</w:t>
      </w:r>
      <w:r>
        <w:rPr>
          <w:rFonts w:hint="eastAsia"/>
          <w:color w:val="000000" w:themeColor="text1"/>
          <w:sz w:val="24"/>
          <w:szCs w:val="24"/>
          <w:highlight w:val="none"/>
          <w:lang w:val="en-US" w:eastAsia="zh-CN"/>
          <w14:textFill>
            <w14:solidFill>
              <w14:schemeClr w14:val="tx1"/>
            </w14:solidFill>
          </w14:textFill>
        </w:rPr>
        <w:t>5</w:t>
      </w:r>
      <w:r>
        <w:rPr>
          <w:rFonts w:hint="eastAsia"/>
          <w:color w:val="000000" w:themeColor="text1"/>
          <w:sz w:val="24"/>
          <w:szCs w:val="24"/>
          <w:highlight w:val="none"/>
          <w14:textFill>
            <w14:solidFill>
              <w14:schemeClr w14:val="tx1"/>
            </w14:solidFill>
          </w14:textFill>
        </w:rPr>
        <w:t>年1月1日至2</w:t>
      </w:r>
      <w:r>
        <w:rPr>
          <w:color w:val="000000" w:themeColor="text1"/>
          <w:sz w:val="24"/>
          <w:szCs w:val="24"/>
          <w:highlight w:val="none"/>
          <w14:textFill>
            <w14:solidFill>
              <w14:schemeClr w14:val="tx1"/>
            </w14:solidFill>
          </w14:textFill>
        </w:rPr>
        <w:t>02</w:t>
      </w:r>
      <w:r>
        <w:rPr>
          <w:rFonts w:hint="eastAsia"/>
          <w:color w:val="000000" w:themeColor="text1"/>
          <w:sz w:val="24"/>
          <w:szCs w:val="24"/>
          <w:highlight w:val="none"/>
          <w:lang w:val="en-US" w:eastAsia="zh-CN"/>
          <w14:textFill>
            <w14:solidFill>
              <w14:schemeClr w14:val="tx1"/>
            </w14:solidFill>
          </w14:textFill>
        </w:rPr>
        <w:t>5</w:t>
      </w:r>
      <w:r>
        <w:rPr>
          <w:rFonts w:hint="eastAsia"/>
          <w:color w:val="000000" w:themeColor="text1"/>
          <w:sz w:val="24"/>
          <w:szCs w:val="24"/>
          <w:highlight w:val="none"/>
          <w14:textFill>
            <w14:solidFill>
              <w14:schemeClr w14:val="tx1"/>
            </w14:solidFill>
          </w14:textFill>
        </w:rPr>
        <w:t>年1</w:t>
      </w:r>
      <w:r>
        <w:rPr>
          <w:color w:val="000000" w:themeColor="text1"/>
          <w:sz w:val="24"/>
          <w:szCs w:val="24"/>
          <w:highlight w:val="none"/>
          <w14:textFill>
            <w14:solidFill>
              <w14:schemeClr w14:val="tx1"/>
            </w14:solidFill>
          </w14:textFill>
        </w:rPr>
        <w:t>2</w:t>
      </w:r>
      <w:r>
        <w:rPr>
          <w:rFonts w:hint="eastAsia"/>
          <w:color w:val="000000" w:themeColor="text1"/>
          <w:sz w:val="24"/>
          <w:szCs w:val="24"/>
          <w:highlight w:val="none"/>
          <w14:textFill>
            <w14:solidFill>
              <w14:schemeClr w14:val="tx1"/>
            </w14:solidFill>
          </w14:textFill>
        </w:rPr>
        <w:t>月3</w:t>
      </w:r>
      <w:r>
        <w:rPr>
          <w:color w:val="000000" w:themeColor="text1"/>
          <w:sz w:val="24"/>
          <w:szCs w:val="24"/>
          <w:highlight w:val="none"/>
          <w14:textFill>
            <w14:solidFill>
              <w14:schemeClr w14:val="tx1"/>
            </w14:solidFill>
          </w14:textFill>
        </w:rPr>
        <w:t>1</w:t>
      </w:r>
      <w:r>
        <w:rPr>
          <w:rFonts w:hint="eastAsia"/>
          <w:color w:val="000000" w:themeColor="text1"/>
          <w:sz w:val="24"/>
          <w:szCs w:val="24"/>
          <w:highlight w:val="none"/>
          <w14:textFill>
            <w14:solidFill>
              <w14:schemeClr w14:val="tx1"/>
            </w14:solidFill>
          </w14:textFill>
        </w:rPr>
        <w:t>日。</w:t>
      </w:r>
    </w:p>
    <w:p w14:paraId="1E434B68">
      <w:pPr>
        <w:bidi w:val="0"/>
        <w:rPr>
          <w:color w:val="000000" w:themeColor="text1"/>
          <w:sz w:val="24"/>
          <w:szCs w:val="24"/>
          <w:highlight w:val="none"/>
          <w14:textFill>
            <w14:solidFill>
              <w14:schemeClr w14:val="tx1"/>
            </w14:solidFill>
          </w14:textFill>
        </w:rPr>
      </w:pPr>
      <w:bookmarkStart w:id="39" w:name="_Toc16007"/>
      <w:r>
        <w:rPr>
          <w:rFonts w:hint="eastAsia"/>
          <w:color w:val="000000" w:themeColor="text1"/>
          <w:sz w:val="24"/>
          <w:szCs w:val="24"/>
          <w:highlight w:val="none"/>
          <w14:textFill>
            <w14:solidFill>
              <w14:schemeClr w14:val="tx1"/>
            </w14:solidFill>
          </w14:textFill>
        </w:rPr>
        <w:t>4、付款方式及条件</w:t>
      </w:r>
      <w:bookmarkEnd w:id="39"/>
    </w:p>
    <w:p w14:paraId="7D569734">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4.</w:t>
      </w:r>
      <w:r>
        <w:rPr>
          <w:rFonts w:hint="eastAsia"/>
          <w:color w:val="000000" w:themeColor="text1"/>
          <w:sz w:val="24"/>
          <w:szCs w:val="24"/>
          <w:highlight w:val="none"/>
          <w14:textFill>
            <w14:solidFill>
              <w14:schemeClr w14:val="tx1"/>
            </w14:solidFill>
          </w14:textFill>
        </w:rPr>
        <w:t>1年度合同总金额为</w:t>
      </w:r>
      <w:r>
        <w:rPr>
          <w:rFonts w:hint="eastAsia"/>
          <w:color w:val="000000" w:themeColor="text1"/>
          <w:sz w:val="24"/>
          <w:szCs w:val="24"/>
          <w:highlight w:val="none"/>
          <w:lang w:val="en-US" w:eastAsia="zh-CN"/>
          <w14:textFill>
            <w14:solidFill>
              <w14:schemeClr w14:val="tx1"/>
            </w14:solidFill>
          </w14:textFill>
        </w:rPr>
        <w:t>实际中标金额</w:t>
      </w:r>
      <w:r>
        <w:rPr>
          <w:rFonts w:hint="eastAsia"/>
          <w:color w:val="000000" w:themeColor="text1"/>
          <w:sz w:val="24"/>
          <w:szCs w:val="24"/>
          <w:highlight w:val="none"/>
          <w14:textFill>
            <w14:solidFill>
              <w14:schemeClr w14:val="tx1"/>
            </w14:solidFill>
          </w14:textFill>
        </w:rPr>
        <w:t>。每笔款项支付前乙方均应提供等额发票。</w:t>
      </w:r>
    </w:p>
    <w:p w14:paraId="1DFC2885">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4.2</w:t>
      </w:r>
      <w:r>
        <w:rPr>
          <w:rFonts w:hint="eastAsia"/>
          <w:color w:val="000000" w:themeColor="text1"/>
          <w:sz w:val="24"/>
          <w:szCs w:val="24"/>
          <w:highlight w:val="none"/>
          <w14:textFill>
            <w14:solidFill>
              <w14:schemeClr w14:val="tx1"/>
            </w14:solidFill>
          </w14:textFill>
        </w:rPr>
        <w:t>具体付款方式如下：</w:t>
      </w:r>
    </w:p>
    <w:p w14:paraId="4A3E59B7">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（1）合同签订后15个工作日内，甲方向乙方支付第一个季度</w:t>
      </w:r>
      <w:r>
        <w:rPr>
          <w:rFonts w:hint="eastAsia"/>
          <w:color w:val="000000" w:themeColor="text1"/>
          <w:sz w:val="24"/>
          <w:szCs w:val="24"/>
          <w:highlight w:val="none"/>
          <w:lang w:val="en-US" w:eastAsia="zh-CN"/>
          <w14:textFill>
            <w14:solidFill>
              <w14:schemeClr w14:val="tx1"/>
            </w14:solidFill>
          </w14:textFill>
        </w:rPr>
        <w:t>首笔</w:t>
      </w:r>
      <w:r>
        <w:rPr>
          <w:rFonts w:hint="eastAsia"/>
          <w:color w:val="000000" w:themeColor="text1"/>
          <w:sz w:val="24"/>
          <w:szCs w:val="24"/>
          <w:highlight w:val="none"/>
          <w14:textFill>
            <w14:solidFill>
              <w14:schemeClr w14:val="tx1"/>
            </w14:solidFill>
          </w14:textFill>
        </w:rPr>
        <w:t>运维费用（年度合同金额的15%），第一个季度剩余运维费用根据实际运行情况扣除季度考核扣款后，在第二个季度支付。</w:t>
      </w:r>
    </w:p>
    <w:p w14:paraId="3B23784C">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2）甲方根据乙方绩效考核情况，在合同执行的第二个和第三个季度的第一个月向乙方支付上一个季度运维费。每季度运维费基数为年度合同金额的25%，实际运维费为每季度运维费基数扣除上一个季度考核扣款。</w:t>
      </w:r>
    </w:p>
    <w:p w14:paraId="7BF91D9B">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3）合同期内最后一个季度的第一个月，甲方以年度合同金额的20%为基数，扣除第三季度考核扣款后向乙方支付；年度合同履行完成，甲方对乙方进行履约验收后，根据履约验收情况及第四季度考核情况扣除相应款项后一次性支付合同尾款。</w:t>
      </w:r>
    </w:p>
    <w:p w14:paraId="6226461A">
      <w:pPr>
        <w:bidi w:val="0"/>
        <w:rPr>
          <w:color w:val="000000" w:themeColor="text1"/>
          <w:sz w:val="24"/>
          <w:szCs w:val="24"/>
          <w:highlight w:val="none"/>
          <w14:textFill>
            <w14:solidFill>
              <w14:schemeClr w14:val="tx1"/>
            </w14:solidFill>
          </w14:textFill>
        </w:rPr>
      </w:pPr>
      <w:bookmarkStart w:id="40" w:name="_Toc6425"/>
      <w:r>
        <w:rPr>
          <w:rFonts w:hint="eastAsia"/>
          <w:color w:val="000000" w:themeColor="text1"/>
          <w:sz w:val="24"/>
          <w:szCs w:val="24"/>
          <w:highlight w:val="none"/>
          <w14:textFill>
            <w14:solidFill>
              <w14:schemeClr w14:val="tx1"/>
            </w14:solidFill>
          </w14:textFill>
        </w:rPr>
        <w:t>5、技术资料及知识产权</w:t>
      </w:r>
      <w:bookmarkEnd w:id="40"/>
    </w:p>
    <w:p w14:paraId="4E4150BC">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5.</w:t>
      </w:r>
      <w:r>
        <w:rPr>
          <w:rFonts w:hint="eastAsia"/>
          <w:color w:val="000000" w:themeColor="text1"/>
          <w:sz w:val="24"/>
          <w:szCs w:val="24"/>
          <w:highlight w:val="none"/>
          <w14:textFill>
            <w14:solidFill>
              <w14:schemeClr w14:val="tx1"/>
            </w14:solidFill>
          </w14:textFill>
        </w:rPr>
        <w:t>1知识产权归属</w:t>
      </w:r>
    </w:p>
    <w:p w14:paraId="44EB63E2">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（1）乙方向甲方提交的成果以及乙方在本项目服务过程中形成的专利、秘密信息、技术资料和文件的知识产权归甲方单独所有</w:t>
      </w:r>
    </w:p>
    <w:p w14:paraId="5E49006F">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（2）除非甲方书面同意，乙方不得以任何方式向第三方披露、转让和许可有关的技术成果、秘密信息、技术资料、文件等</w:t>
      </w:r>
    </w:p>
    <w:p w14:paraId="39D66873">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（3）除本项目服务需要之外，未得到甲方的书面许可，乙方不得以任何方式商业性地利用上述资料和技术。</w:t>
      </w:r>
    </w:p>
    <w:p w14:paraId="3FA4D95F">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5.2</w:t>
      </w:r>
      <w:r>
        <w:rPr>
          <w:rFonts w:hint="eastAsia"/>
          <w:color w:val="000000" w:themeColor="text1"/>
          <w:sz w:val="24"/>
          <w:szCs w:val="24"/>
          <w:highlight w:val="none"/>
          <w14:textFill>
            <w14:solidFill>
              <w14:schemeClr w14:val="tx1"/>
            </w14:solidFill>
          </w14:textFill>
        </w:rPr>
        <w:t>禁止对第三方造成侵权</w:t>
      </w:r>
    </w:p>
    <w:p w14:paraId="013E402A">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乙方应当保证其提供的成果及服务过程不侵害任何第三方的知识产权。如乙方需要使用第三方的知识产权，应当在使用前合法的获得使用该等知识产权的许可，并在获得许可后7日内将相关协议及许可文件复印件报甲方备案。乙方为本合同履行之目的使用自身或第三方知识产权的费用已包含在合同价款中，甲方不再另行支付</w:t>
      </w:r>
    </w:p>
    <w:p w14:paraId="50181865">
      <w:pPr>
        <w:adjustRightInd w:val="0"/>
        <w:snapToGrid w:val="0"/>
        <w:spacing w:line="360" w:lineRule="auto"/>
        <w:ind w:firstLine="480" w:firstLineChars="200"/>
        <w:jc w:val="left"/>
        <w:rPr>
          <w:rFonts w:hint="eastAsia" w:eastAsia="宋体"/>
          <w:color w:val="000000" w:themeColor="text1"/>
          <w:sz w:val="24"/>
          <w:szCs w:val="24"/>
          <w:highlight w:val="none"/>
          <w:lang w:val="en-US" w:eastAsia="zh-CN"/>
          <w14:textFill>
            <w14:solidFill>
              <w14:schemeClr w14:val="tx1"/>
            </w14:solidFill>
          </w14:textFill>
        </w:rPr>
      </w:pPr>
      <w:r>
        <w:rPr>
          <w:color w:val="000000" w:themeColor="text1"/>
          <w:sz w:val="24"/>
          <w:szCs w:val="24"/>
          <w:highlight w:val="none"/>
          <w14:textFill>
            <w14:solidFill>
              <w14:schemeClr w14:val="tx1"/>
            </w14:solidFill>
          </w14:textFill>
        </w:rPr>
        <w:t>5.3</w:t>
      </w:r>
      <w:r>
        <w:rPr>
          <w:rFonts w:hint="eastAsia"/>
          <w:color w:val="000000" w:themeColor="text1"/>
          <w:sz w:val="24"/>
          <w:szCs w:val="24"/>
          <w:highlight w:val="none"/>
          <w14:textFill>
            <w14:solidFill>
              <w14:schemeClr w14:val="tx1"/>
            </w14:solidFill>
          </w14:textFill>
        </w:rPr>
        <w:t>乙方保证</w:t>
      </w:r>
      <w:r>
        <w:rPr>
          <w:rFonts w:hint="eastAsia"/>
          <w:color w:val="000000" w:themeColor="text1"/>
          <w:sz w:val="24"/>
          <w:szCs w:val="24"/>
          <w:highlight w:val="none"/>
          <w:lang w:val="en-US" w:eastAsia="zh-CN"/>
          <w14:textFill>
            <w14:solidFill>
              <w14:schemeClr w14:val="tx1"/>
            </w14:solidFill>
          </w14:textFill>
        </w:rPr>
        <w:t xml:space="preserve"> </w:t>
      </w:r>
    </w:p>
    <w:p w14:paraId="33CA0FE1">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乙方保证甲方及其授权的第三方能够合法地使用其提供的成果。如果任何第三人因甲方及其授权的第三方使用成果向甲方及其授权的第三方提出有关知识产权的任何索赔、要求停止使用、要求支付费用、诉讼、仲裁或其它不利于甲方及其授权的第三方之行为，乙方应当自费为甲方及其授权的第三方进行处理，并保证甲方及其授权的第三方能够正常使用成果，由此给甲方及其授权的第三方造成的一切损失由乙方承担（包括但不限于赔偿、补偿、诉讼费、仲裁费用、律师费、甲方的其他损失等）。</w:t>
      </w:r>
    </w:p>
    <w:p w14:paraId="2C1D9360">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5.4</w:t>
      </w:r>
      <w:r>
        <w:rPr>
          <w:rFonts w:hint="eastAsia"/>
          <w:color w:val="000000" w:themeColor="text1"/>
          <w:sz w:val="24"/>
          <w:szCs w:val="24"/>
          <w:highlight w:val="none"/>
          <w14:textFill>
            <w14:solidFill>
              <w14:schemeClr w14:val="tx1"/>
            </w14:solidFill>
          </w14:textFill>
        </w:rPr>
        <w:t>本合同条款的规定不因本合同的到期而失效。</w:t>
      </w:r>
    </w:p>
    <w:p w14:paraId="5EE74C7F">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5.</w:t>
      </w:r>
      <w:r>
        <w:rPr>
          <w:rFonts w:hint="eastAsia"/>
          <w:color w:val="000000" w:themeColor="text1"/>
          <w:sz w:val="24"/>
          <w:szCs w:val="24"/>
          <w:highlight w:val="none"/>
          <w14:textFill>
            <w14:solidFill>
              <w14:schemeClr w14:val="tx1"/>
            </w14:solidFill>
          </w14:textFill>
        </w:rPr>
        <w:t>5本合同约定的知识产权条款若有争议，均以中华人民共和国相关法律规定为准。</w:t>
      </w:r>
    </w:p>
    <w:p w14:paraId="7F60E5A2">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5.</w:t>
      </w:r>
      <w:r>
        <w:rPr>
          <w:rFonts w:hint="eastAsia"/>
          <w:color w:val="000000" w:themeColor="text1"/>
          <w:sz w:val="24"/>
          <w:szCs w:val="24"/>
          <w:highlight w:val="none"/>
          <w14:textFill>
            <w14:solidFill>
              <w14:schemeClr w14:val="tx1"/>
            </w14:solidFill>
          </w14:textFill>
        </w:rPr>
        <w:t>6技术文件均应按“技术部分”要求提交并经甲方确认，提交成果的技术规范应与招标文件的技术规格要求及其投标文件的规格偏差表(如果被甲方接受的话)相一致。若招标文件技术规格及要求中无相应说明，则以国家有关部门最新颁布的相应标准及规范为准。</w:t>
      </w:r>
    </w:p>
    <w:p w14:paraId="05F018CA">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5.7</w:t>
      </w:r>
      <w:r>
        <w:rPr>
          <w:rFonts w:hint="eastAsia"/>
          <w:color w:val="000000" w:themeColor="text1"/>
          <w:sz w:val="24"/>
          <w:szCs w:val="24"/>
          <w:highlight w:val="none"/>
          <w14:textFill>
            <w14:solidFill>
              <w14:schemeClr w14:val="tx1"/>
            </w14:solidFill>
          </w14:textFill>
        </w:rPr>
        <w:t>乙方应承担甲方完全按照技术文件的指导进行工作而导致损失的责任。</w:t>
      </w:r>
    </w:p>
    <w:p w14:paraId="3AE5966F">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5.</w:t>
      </w:r>
      <w:r>
        <w:rPr>
          <w:rFonts w:hint="eastAsia"/>
          <w:color w:val="000000" w:themeColor="text1"/>
          <w:sz w:val="24"/>
          <w:szCs w:val="24"/>
          <w:highlight w:val="none"/>
          <w14:textFill>
            <w14:solidFill>
              <w14:schemeClr w14:val="tx1"/>
            </w14:solidFill>
          </w14:textFill>
        </w:rPr>
        <w:t>8技术文件的全部费用已包含在合同价中。</w:t>
      </w:r>
    </w:p>
    <w:p w14:paraId="777A8F77">
      <w:pPr>
        <w:bidi w:val="0"/>
        <w:rPr>
          <w:color w:val="000000" w:themeColor="text1"/>
          <w:sz w:val="24"/>
          <w:szCs w:val="24"/>
          <w:highlight w:val="none"/>
          <w14:textFill>
            <w14:solidFill>
              <w14:schemeClr w14:val="tx1"/>
            </w14:solidFill>
          </w14:textFill>
        </w:rPr>
      </w:pPr>
      <w:bookmarkStart w:id="41" w:name="_Toc32175"/>
      <w:r>
        <w:rPr>
          <w:rFonts w:hint="eastAsia"/>
          <w:color w:val="000000" w:themeColor="text1"/>
          <w:sz w:val="24"/>
          <w:szCs w:val="24"/>
          <w:highlight w:val="none"/>
          <w14:textFill>
            <w14:solidFill>
              <w14:schemeClr w14:val="tx1"/>
            </w14:solidFill>
          </w14:textFill>
        </w:rPr>
        <w:t>6、保密</w:t>
      </w:r>
      <w:bookmarkEnd w:id="41"/>
    </w:p>
    <w:p w14:paraId="5F7827B4">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6.</w:t>
      </w:r>
      <w:r>
        <w:rPr>
          <w:rFonts w:hint="eastAsia"/>
          <w:color w:val="000000" w:themeColor="text1"/>
          <w:sz w:val="24"/>
          <w:szCs w:val="24"/>
          <w:highlight w:val="none"/>
          <w14:textFill>
            <w14:solidFill>
              <w14:schemeClr w14:val="tx1"/>
            </w14:solidFill>
          </w14:textFill>
        </w:rPr>
        <w:t>1任何一方对其在合同缔结和履行过程中获知的本合同及附件中其他各方的商业秘密和国家秘密负有保密义务。除非法律、法规另有规定或得到本合同之其他各方的书面许可，任何一方不得向第三人泄露上述规定的商业秘密和国家秘密。商业秘密的保密期限自任何一方获知商业秘密之日起至本条规定的秘密非因披露方过错成为公众信息之日止或合同终止之日起三年，以较晚的时间为准。国家秘密的保密期限按照法律法规的要求确定</w:t>
      </w:r>
    </w:p>
    <w:p w14:paraId="73F88C0D">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6.2</w:t>
      </w:r>
      <w:r>
        <w:rPr>
          <w:rFonts w:hint="eastAsia"/>
          <w:color w:val="000000" w:themeColor="text1"/>
          <w:sz w:val="24"/>
          <w:szCs w:val="24"/>
          <w:highlight w:val="none"/>
          <w14:textFill>
            <w14:solidFill>
              <w14:schemeClr w14:val="tx1"/>
            </w14:solidFill>
          </w14:textFill>
        </w:rPr>
        <w:t>没有甲方事先书面同意，乙方不得将由甲方或代表甲方提供的有关合同或任何合同条文、规格、计划、图纸、模型、样品或资料，以及乙方为甲方提供服务过程中获取的任何监测数据等提供给与履行本合同无关的任何其他人。如确需向与履行本合同有关的人员提供，应由乙方与其签订不低于本合同保密条款要求的保密协议并限于履行合同必须的范围。</w:t>
      </w:r>
    </w:p>
    <w:p w14:paraId="71208CF1">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6.3</w:t>
      </w:r>
      <w:r>
        <w:rPr>
          <w:rFonts w:hint="eastAsia"/>
          <w:color w:val="000000" w:themeColor="text1"/>
          <w:sz w:val="24"/>
          <w:szCs w:val="24"/>
          <w:highlight w:val="none"/>
          <w14:textFill>
            <w14:solidFill>
              <w14:schemeClr w14:val="tx1"/>
            </w14:solidFill>
          </w14:textFill>
        </w:rPr>
        <w:t>没有甲方事先书面同意，除了履行本合同之外，乙方不得复制、使用、许可他人使用与本项目相关的任何文件和资料，以及乙方为甲方提供服务过程中获取的任何监测数据。在合同履行完毕或合同终止后乙方应当立即将甲方或代表甲方提供的一切与合同履行有关的资料包括全部复制文件返还。</w:t>
      </w:r>
    </w:p>
    <w:p w14:paraId="7A581D79">
      <w:pPr>
        <w:bidi w:val="0"/>
        <w:rPr>
          <w:color w:val="000000" w:themeColor="text1"/>
          <w:sz w:val="24"/>
          <w:szCs w:val="24"/>
          <w:highlight w:val="none"/>
          <w14:textFill>
            <w14:solidFill>
              <w14:schemeClr w14:val="tx1"/>
            </w14:solidFill>
          </w14:textFill>
        </w:rPr>
      </w:pPr>
      <w:bookmarkStart w:id="42" w:name="_Toc15671"/>
      <w:r>
        <w:rPr>
          <w:rFonts w:hint="eastAsia"/>
          <w:color w:val="000000" w:themeColor="text1"/>
          <w:sz w:val="24"/>
          <w:szCs w:val="24"/>
          <w:highlight w:val="none"/>
          <w14:textFill>
            <w14:solidFill>
              <w14:schemeClr w14:val="tx1"/>
            </w14:solidFill>
          </w14:textFill>
        </w:rPr>
        <w:t>7、考核和验收</w:t>
      </w:r>
      <w:bookmarkEnd w:id="42"/>
    </w:p>
    <w:p w14:paraId="10A0E723">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7.</w:t>
      </w:r>
      <w:r>
        <w:rPr>
          <w:rFonts w:hint="eastAsia"/>
          <w:color w:val="000000" w:themeColor="text1"/>
          <w:sz w:val="24"/>
          <w:szCs w:val="24"/>
          <w:highlight w:val="none"/>
          <w14:textFill>
            <w14:solidFill>
              <w14:schemeClr w14:val="tx1"/>
            </w14:solidFill>
          </w14:textFill>
        </w:rPr>
        <w:t>1乙方依约提交成果及证明文件，甲方初步判断符合考核和验收条件后，组织开展考核和验收，对达不到考核要求或违规操作的，甲方可以扣减相应的运维费，并有权采取终止合同等措施。</w:t>
      </w:r>
    </w:p>
    <w:p w14:paraId="3BC537CC">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7.</w:t>
      </w:r>
      <w:r>
        <w:rPr>
          <w:rFonts w:hint="eastAsia"/>
          <w:color w:val="000000" w:themeColor="text1"/>
          <w:sz w:val="24"/>
          <w:szCs w:val="24"/>
          <w:highlight w:val="none"/>
          <w14:textFill>
            <w14:solidFill>
              <w14:schemeClr w14:val="tx1"/>
            </w14:solidFill>
          </w14:textFill>
        </w:rPr>
        <w:t>2乙方协助考核和验收的，负担本条款项下属于乙方负责的考核和验收的所有费用，并负责乙方派往甲方组织的考核和验收人员的所有费用。</w:t>
      </w:r>
    </w:p>
    <w:p w14:paraId="5CBE87A9">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7.3</w:t>
      </w:r>
      <w:r>
        <w:rPr>
          <w:rFonts w:hint="eastAsia"/>
          <w:color w:val="000000" w:themeColor="text1"/>
          <w:sz w:val="24"/>
          <w:szCs w:val="24"/>
          <w:highlight w:val="none"/>
          <w14:textFill>
            <w14:solidFill>
              <w14:schemeClr w14:val="tx1"/>
            </w14:solidFill>
          </w14:textFill>
        </w:rPr>
        <w:t>在任何情况下，任何考核和验收的结果均不免除乙方的合同责任。</w:t>
      </w:r>
    </w:p>
    <w:p w14:paraId="3C736F72">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7.</w:t>
      </w:r>
      <w:r>
        <w:rPr>
          <w:rFonts w:hint="eastAsia"/>
          <w:color w:val="000000" w:themeColor="text1"/>
          <w:sz w:val="24"/>
          <w:szCs w:val="24"/>
          <w:highlight w:val="none"/>
          <w14:textFill>
            <w14:solidFill>
              <w14:schemeClr w14:val="tx1"/>
            </w14:solidFill>
          </w14:textFill>
        </w:rPr>
        <w:t>4乙方保证诚信履约，依约提供符合合同要求的服务并配合甲方考核和验收，乙方及工作人员不得通过向相关人员提供好处的方式谋取合同利益，上述情况一经发现并确认属实，甲方有权直接认定考核或验收不合格，对应的合同款项不予拨付。</w:t>
      </w:r>
    </w:p>
    <w:p w14:paraId="2F181FA0">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7.</w:t>
      </w:r>
      <w:r>
        <w:rPr>
          <w:rFonts w:hint="eastAsia"/>
          <w:color w:val="000000" w:themeColor="text1"/>
          <w:sz w:val="24"/>
          <w:szCs w:val="24"/>
          <w:highlight w:val="none"/>
          <w14:textFill>
            <w14:solidFill>
              <w14:schemeClr w14:val="tx1"/>
            </w14:solidFill>
          </w14:textFill>
        </w:rPr>
        <w:t>5甲方组织开展运维管理和质控考核，对达不到运维要求或违规操作的，甲方可以扣减相应的运维费，并有权终止合同。考核和验收的主体、时间、方式、程序等详见合同附件2《履约验收方案》</w:t>
      </w:r>
    </w:p>
    <w:p w14:paraId="5E50BF13">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7.6</w:t>
      </w:r>
      <w:r>
        <w:rPr>
          <w:rFonts w:hint="eastAsia"/>
          <w:color w:val="000000" w:themeColor="text1"/>
          <w:sz w:val="24"/>
          <w:szCs w:val="24"/>
          <w:highlight w:val="none"/>
          <w14:textFill>
            <w14:solidFill>
              <w14:schemeClr w14:val="tx1"/>
            </w14:solidFill>
          </w14:textFill>
        </w:rPr>
        <w:t>考核依据</w:t>
      </w:r>
    </w:p>
    <w:p w14:paraId="25F51C94">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下列文件如有变更，以最新文件为准；如文件中有矛盾之处，以发布时间晚的文件为准；甲方保留对文件的解释权。</w:t>
      </w:r>
    </w:p>
    <w:p w14:paraId="718D9501">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《2024年海南省地表水跨界断面水质自动监测站运行维护服务项目委托合同》</w:t>
      </w:r>
    </w:p>
    <w:p w14:paraId="197DA3F2">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《国家地表水水质自动监测站运行维护管理实施细则》（总站办字〔20</w:t>
      </w:r>
      <w:r>
        <w:rPr>
          <w:color w:val="000000" w:themeColor="text1"/>
          <w:sz w:val="24"/>
          <w:szCs w:val="24"/>
          <w:highlight w:val="none"/>
          <w14:textFill>
            <w14:solidFill>
              <w14:schemeClr w14:val="tx1"/>
            </w14:solidFill>
          </w14:textFill>
        </w:rPr>
        <w:t>22</w:t>
      </w:r>
      <w:r>
        <w:rPr>
          <w:rFonts w:hint="eastAsia"/>
          <w:color w:val="000000" w:themeColor="text1"/>
          <w:sz w:val="24"/>
          <w:szCs w:val="24"/>
          <w:highlight w:val="none"/>
          <w14:textFill>
            <w14:solidFill>
              <w14:schemeClr w14:val="tx1"/>
            </w14:solidFill>
          </w14:textFill>
        </w:rPr>
        <w:t>〕</w:t>
      </w:r>
      <w:r>
        <w:rPr>
          <w:color w:val="000000" w:themeColor="text1"/>
          <w:sz w:val="24"/>
          <w:szCs w:val="24"/>
          <w:highlight w:val="none"/>
          <w14:textFill>
            <w14:solidFill>
              <w14:schemeClr w14:val="tx1"/>
            </w14:solidFill>
          </w14:textFill>
        </w:rPr>
        <w:t>494</w:t>
      </w:r>
      <w:r>
        <w:rPr>
          <w:rFonts w:hint="eastAsia"/>
          <w:color w:val="000000" w:themeColor="text1"/>
          <w:sz w:val="24"/>
          <w:szCs w:val="24"/>
          <w:highlight w:val="none"/>
          <w14:textFill>
            <w14:solidFill>
              <w14:schemeClr w14:val="tx1"/>
            </w14:solidFill>
          </w14:textFill>
        </w:rPr>
        <w:t>号）</w:t>
      </w:r>
    </w:p>
    <w:p w14:paraId="18663140">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《地表水水质自动监测站运行维护技术要求（试行）》（总站水字〔2019〕649号）</w:t>
      </w:r>
    </w:p>
    <w:p w14:paraId="0B1C27B4">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《国家地表水水质自动站盲样考核管理规定（试行）》（总站水字〔2020〕533号）</w:t>
      </w:r>
    </w:p>
    <w:p w14:paraId="06C141AD">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《国家地表水水质自动监测站补充监测技术规定》（总站办字〔20</w:t>
      </w:r>
      <w:r>
        <w:rPr>
          <w:color w:val="000000" w:themeColor="text1"/>
          <w:sz w:val="24"/>
          <w:szCs w:val="24"/>
          <w:highlight w:val="none"/>
          <w14:textFill>
            <w14:solidFill>
              <w14:schemeClr w14:val="tx1"/>
            </w14:solidFill>
          </w14:textFill>
        </w:rPr>
        <w:t>22</w:t>
      </w:r>
      <w:r>
        <w:rPr>
          <w:rFonts w:hint="eastAsia"/>
          <w:color w:val="000000" w:themeColor="text1"/>
          <w:sz w:val="24"/>
          <w:szCs w:val="24"/>
          <w:highlight w:val="none"/>
          <w14:textFill>
            <w14:solidFill>
              <w14:schemeClr w14:val="tx1"/>
            </w14:solidFill>
          </w14:textFill>
        </w:rPr>
        <w:t>〕</w:t>
      </w:r>
      <w:r>
        <w:rPr>
          <w:color w:val="000000" w:themeColor="text1"/>
          <w:sz w:val="24"/>
          <w:szCs w:val="24"/>
          <w:highlight w:val="none"/>
          <w14:textFill>
            <w14:solidFill>
              <w14:schemeClr w14:val="tx1"/>
            </w14:solidFill>
          </w14:textFill>
        </w:rPr>
        <w:t>494</w:t>
      </w:r>
      <w:r>
        <w:rPr>
          <w:rFonts w:hint="eastAsia"/>
          <w:color w:val="000000" w:themeColor="text1"/>
          <w:sz w:val="24"/>
          <w:szCs w:val="24"/>
          <w:highlight w:val="none"/>
          <w14:textFill>
            <w14:solidFill>
              <w14:schemeClr w14:val="tx1"/>
            </w14:solidFill>
          </w14:textFill>
        </w:rPr>
        <w:t>号）</w:t>
      </w:r>
    </w:p>
    <w:p w14:paraId="7FFA859D">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《国家地表水水质自动监测数据审核技术细则（试行）》</w:t>
      </w:r>
    </w:p>
    <w:p w14:paraId="62C096E1">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《国家地表水水质自动监测数据审核管理办法（试行）》</w:t>
      </w:r>
    </w:p>
    <w:p w14:paraId="2C0D4F06">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7.7</w:t>
      </w:r>
      <w:r>
        <w:rPr>
          <w:rFonts w:hint="eastAsia"/>
          <w:color w:val="000000" w:themeColor="text1"/>
          <w:sz w:val="24"/>
          <w:szCs w:val="24"/>
          <w:highlight w:val="none"/>
          <w14:textFill>
            <w14:solidFill>
              <w14:schemeClr w14:val="tx1"/>
            </w14:solidFill>
          </w14:textFill>
        </w:rPr>
        <w:t>考核办法</w:t>
      </w:r>
    </w:p>
    <w:p w14:paraId="394C776E">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甲方每季度对乙方运维水站的运行情况进行考核。采取单站考核的方式考核内容以站点数据有效率为主，兼顾盲样考核、驻站人员管理、固定资产管理以及运行维护规范性等。</w:t>
      </w:r>
    </w:p>
    <w:p w14:paraId="55BFA431">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7.7.1</w:t>
      </w:r>
      <w:r>
        <w:rPr>
          <w:rFonts w:hint="eastAsia"/>
          <w:color w:val="000000" w:themeColor="text1"/>
          <w:sz w:val="24"/>
          <w:szCs w:val="24"/>
          <w:highlight w:val="none"/>
          <w14:textFill>
            <w14:solidFill>
              <w14:schemeClr w14:val="tx1"/>
            </w14:solidFill>
          </w14:textFill>
        </w:rPr>
        <w:t>数据有效率</w:t>
      </w:r>
    </w:p>
    <w:p w14:paraId="64754C1F">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（1）数据有效率计算</w:t>
      </w:r>
    </w:p>
    <w:p w14:paraId="069D4DA6">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①正常运行</w:t>
      </w:r>
    </w:p>
    <w:p w14:paraId="1956F77E">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正常运行期间数据有效率=（应获取数据-无效数据）/应获取数据*100%</w:t>
      </w:r>
    </w:p>
    <w:p w14:paraId="76A3C219">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其中，“应获取数据”为按照监测频次要求扣除停运时段后理论应有的监测数据，以平台导出结果为准；“无效数据”为仪器故障、质控不合格期间产生的数据或经数据审核人员审核确认为无效的数据</w:t>
      </w:r>
    </w:p>
    <w:p w14:paraId="2504B817">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②非正常运行</w:t>
      </w:r>
    </w:p>
    <w:p w14:paraId="259C604D">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水站运行过程中，因停电、停水（自来水）、采水设施损坏、高浊度或不可抗力因素（断流或水位过低、地震、暴雨、台风等）等导致停站而数据缺失或数据无效时，乙方应及时告知甲方并根据实际情况判断是否开展补充监测。</w:t>
      </w:r>
    </w:p>
    <w:p w14:paraId="29F2741B">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w:t>
      </w:r>
      <w:r>
        <w:rPr>
          <w:rFonts w:hint="eastAsia"/>
          <w:color w:val="000000" w:themeColor="text1"/>
          <w:sz w:val="24"/>
          <w:szCs w:val="24"/>
          <w:highlight w:val="none"/>
          <w14:textFill>
            <w14:solidFill>
              <w14:schemeClr w14:val="tx1"/>
            </w14:solidFill>
          </w14:textFill>
        </w:rPr>
        <w:t>）具备补充监测条件的，根据《国家地表水水质自动监测站运行维护管理实施细则》（总站办字〔20</w:t>
      </w:r>
      <w:r>
        <w:rPr>
          <w:color w:val="000000" w:themeColor="text1"/>
          <w:sz w:val="24"/>
          <w:szCs w:val="24"/>
          <w:highlight w:val="none"/>
          <w14:textFill>
            <w14:solidFill>
              <w14:schemeClr w14:val="tx1"/>
            </w14:solidFill>
          </w14:textFill>
        </w:rPr>
        <w:t>22</w:t>
      </w:r>
      <w:r>
        <w:rPr>
          <w:rFonts w:hint="eastAsia"/>
          <w:color w:val="000000" w:themeColor="text1"/>
          <w:sz w:val="24"/>
          <w:szCs w:val="24"/>
          <w:highlight w:val="none"/>
          <w14:textFill>
            <w14:solidFill>
              <w14:schemeClr w14:val="tx1"/>
            </w14:solidFill>
          </w14:textFill>
        </w:rPr>
        <w:t>〕</w:t>
      </w:r>
      <w:r>
        <w:rPr>
          <w:color w:val="000000" w:themeColor="text1"/>
          <w:sz w:val="24"/>
          <w:szCs w:val="24"/>
          <w:highlight w:val="none"/>
          <w14:textFill>
            <w14:solidFill>
              <w14:schemeClr w14:val="tx1"/>
            </w14:solidFill>
          </w14:textFill>
        </w:rPr>
        <w:t>494</w:t>
      </w:r>
      <w:r>
        <w:rPr>
          <w:rFonts w:hint="eastAsia"/>
          <w:color w:val="000000" w:themeColor="text1"/>
          <w:sz w:val="24"/>
          <w:szCs w:val="24"/>
          <w:highlight w:val="none"/>
          <w14:textFill>
            <w14:solidFill>
              <w14:schemeClr w14:val="tx1"/>
            </w14:solidFill>
          </w14:textFill>
        </w:rPr>
        <w:t>号）《国家地表水水质自动监测站补充监测技术规定》（总站办字〔20</w:t>
      </w:r>
      <w:r>
        <w:rPr>
          <w:color w:val="000000" w:themeColor="text1"/>
          <w:sz w:val="24"/>
          <w:szCs w:val="24"/>
          <w:highlight w:val="none"/>
          <w14:textFill>
            <w14:solidFill>
              <w14:schemeClr w14:val="tx1"/>
            </w14:solidFill>
          </w14:textFill>
        </w:rPr>
        <w:t>22</w:t>
      </w:r>
      <w:r>
        <w:rPr>
          <w:rFonts w:hint="eastAsia"/>
          <w:color w:val="000000" w:themeColor="text1"/>
          <w:sz w:val="24"/>
          <w:szCs w:val="24"/>
          <w:highlight w:val="none"/>
          <w14:textFill>
            <w14:solidFill>
              <w14:schemeClr w14:val="tx1"/>
            </w14:solidFill>
          </w14:textFill>
        </w:rPr>
        <w:t>〕</w:t>
      </w:r>
      <w:r>
        <w:rPr>
          <w:color w:val="000000" w:themeColor="text1"/>
          <w:sz w:val="24"/>
          <w:szCs w:val="24"/>
          <w:highlight w:val="none"/>
          <w14:textFill>
            <w14:solidFill>
              <w14:schemeClr w14:val="tx1"/>
            </w14:solidFill>
          </w14:textFill>
        </w:rPr>
        <w:t>494</w:t>
      </w:r>
      <w:r>
        <w:rPr>
          <w:rFonts w:hint="eastAsia"/>
          <w:color w:val="000000" w:themeColor="text1"/>
          <w:sz w:val="24"/>
          <w:szCs w:val="24"/>
          <w:highlight w:val="none"/>
          <w14:textFill>
            <w14:solidFill>
              <w14:schemeClr w14:val="tx1"/>
            </w14:solidFill>
          </w14:textFill>
        </w:rPr>
        <w:t>号）要求，乙方应对非正常运行水站开展补充监测。补测的数据应满足相关质控要求，并应在规定的时间内上传平台，否则按无效数据处理。</w:t>
      </w:r>
    </w:p>
    <w:p w14:paraId="6108CC79">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计算公式：</w:t>
      </w:r>
    </w:p>
    <w:p w14:paraId="4B29464D">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非正常运行期间数据有效率=（实际补测数据-无效数据）/应补测数据</w:t>
      </w:r>
      <w:r>
        <w:rPr>
          <w:color w:val="000000" w:themeColor="text1"/>
          <w:sz w:val="24"/>
          <w:szCs w:val="24"/>
          <w:highlight w:val="none"/>
          <w14:textFill>
            <w14:solidFill>
              <w14:schemeClr w14:val="tx1"/>
            </w14:solidFill>
          </w14:textFill>
        </w:rPr>
        <w:t>*100%</w:t>
      </w:r>
    </w:p>
    <w:p w14:paraId="2847A259">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2</w:t>
      </w:r>
      <w:r>
        <w:rPr>
          <w:rFonts w:hint="eastAsia"/>
          <w:color w:val="000000" w:themeColor="text1"/>
          <w:sz w:val="24"/>
          <w:szCs w:val="24"/>
          <w:highlight w:val="none"/>
          <w14:textFill>
            <w14:solidFill>
              <w14:schemeClr w14:val="tx1"/>
            </w14:solidFill>
          </w14:textFill>
        </w:rPr>
        <w:t>）不具备补充监测条件的，乙方有义务采取必要措施最大限度的减少国家财产的损失，包括仪器设备保管以及必要性维护工作。</w:t>
      </w:r>
    </w:p>
    <w:p w14:paraId="3DFA0E85">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（2）运维费支付</w:t>
      </w:r>
    </w:p>
    <w:p w14:paraId="7A892E1E">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常规参数（水温、pH值、溶解氧、电导率、浊度、氨氮、高锰酸盐指数、总磷、总氮）</w:t>
      </w:r>
    </w:p>
    <w:p w14:paraId="547A64E6">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w:t>
      </w:r>
      <w:r>
        <w:rPr>
          <w:rFonts w:hint="eastAsia"/>
          <w:color w:val="000000" w:themeColor="text1"/>
          <w:sz w:val="24"/>
          <w:szCs w:val="24"/>
          <w:highlight w:val="none"/>
          <w14:textFill>
            <w14:solidFill>
              <w14:schemeClr w14:val="tx1"/>
            </w14:solidFill>
          </w14:textFill>
        </w:rPr>
        <w:t>）单站考核周期内监测数据有效率高于</w:t>
      </w:r>
      <w:r>
        <w:rPr>
          <w:rFonts w:hint="eastAsia"/>
          <w:color w:val="000000" w:themeColor="text1"/>
          <w:sz w:val="24"/>
          <w:szCs w:val="24"/>
          <w:highlight w:val="none"/>
          <w:lang w:val="en-US" w:eastAsia="zh-CN"/>
          <w14:textFill>
            <w14:solidFill>
              <w14:schemeClr w14:val="tx1"/>
            </w14:solidFill>
          </w14:textFill>
        </w:rPr>
        <w:t>90</w:t>
      </w:r>
      <w:r>
        <w:rPr>
          <w:rFonts w:hint="eastAsia"/>
          <w:color w:val="000000" w:themeColor="text1"/>
          <w:sz w:val="24"/>
          <w:szCs w:val="24"/>
          <w:highlight w:val="none"/>
          <w14:textFill>
            <w14:solidFill>
              <w14:schemeClr w14:val="tx1"/>
            </w14:solidFill>
          </w14:textFill>
        </w:rPr>
        <w:t>%，不扣款。</w:t>
      </w:r>
    </w:p>
    <w:p w14:paraId="12D0BD93">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2</w:t>
      </w:r>
      <w:r>
        <w:rPr>
          <w:rFonts w:hint="eastAsia"/>
          <w:color w:val="000000" w:themeColor="text1"/>
          <w:sz w:val="24"/>
          <w:szCs w:val="24"/>
          <w:highlight w:val="none"/>
          <w14:textFill>
            <w14:solidFill>
              <w14:schemeClr w14:val="tx1"/>
            </w14:solidFill>
          </w14:textFill>
        </w:rPr>
        <w:t>）单站考核周期内监测数据有效率在7</w:t>
      </w:r>
      <w:r>
        <w:rPr>
          <w:rFonts w:hint="eastAsia"/>
          <w:color w:val="000000" w:themeColor="text1"/>
          <w:sz w:val="24"/>
          <w:szCs w:val="24"/>
          <w:highlight w:val="none"/>
          <w:lang w:val="en-US" w:eastAsia="zh-CN"/>
          <w14:textFill>
            <w14:solidFill>
              <w14:schemeClr w14:val="tx1"/>
            </w14:solidFill>
          </w14:textFill>
        </w:rPr>
        <w:t>5</w:t>
      </w:r>
      <w:r>
        <w:rPr>
          <w:rFonts w:hint="eastAsia"/>
          <w:color w:val="000000" w:themeColor="text1"/>
          <w:sz w:val="24"/>
          <w:szCs w:val="24"/>
          <w:highlight w:val="none"/>
          <w14:textFill>
            <w14:solidFill>
              <w14:schemeClr w14:val="tx1"/>
            </w14:solidFill>
          </w14:textFill>
        </w:rPr>
        <w:t>%（不含）-</w:t>
      </w:r>
      <w:r>
        <w:rPr>
          <w:rFonts w:hint="eastAsia"/>
          <w:color w:val="000000" w:themeColor="text1"/>
          <w:sz w:val="24"/>
          <w:szCs w:val="24"/>
          <w:highlight w:val="none"/>
          <w:lang w:val="en-US" w:eastAsia="zh-CN"/>
          <w14:textFill>
            <w14:solidFill>
              <w14:schemeClr w14:val="tx1"/>
            </w14:solidFill>
          </w14:textFill>
        </w:rPr>
        <w:t>90</w:t>
      </w:r>
      <w:r>
        <w:rPr>
          <w:rFonts w:hint="eastAsia"/>
          <w:color w:val="000000" w:themeColor="text1"/>
          <w:sz w:val="24"/>
          <w:szCs w:val="24"/>
          <w:highlight w:val="none"/>
          <w14:textFill>
            <w14:solidFill>
              <w14:schemeClr w14:val="tx1"/>
            </w14:solidFill>
          </w14:textFill>
        </w:rPr>
        <w:t>%（含），扣除该付款周期运维费10%，并责令整改。</w:t>
      </w:r>
    </w:p>
    <w:p w14:paraId="79F84AA7">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3</w:t>
      </w:r>
      <w:r>
        <w:rPr>
          <w:rFonts w:hint="eastAsia"/>
          <w:color w:val="000000" w:themeColor="text1"/>
          <w:sz w:val="24"/>
          <w:szCs w:val="24"/>
          <w:highlight w:val="none"/>
          <w14:textFill>
            <w14:solidFill>
              <w14:schemeClr w14:val="tx1"/>
            </w14:solidFill>
          </w14:textFill>
        </w:rPr>
        <w:t>）单站考核周期内监测数据有效率在6</w:t>
      </w:r>
      <w:r>
        <w:rPr>
          <w:rFonts w:hint="eastAsia"/>
          <w:color w:val="000000" w:themeColor="text1"/>
          <w:sz w:val="24"/>
          <w:szCs w:val="24"/>
          <w:highlight w:val="none"/>
          <w:lang w:val="en-US" w:eastAsia="zh-CN"/>
          <w14:textFill>
            <w14:solidFill>
              <w14:schemeClr w14:val="tx1"/>
            </w14:solidFill>
          </w14:textFill>
        </w:rPr>
        <w:t>5</w:t>
      </w:r>
      <w:r>
        <w:rPr>
          <w:rFonts w:hint="eastAsia"/>
          <w:color w:val="000000" w:themeColor="text1"/>
          <w:sz w:val="24"/>
          <w:szCs w:val="24"/>
          <w:highlight w:val="none"/>
          <w14:textFill>
            <w14:solidFill>
              <w14:schemeClr w14:val="tx1"/>
            </w14:solidFill>
          </w14:textFill>
        </w:rPr>
        <w:t>%（含）-7</w:t>
      </w:r>
      <w:r>
        <w:rPr>
          <w:rFonts w:hint="eastAsia"/>
          <w:color w:val="000000" w:themeColor="text1"/>
          <w:sz w:val="24"/>
          <w:szCs w:val="24"/>
          <w:highlight w:val="none"/>
          <w:lang w:val="en-US" w:eastAsia="zh-CN"/>
          <w14:textFill>
            <w14:solidFill>
              <w14:schemeClr w14:val="tx1"/>
            </w14:solidFill>
          </w14:textFill>
        </w:rPr>
        <w:t>5</w:t>
      </w:r>
      <w:r>
        <w:rPr>
          <w:rFonts w:hint="eastAsia"/>
          <w:color w:val="000000" w:themeColor="text1"/>
          <w:sz w:val="24"/>
          <w:szCs w:val="24"/>
          <w:highlight w:val="none"/>
          <w14:textFill>
            <w14:solidFill>
              <w14:schemeClr w14:val="tx1"/>
            </w14:solidFill>
          </w14:textFill>
        </w:rPr>
        <w:t>%（含），扣除该付款周期运维费30%，并责令整改。</w:t>
      </w:r>
    </w:p>
    <w:p w14:paraId="448A2907">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4</w:t>
      </w:r>
      <w:r>
        <w:rPr>
          <w:rFonts w:hint="eastAsia"/>
          <w:color w:val="000000" w:themeColor="text1"/>
          <w:sz w:val="24"/>
          <w:szCs w:val="24"/>
          <w:highlight w:val="none"/>
          <w14:textFill>
            <w14:solidFill>
              <w14:schemeClr w14:val="tx1"/>
            </w14:solidFill>
          </w14:textFill>
        </w:rPr>
        <w:t>）上述1）-3）所列条款中，当存在单参数考核周期内监测数据有效率低于</w:t>
      </w:r>
      <w:r>
        <w:rPr>
          <w:rFonts w:hint="eastAsia"/>
          <w:color w:val="000000" w:themeColor="text1"/>
          <w:sz w:val="24"/>
          <w:szCs w:val="24"/>
          <w:highlight w:val="none"/>
          <w:lang w:val="en-US" w:eastAsia="zh-CN"/>
          <w14:textFill>
            <w14:solidFill>
              <w14:schemeClr w14:val="tx1"/>
            </w14:solidFill>
          </w14:textFill>
        </w:rPr>
        <w:t>80</w:t>
      </w:r>
      <w:r>
        <w:rPr>
          <w:rFonts w:hint="eastAsia"/>
          <w:color w:val="000000" w:themeColor="text1"/>
          <w:sz w:val="24"/>
          <w:szCs w:val="24"/>
          <w:highlight w:val="none"/>
          <w14:textFill>
            <w14:solidFill>
              <w14:schemeClr w14:val="tx1"/>
            </w14:solidFill>
          </w14:textFill>
        </w:rPr>
        <w:t>%的情形时，增扣该付款周期运维费5%。</w:t>
      </w:r>
    </w:p>
    <w:p w14:paraId="39579500">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5）单站考核周期内监测数据有效率低于6</w:t>
      </w:r>
      <w:r>
        <w:rPr>
          <w:rFonts w:hint="eastAsia"/>
          <w:color w:val="000000" w:themeColor="text1"/>
          <w:sz w:val="24"/>
          <w:szCs w:val="24"/>
          <w:highlight w:val="none"/>
          <w:lang w:val="en-US" w:eastAsia="zh-CN"/>
          <w14:textFill>
            <w14:solidFill>
              <w14:schemeClr w14:val="tx1"/>
            </w14:solidFill>
          </w14:textFill>
        </w:rPr>
        <w:t>5</w:t>
      </w:r>
      <w:r>
        <w:rPr>
          <w:rFonts w:hint="eastAsia"/>
          <w:color w:val="000000" w:themeColor="text1"/>
          <w:sz w:val="24"/>
          <w:szCs w:val="24"/>
          <w:highlight w:val="none"/>
          <w14:textFill>
            <w14:solidFill>
              <w14:schemeClr w14:val="tx1"/>
            </w14:solidFill>
          </w14:textFill>
        </w:rPr>
        <w:t>%，扣除该付款周期全部运维费。</w:t>
      </w:r>
    </w:p>
    <w:p w14:paraId="3403756E">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（3）不具备补充监测条件</w:t>
      </w:r>
    </w:p>
    <w:p w14:paraId="55D47D27">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停运期间，乙方应保证仪器设备及环境设施设备的安全，并关注现场环境变化，具备条件后应及时恢复运行。</w:t>
      </w:r>
    </w:p>
    <w:p w14:paraId="6C4C0297">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7.7.2</w:t>
      </w:r>
      <w:r>
        <w:rPr>
          <w:rFonts w:hint="eastAsia"/>
          <w:color w:val="000000" w:themeColor="text1"/>
          <w:sz w:val="24"/>
          <w:szCs w:val="24"/>
          <w:highlight w:val="none"/>
          <w14:textFill>
            <w14:solidFill>
              <w14:schemeClr w14:val="tx1"/>
            </w14:solidFill>
          </w14:textFill>
        </w:rPr>
        <w:t>盲样考核</w:t>
      </w:r>
    </w:p>
    <w:p w14:paraId="28A2E1CD">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乙方应按照《国家地表水水质自动监测站盲样考核管理规定（试行）》（总站水字〔2020〕533号）和《2</w:t>
      </w:r>
      <w:r>
        <w:rPr>
          <w:color w:val="000000" w:themeColor="text1"/>
          <w:sz w:val="24"/>
          <w:szCs w:val="24"/>
          <w:highlight w:val="none"/>
          <w14:textFill>
            <w14:solidFill>
              <w14:schemeClr w14:val="tx1"/>
            </w14:solidFill>
          </w14:textFill>
        </w:rPr>
        <w:t>024</w:t>
      </w:r>
      <w:r>
        <w:rPr>
          <w:rFonts w:hint="eastAsia"/>
          <w:color w:val="000000" w:themeColor="text1"/>
          <w:sz w:val="24"/>
          <w:szCs w:val="24"/>
          <w:highlight w:val="none"/>
          <w14:textFill>
            <w14:solidFill>
              <w14:schemeClr w14:val="tx1"/>
            </w14:solidFill>
          </w14:textFill>
        </w:rPr>
        <w:t>年海南省生态环境监测方案》的要求配合开展盲样考核工作，每出现1个盲样考核不合格的参数扣除当月运维费的20%。</w:t>
      </w:r>
    </w:p>
    <w:p w14:paraId="32E5B876">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7.7.3</w:t>
      </w:r>
      <w:r>
        <w:rPr>
          <w:rFonts w:hint="eastAsia"/>
          <w:color w:val="000000" w:themeColor="text1"/>
          <w:sz w:val="24"/>
          <w:szCs w:val="24"/>
          <w:highlight w:val="none"/>
          <w14:textFill>
            <w14:solidFill>
              <w14:schemeClr w14:val="tx1"/>
            </w14:solidFill>
          </w14:textFill>
        </w:rPr>
        <w:t>驻站人员管理</w:t>
      </w:r>
    </w:p>
    <w:p w14:paraId="6313811D">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在项目实施过程中，乙方应根据合同安排符合甲方要求的人员驻站工作，服务期内驻站人员应在甲方指定地点配合开展相关工作。乙方不得随意更换驻站人员，确需更换应征得甲方同意。</w:t>
      </w:r>
    </w:p>
    <w:p w14:paraId="388D2675">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7.7.4</w:t>
      </w:r>
      <w:r>
        <w:rPr>
          <w:rFonts w:hint="eastAsia"/>
          <w:color w:val="000000" w:themeColor="text1"/>
          <w:sz w:val="24"/>
          <w:szCs w:val="24"/>
          <w:highlight w:val="none"/>
          <w14:textFill>
            <w14:solidFill>
              <w14:schemeClr w14:val="tx1"/>
            </w14:solidFill>
          </w14:textFill>
        </w:rPr>
        <w:t>固定资产管理</w:t>
      </w:r>
    </w:p>
    <w:p w14:paraId="29C0D496">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乙方及人员蓄意破坏</w:t>
      </w:r>
      <w:r>
        <w:rPr>
          <w:rFonts w:hint="eastAsia"/>
          <w:color w:val="000000" w:themeColor="text1"/>
          <w:sz w:val="24"/>
          <w:szCs w:val="24"/>
          <w:highlight w:val="none"/>
          <w:lang w:val="en-US" w:eastAsia="zh-CN"/>
          <w14:textFill>
            <w14:solidFill>
              <w14:schemeClr w14:val="tx1"/>
            </w14:solidFill>
          </w14:textFill>
        </w:rPr>
        <w:t>跨界</w:t>
      </w:r>
      <w:r>
        <w:rPr>
          <w:rFonts w:hint="eastAsia"/>
          <w:color w:val="000000" w:themeColor="text1"/>
          <w:sz w:val="24"/>
          <w:szCs w:val="24"/>
          <w:highlight w:val="none"/>
          <w14:textFill>
            <w14:solidFill>
              <w14:schemeClr w14:val="tx1"/>
            </w14:solidFill>
          </w14:textFill>
        </w:rPr>
        <w:t>水站固定资产，或私自外借、出租、抵押的，将交由相关机构处理；出现国有资产损失或流失的，相关责任人要按原价赔偿，并追究法律责任。</w:t>
      </w:r>
    </w:p>
    <w:p w14:paraId="4CECD9B7">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7.7.5</w:t>
      </w:r>
      <w:r>
        <w:rPr>
          <w:rFonts w:hint="eastAsia"/>
          <w:color w:val="000000" w:themeColor="text1"/>
          <w:sz w:val="24"/>
          <w:szCs w:val="24"/>
          <w:highlight w:val="none"/>
          <w14:textFill>
            <w14:solidFill>
              <w14:schemeClr w14:val="tx1"/>
            </w14:solidFill>
          </w14:textFill>
        </w:rPr>
        <w:t>运行维护规范性</w:t>
      </w:r>
    </w:p>
    <w:p w14:paraId="4ECF1936">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经甲方认定，乙方存在下列情形的，将根据相应规定进行扣款：</w:t>
      </w:r>
    </w:p>
    <w:p w14:paraId="2EE9CEBA">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（1）每月3次存在以下情形时，一经查实，扣除该站点当月20%的运维费；每月6次存在以下情形时，一经查实，扣除该站点当月50%的运维费。</w:t>
      </w:r>
    </w:p>
    <w:p w14:paraId="222AC34A">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①乙方应在每天1</w:t>
      </w:r>
      <w:r>
        <w:rPr>
          <w:color w:val="000000" w:themeColor="text1"/>
          <w:sz w:val="24"/>
          <w:szCs w:val="24"/>
          <w:highlight w:val="none"/>
          <w14:textFill>
            <w14:solidFill>
              <w14:schemeClr w14:val="tx1"/>
            </w14:solidFill>
          </w14:textFill>
        </w:rPr>
        <w:t>0</w:t>
      </w:r>
      <w:r>
        <w:rPr>
          <w:rFonts w:hint="eastAsia"/>
          <w:color w:val="000000" w:themeColor="text1"/>
          <w:sz w:val="24"/>
          <w:szCs w:val="24"/>
          <w:highlight w:val="none"/>
          <w14:textFill>
            <w14:solidFill>
              <w14:schemeClr w14:val="tx1"/>
            </w14:solidFill>
          </w14:textFill>
        </w:rPr>
        <w:t>时前和每周一8时前，完成前一日数据审核工作；</w:t>
      </w:r>
    </w:p>
    <w:p w14:paraId="0914A902">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②乙方发现非运维人员进入站房后有干扰正常监测行为，未及时制止并上报甲方的；</w:t>
      </w:r>
    </w:p>
    <w:p w14:paraId="091FDDAA">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③分析仪器监测结果出现异常，但乙方未及时响应并未采取有效措施的；</w:t>
      </w:r>
    </w:p>
    <w:p w14:paraId="776A133C">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④乙方未按要求进行例行维护，定期完成试剂更换、仪器校准、核查等维护工作的；</w:t>
      </w:r>
    </w:p>
    <w:p w14:paraId="07EB2A56">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⑤乙方未定期进行站房、采水口及采水构筑物、采水管路、辅助设施等清洁维护工作的；</w:t>
      </w:r>
    </w:p>
    <w:p w14:paraId="421866D4">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⑥乙方未按要求在平台进行运维记录填写或填写不规范的；</w:t>
      </w:r>
    </w:p>
    <w:p w14:paraId="50B13B0A">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⑦乙方存在其他不符合《国家地表水水质自动监测站运行维护技术要求（试行）》等要求的情形；</w:t>
      </w:r>
    </w:p>
    <w:p w14:paraId="56B58E71">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（2）发现监测点位出现未经批准的变更，未及时上报的，扣除该站点考核周期内20%运维费。</w:t>
      </w:r>
    </w:p>
    <w:p w14:paraId="18DB7021">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（3）发现有人为干扰采样情形，未及时上报的，扣除该站点考核周期内20%运维费。</w:t>
      </w:r>
    </w:p>
    <w:p w14:paraId="38DD78BA">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（4）常规参数（水温、pH</w:t>
      </w:r>
      <w:r>
        <w:rPr>
          <w:color w:val="000000" w:themeColor="text1"/>
          <w:sz w:val="24"/>
          <w:szCs w:val="24"/>
          <w:highlight w:val="none"/>
          <w14:textFill>
            <w14:solidFill>
              <w14:schemeClr w14:val="tx1"/>
            </w14:solidFill>
          </w14:textFill>
        </w:rPr>
        <w:t xml:space="preserve"> </w:t>
      </w:r>
      <w:r>
        <w:rPr>
          <w:rFonts w:hint="eastAsia"/>
          <w:color w:val="000000" w:themeColor="text1"/>
          <w:sz w:val="24"/>
          <w:szCs w:val="24"/>
          <w:highlight w:val="none"/>
          <w14:textFill>
            <w14:solidFill>
              <w14:schemeClr w14:val="tx1"/>
            </w14:solidFill>
          </w14:textFill>
        </w:rPr>
        <w:t>值、溶解氧、电导率、浊度、氨氮、高锰酸盐指数、总磷、总氮）设备故障，未在48h内修复或启用备机替换并将监测数据上传平台的，每出现1次超期未解决情况扣除当月运维费的10%，扣完为止。</w:t>
      </w:r>
    </w:p>
    <w:p w14:paraId="7603DCAC">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（5）经甲方认定，乙方使用虚假信息进行停运申请和操作的，扣除该站点当月运维费。</w:t>
      </w:r>
    </w:p>
    <w:p w14:paraId="51901766">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（6）存在其他严重违反合同约定或《国家地表水水质自动监测站运行维护技术要求（试行）》的情形，甲方根据实际情况酌情扣款。</w:t>
      </w:r>
    </w:p>
    <w:p w14:paraId="208EDB74">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7.8</w:t>
      </w:r>
      <w:r>
        <w:rPr>
          <w:rFonts w:hint="eastAsia"/>
          <w:color w:val="000000" w:themeColor="text1"/>
          <w:sz w:val="24"/>
          <w:szCs w:val="24"/>
          <w:highlight w:val="none"/>
          <w14:textFill>
            <w14:solidFill>
              <w14:schemeClr w14:val="tx1"/>
            </w14:solidFill>
          </w14:textFill>
        </w:rPr>
        <w:t>其他规定</w:t>
      </w:r>
    </w:p>
    <w:p w14:paraId="755CBDFD">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7.8.1</w:t>
      </w:r>
      <w:r>
        <w:rPr>
          <w:rFonts w:hint="eastAsia"/>
          <w:color w:val="000000" w:themeColor="text1"/>
          <w:sz w:val="24"/>
          <w:szCs w:val="24"/>
          <w:highlight w:val="none"/>
          <w14:textFill>
            <w14:solidFill>
              <w14:schemeClr w14:val="tx1"/>
            </w14:solidFill>
          </w14:textFill>
        </w:rPr>
        <w:t>运维交接</w:t>
      </w:r>
    </w:p>
    <w:p w14:paraId="11EC4309">
      <w:pPr>
        <w:adjustRightInd w:val="0"/>
        <w:snapToGrid w:val="0"/>
        <w:spacing w:line="360" w:lineRule="auto"/>
        <w:ind w:firstLine="480" w:firstLineChars="200"/>
        <w:jc w:val="left"/>
        <w:rPr>
          <w:rFonts w:hint="default" w:eastAsia="宋体"/>
          <w:color w:val="000000" w:themeColor="text1"/>
          <w:sz w:val="24"/>
          <w:szCs w:val="24"/>
          <w:highlight w:val="none"/>
          <w:lang w:val="en-US" w:eastAsia="zh-CN"/>
          <w14:textFill>
            <w14:solidFill>
              <w14:schemeClr w14:val="tx1"/>
            </w14:solidFill>
          </w14:textFill>
        </w:rPr>
      </w:pPr>
      <w:r>
        <w:rPr>
          <w:rFonts w:hint="eastAsia"/>
          <w:color w:val="000000" w:themeColor="text1"/>
          <w:sz w:val="24"/>
          <w:szCs w:val="24"/>
          <w:highlight w:val="none"/>
          <w14:textFill>
            <w14:solidFill>
              <w14:schemeClr w14:val="tx1"/>
            </w14:solidFill>
          </w14:textFill>
        </w:rPr>
        <w:t>乙方应在规定时间内严格按要求完成交接工作。按照交接方案和运维合同约定，确保交出跨界断面地表水水质自动监测站符合相关技术规范要求。运维交接过程中，出现资产遗失、损坏、仪器性能功能不符合相关技术要求，拖欠相关费用等情形的，甲方依法追究乙方的相关责任。</w:t>
      </w:r>
      <w:r>
        <w:rPr>
          <w:rFonts w:hint="eastAsia"/>
          <w:color w:val="000000" w:themeColor="text1"/>
          <w:sz w:val="24"/>
          <w:szCs w:val="24"/>
          <w:highlight w:val="none"/>
          <w:lang w:val="en-US" w:eastAsia="zh-CN"/>
          <w14:textFill>
            <w14:solidFill>
              <w14:schemeClr w14:val="tx1"/>
            </w14:solidFill>
          </w14:textFill>
        </w:rPr>
        <w:t>交接过程中发现的问题需在30天内完成整改，并提交整改报告，否则将扣除10%运维费用。</w:t>
      </w:r>
    </w:p>
    <w:p w14:paraId="04BC4BE6">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7.8.2</w:t>
      </w:r>
      <w:r>
        <w:rPr>
          <w:rFonts w:hint="eastAsia"/>
          <w:color w:val="000000" w:themeColor="text1"/>
          <w:sz w:val="24"/>
          <w:szCs w:val="24"/>
          <w:highlight w:val="none"/>
          <w14:textFill>
            <w14:solidFill>
              <w14:schemeClr w14:val="tx1"/>
            </w14:solidFill>
          </w14:textFill>
        </w:rPr>
        <w:t>弄虚作假</w:t>
      </w:r>
    </w:p>
    <w:p w14:paraId="1B8CD045">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乙方及其人员实施或参与以下情形的，按弄虚作假处理，一经查实，扣除该站当月运维费，同时采取约谈、通报批评、解除合同等处罚，违反法律法规的，将交由相关部门依法处理。</w:t>
      </w:r>
    </w:p>
    <w:p w14:paraId="2D212C33">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（1）存在《环境监测数据弄虚作假行为判定及处理办法》中认定的篡改、伪造或者指使篡改、伪造监测数据行为的；</w:t>
      </w:r>
    </w:p>
    <w:p w14:paraId="38424955">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（2）存在关键参数虚假报备，或实际关键参数超出备案范围，对数据造成严重影响的；</w:t>
      </w:r>
    </w:p>
    <w:p w14:paraId="7A42794A">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（3）随意更改预处理装置，实际预处理方式及其启用/停用与报备方式不一致的；</w:t>
      </w:r>
    </w:p>
    <w:p w14:paraId="331A7EA4">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（4）实施或参与干扰采水设施和自动监测设施、破坏水质自动监测系统的；</w:t>
      </w:r>
    </w:p>
    <w:p w14:paraId="7CB8C7FB">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（5）其他造成水质自动监测数据严重失真的情形。</w:t>
      </w:r>
    </w:p>
    <w:p w14:paraId="0DE180CC">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7.8.3</w:t>
      </w:r>
      <w:r>
        <w:rPr>
          <w:rFonts w:hint="eastAsia"/>
          <w:color w:val="000000" w:themeColor="text1"/>
          <w:sz w:val="24"/>
          <w:szCs w:val="24"/>
          <w:highlight w:val="none"/>
          <w14:textFill>
            <w14:solidFill>
              <w14:schemeClr w14:val="tx1"/>
            </w14:solidFill>
          </w14:textFill>
        </w:rPr>
        <w:t>在项目实施过程中，乙方应根据甲方要求安排相关人员参加甲方组织的免费运维技术培训和相关管理活动。</w:t>
      </w:r>
    </w:p>
    <w:p w14:paraId="6ADCB6EE">
      <w:pPr>
        <w:bidi w:val="0"/>
        <w:rPr>
          <w:color w:val="000000" w:themeColor="text1"/>
          <w:sz w:val="24"/>
          <w:szCs w:val="24"/>
          <w:highlight w:val="none"/>
          <w14:textFill>
            <w14:solidFill>
              <w14:schemeClr w14:val="tx1"/>
            </w14:solidFill>
          </w14:textFill>
        </w:rPr>
      </w:pPr>
      <w:bookmarkStart w:id="43" w:name="_Toc6197"/>
      <w:r>
        <w:rPr>
          <w:rFonts w:hint="eastAsia"/>
          <w:color w:val="000000" w:themeColor="text1"/>
          <w:sz w:val="24"/>
          <w:szCs w:val="24"/>
          <w:highlight w:val="none"/>
          <w14:textFill>
            <w14:solidFill>
              <w14:schemeClr w14:val="tx1"/>
            </w14:solidFill>
          </w14:textFill>
        </w:rPr>
        <w:t>8、索赔</w:t>
      </w:r>
      <w:bookmarkEnd w:id="43"/>
    </w:p>
    <w:p w14:paraId="665D7C15">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8.1</w:t>
      </w:r>
      <w:r>
        <w:rPr>
          <w:rFonts w:hint="eastAsia"/>
          <w:color w:val="000000" w:themeColor="text1"/>
          <w:sz w:val="24"/>
          <w:szCs w:val="24"/>
          <w:highlight w:val="none"/>
          <w14:textFill>
            <w14:solidFill>
              <w14:schemeClr w14:val="tx1"/>
            </w14:solidFill>
          </w14:textFill>
        </w:rPr>
        <w:t>乙方违反合同约定，并且甲方已于规定的期限内提出索赔，乙方应按甲方同意的下述一种或多种方法解决索赔事宜。</w:t>
      </w:r>
    </w:p>
    <w:p w14:paraId="265CACFD">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（1）乙方同意甲方拒收项目成果并退还甲方已经支付的全部合同款，乙方负担发生的一切损失和费用，包括利息、银行费用、及所需要的其它必要费用。</w:t>
      </w:r>
    </w:p>
    <w:p w14:paraId="3DC12B03">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（2）根据项目成果的疵劣和不符合程度以及甲方遭受损失的金额，经双方同意降低合同总金额。</w:t>
      </w:r>
    </w:p>
    <w:p w14:paraId="10894B81">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8.2</w:t>
      </w:r>
      <w:r>
        <w:rPr>
          <w:rFonts w:hint="eastAsia"/>
          <w:color w:val="000000" w:themeColor="text1"/>
          <w:sz w:val="24"/>
          <w:szCs w:val="24"/>
          <w:highlight w:val="none"/>
          <w14:textFill>
            <w14:solidFill>
              <w14:schemeClr w14:val="tx1"/>
            </w14:solidFill>
          </w14:textFill>
        </w:rPr>
        <w:t>如果甲方提出索赔通知后，在7个工作日内乙方未能予以答复，该索赔应视为已被乙方接受。若乙方未能在甲方提出索赔通知后7个工作日内或甲方同意的更长时间内，按甲方同意的上述任何一种方式处理索赔事宜，甲方将从待付款中扣回索赔金额，同时保留进一步要求赔偿的权利。</w:t>
      </w:r>
    </w:p>
    <w:p w14:paraId="6BE5B7D8">
      <w:pPr>
        <w:bidi w:val="0"/>
        <w:rPr>
          <w:color w:val="000000" w:themeColor="text1"/>
          <w:sz w:val="24"/>
          <w:szCs w:val="24"/>
          <w:highlight w:val="none"/>
          <w14:textFill>
            <w14:solidFill>
              <w14:schemeClr w14:val="tx1"/>
            </w14:solidFill>
          </w14:textFill>
        </w:rPr>
      </w:pPr>
      <w:bookmarkStart w:id="44" w:name="_Toc22065"/>
      <w:r>
        <w:rPr>
          <w:rFonts w:hint="eastAsia"/>
          <w:color w:val="000000" w:themeColor="text1"/>
          <w:sz w:val="24"/>
          <w:szCs w:val="24"/>
          <w:highlight w:val="none"/>
          <w14:textFill>
            <w14:solidFill>
              <w14:schemeClr w14:val="tx1"/>
            </w14:solidFill>
          </w14:textFill>
        </w:rPr>
        <w:t>9、违约责任</w:t>
      </w:r>
      <w:bookmarkEnd w:id="44"/>
    </w:p>
    <w:p w14:paraId="0362883D">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9.1</w:t>
      </w:r>
      <w:r>
        <w:rPr>
          <w:rFonts w:hint="eastAsia"/>
          <w:color w:val="000000" w:themeColor="text1"/>
          <w:sz w:val="24"/>
          <w:szCs w:val="24"/>
          <w:highlight w:val="none"/>
          <w14:textFill>
            <w14:solidFill>
              <w14:schemeClr w14:val="tx1"/>
            </w14:solidFill>
          </w14:textFill>
        </w:rPr>
        <w:t>如因乙方过错造成合同不能履行、不能完全履行或不适当履行，由乙方负责并承担由此造成的一切损失和费用以及采取合理补救措施的一切费用，具体如下：</w:t>
      </w:r>
    </w:p>
    <w:p w14:paraId="28763B83">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9.1.1</w:t>
      </w:r>
      <w:r>
        <w:rPr>
          <w:rFonts w:hint="eastAsia"/>
          <w:color w:val="000000" w:themeColor="text1"/>
          <w:sz w:val="24"/>
          <w:szCs w:val="24"/>
          <w:highlight w:val="none"/>
          <w14:textFill>
            <w14:solidFill>
              <w14:schemeClr w14:val="tx1"/>
            </w14:solidFill>
          </w14:textFill>
        </w:rPr>
        <w:t>未经甲方书面同意，乙方擅自转让或分包本合同项下的任何权利义务，乙方应退还甲方已支付的合同价款，还应向甲方支付合同金额之百分之二十（20%）作为违约金，给甲方造成损失的，另行承担赔偿责任。同时，甲方有权解除合同。</w:t>
      </w:r>
    </w:p>
    <w:p w14:paraId="5F9BCB45">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9.1.2</w:t>
      </w:r>
      <w:r>
        <w:rPr>
          <w:rFonts w:hint="eastAsia"/>
          <w:color w:val="000000" w:themeColor="text1"/>
          <w:sz w:val="24"/>
          <w:szCs w:val="24"/>
          <w:highlight w:val="none"/>
          <w14:textFill>
            <w14:solidFill>
              <w14:schemeClr w14:val="tx1"/>
            </w14:solidFill>
          </w14:textFill>
        </w:rPr>
        <w:t>若乙方未达到中国法律法规、标准规范的强制要求时，甲方有权解除合同。甲方据此解除合同的，乙方应当退还甲方已经支付的全部费用，并向甲方支付合同总金额百分之二十（20%）的违约金，违约金不足以弥补甲方损失的，乙方还应当承担损失赔偿责任。</w:t>
      </w:r>
    </w:p>
    <w:p w14:paraId="3B5204B9">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9.1.3</w:t>
      </w:r>
      <w:r>
        <w:rPr>
          <w:rFonts w:hint="eastAsia"/>
          <w:color w:val="000000" w:themeColor="text1"/>
          <w:sz w:val="24"/>
          <w:szCs w:val="24"/>
          <w:highlight w:val="none"/>
          <w14:textFill>
            <w14:solidFill>
              <w14:schemeClr w14:val="tx1"/>
            </w14:solidFill>
          </w14:textFill>
        </w:rPr>
        <w:t>在履行合同过程中，如果乙方遇到不能按时提交成果和提供服务的情况时，应及时以书面形式将不能按时提交成果的理由、延误的时间通知甲方，未提前通知甲方，应向甲方支付合同金额之百分之二十（20%）作为违约金；乙方依约通知甲方，甲方有权在收到乙方通知后，对情况进行分析，决定是否酌情延长交货时间或解除合同，无论延长交货时间或解除合同，均不影响甲方向乙方主张损失赔偿。</w:t>
      </w:r>
    </w:p>
    <w:p w14:paraId="6455C02E">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9.1.4</w:t>
      </w:r>
      <w:r>
        <w:rPr>
          <w:rFonts w:hint="eastAsia"/>
          <w:color w:val="000000" w:themeColor="text1"/>
          <w:sz w:val="24"/>
          <w:szCs w:val="24"/>
          <w:highlight w:val="none"/>
          <w14:textFill>
            <w14:solidFill>
              <w14:schemeClr w14:val="tx1"/>
            </w14:solidFill>
          </w14:textFill>
        </w:rPr>
        <w:t>乙方提交的成果不符合合同约定，甲方有权要求乙方立即整改、重做，乙方拒不整改、重做或者整改、重做后仍不符合甲方要求的，甲方有权单方解除合同，乙方应向甲方支付合同金额之百分之二十（20%）作为违约金。</w:t>
      </w:r>
    </w:p>
    <w:p w14:paraId="545E4972">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9.2</w:t>
      </w:r>
      <w:r>
        <w:rPr>
          <w:rFonts w:hint="eastAsia"/>
          <w:color w:val="000000" w:themeColor="text1"/>
          <w:sz w:val="24"/>
          <w:szCs w:val="24"/>
          <w:highlight w:val="none"/>
          <w14:textFill>
            <w14:solidFill>
              <w14:schemeClr w14:val="tx1"/>
            </w14:solidFill>
          </w14:textFill>
        </w:rPr>
        <w:t>如果乙方未能按合同规定的时间按期提交月度最终统计结果及相关支撑材料报告(本合同规定的不可抗力除外)，自延期之日起乙方需向甲方承担合同总额日万分之5的违约金，延期超过60日，则甲方有权解除合同，乙方需返还甲方所支付款项，并赔偿因违约而给甲方带来的全部经济损失。</w:t>
      </w:r>
    </w:p>
    <w:p w14:paraId="771DCCBF">
      <w:pPr>
        <w:bidi w:val="0"/>
        <w:rPr>
          <w:color w:val="000000" w:themeColor="text1"/>
          <w:sz w:val="24"/>
          <w:szCs w:val="24"/>
          <w:highlight w:val="none"/>
          <w14:textFill>
            <w14:solidFill>
              <w14:schemeClr w14:val="tx1"/>
            </w14:solidFill>
          </w14:textFill>
        </w:rPr>
      </w:pPr>
      <w:bookmarkStart w:id="45" w:name="_Toc7240"/>
      <w:r>
        <w:rPr>
          <w:color w:val="000000" w:themeColor="text1"/>
          <w:sz w:val="24"/>
          <w:szCs w:val="24"/>
          <w:highlight w:val="none"/>
          <w14:textFill>
            <w14:solidFill>
              <w14:schemeClr w14:val="tx1"/>
            </w14:solidFill>
          </w14:textFill>
        </w:rPr>
        <w:t>10</w:t>
      </w:r>
      <w:r>
        <w:rPr>
          <w:rFonts w:hint="eastAsia"/>
          <w:color w:val="000000" w:themeColor="text1"/>
          <w:sz w:val="24"/>
          <w:szCs w:val="24"/>
          <w:highlight w:val="none"/>
          <w14:textFill>
            <w14:solidFill>
              <w14:schemeClr w14:val="tx1"/>
            </w14:solidFill>
          </w14:textFill>
        </w:rPr>
        <w:t>、不可抗力</w:t>
      </w:r>
      <w:bookmarkEnd w:id="45"/>
    </w:p>
    <w:p w14:paraId="173E08CC">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10.1</w:t>
      </w:r>
      <w:r>
        <w:rPr>
          <w:rFonts w:hint="eastAsia"/>
          <w:color w:val="000000" w:themeColor="text1"/>
          <w:sz w:val="24"/>
          <w:szCs w:val="24"/>
          <w:highlight w:val="none"/>
          <w14:textFill>
            <w14:solidFill>
              <w14:schemeClr w14:val="tx1"/>
            </w14:solidFill>
          </w14:textFill>
        </w:rPr>
        <w:t>签约双方任何一方由于诸如战争、严重火灾、洪水、台风、地震等不可抗力事故的影响而不能执行合同时，则可适当延长履约期限。</w:t>
      </w:r>
    </w:p>
    <w:p w14:paraId="4D8A65EF">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10.2</w:t>
      </w:r>
      <w:r>
        <w:rPr>
          <w:rFonts w:hint="eastAsia"/>
          <w:color w:val="000000" w:themeColor="text1"/>
          <w:sz w:val="24"/>
          <w:szCs w:val="24"/>
          <w:highlight w:val="none"/>
          <w14:textFill>
            <w14:solidFill>
              <w14:schemeClr w14:val="tx1"/>
            </w14:solidFill>
          </w14:textFill>
        </w:rPr>
        <w:t>受阻一方应在不可抗力事故发生后尽快</w:t>
      </w:r>
      <w:r>
        <w:rPr>
          <w:rFonts w:hint="eastAsia"/>
          <w:color w:val="000000" w:themeColor="text1"/>
          <w:sz w:val="24"/>
          <w:szCs w:val="24"/>
          <w:highlight w:val="none"/>
          <w:lang w:val="en-US" w:eastAsia="zh-CN"/>
          <w14:textFill>
            <w14:solidFill>
              <w14:schemeClr w14:val="tx1"/>
            </w14:solidFill>
          </w14:textFill>
        </w:rPr>
        <w:t>以书面形式</w:t>
      </w:r>
      <w:r>
        <w:rPr>
          <w:rFonts w:hint="eastAsia"/>
          <w:color w:val="000000" w:themeColor="text1"/>
          <w:sz w:val="24"/>
          <w:szCs w:val="24"/>
          <w:highlight w:val="none"/>
          <w14:textFill>
            <w14:solidFill>
              <w14:schemeClr w14:val="tx1"/>
            </w14:solidFill>
          </w14:textFill>
        </w:rPr>
        <w:t>通知对方。一旦不可抗力事故的影响持续60天以上，双方应通过友好协商在合理的时间内达成进一步履行合同的协议。</w:t>
      </w:r>
    </w:p>
    <w:p w14:paraId="7949031B">
      <w:pPr>
        <w:bidi w:val="0"/>
        <w:rPr>
          <w:color w:val="000000" w:themeColor="text1"/>
          <w:sz w:val="24"/>
          <w:szCs w:val="24"/>
          <w:highlight w:val="none"/>
          <w14:textFill>
            <w14:solidFill>
              <w14:schemeClr w14:val="tx1"/>
            </w14:solidFill>
          </w14:textFill>
        </w:rPr>
      </w:pPr>
      <w:bookmarkStart w:id="46" w:name="_Toc17166"/>
      <w:r>
        <w:rPr>
          <w:color w:val="000000" w:themeColor="text1"/>
          <w:sz w:val="24"/>
          <w:szCs w:val="24"/>
          <w:highlight w:val="none"/>
          <w14:textFill>
            <w14:solidFill>
              <w14:schemeClr w14:val="tx1"/>
            </w14:solidFill>
          </w14:textFill>
        </w:rPr>
        <w:t>11</w:t>
      </w:r>
      <w:r>
        <w:rPr>
          <w:rFonts w:hint="eastAsia"/>
          <w:color w:val="000000" w:themeColor="text1"/>
          <w:sz w:val="24"/>
          <w:szCs w:val="24"/>
          <w:highlight w:val="none"/>
          <w14:textFill>
            <w14:solidFill>
              <w14:schemeClr w14:val="tx1"/>
            </w14:solidFill>
          </w14:textFill>
        </w:rPr>
        <w:t>、争议解决</w:t>
      </w:r>
      <w:bookmarkEnd w:id="46"/>
    </w:p>
    <w:p w14:paraId="6472307E">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11.1</w:t>
      </w:r>
      <w:r>
        <w:rPr>
          <w:rFonts w:hint="eastAsia"/>
          <w:color w:val="000000" w:themeColor="text1"/>
          <w:sz w:val="24"/>
          <w:szCs w:val="24"/>
          <w:highlight w:val="none"/>
          <w14:textFill>
            <w14:solidFill>
              <w14:schemeClr w14:val="tx1"/>
            </w14:solidFill>
          </w14:textFill>
        </w:rPr>
        <w:t>合同实施或与合同有关的一切争端应通过双方协商解决。如果协商开始后30天还不能解决，任何一方均可选择甲方所在地有管辖权的人民法院提起诉讼。</w:t>
      </w:r>
    </w:p>
    <w:p w14:paraId="4A487A2E">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11.2</w:t>
      </w:r>
      <w:r>
        <w:rPr>
          <w:rFonts w:hint="eastAsia"/>
          <w:color w:val="000000" w:themeColor="text1"/>
          <w:sz w:val="24"/>
          <w:szCs w:val="24"/>
          <w:highlight w:val="none"/>
          <w14:textFill>
            <w14:solidFill>
              <w14:schemeClr w14:val="tx1"/>
            </w14:solidFill>
          </w14:textFill>
        </w:rPr>
        <w:t>在争议解决期间，本合同应继续执行。</w:t>
      </w:r>
    </w:p>
    <w:p w14:paraId="2E76D93B">
      <w:pPr>
        <w:bidi w:val="0"/>
        <w:rPr>
          <w:color w:val="000000" w:themeColor="text1"/>
          <w:sz w:val="24"/>
          <w:szCs w:val="24"/>
          <w:highlight w:val="none"/>
          <w14:textFill>
            <w14:solidFill>
              <w14:schemeClr w14:val="tx1"/>
            </w14:solidFill>
          </w14:textFill>
        </w:rPr>
      </w:pPr>
      <w:bookmarkStart w:id="47" w:name="_Toc14348"/>
      <w:r>
        <w:rPr>
          <w:color w:val="000000" w:themeColor="text1"/>
          <w:sz w:val="24"/>
          <w:szCs w:val="24"/>
          <w:highlight w:val="none"/>
          <w14:textFill>
            <w14:solidFill>
              <w14:schemeClr w14:val="tx1"/>
            </w14:solidFill>
          </w14:textFill>
        </w:rPr>
        <w:t>12.</w:t>
      </w:r>
      <w:r>
        <w:rPr>
          <w:rFonts w:hint="eastAsia"/>
          <w:color w:val="000000" w:themeColor="text1"/>
          <w:sz w:val="24"/>
          <w:szCs w:val="24"/>
          <w:highlight w:val="none"/>
          <w14:textFill>
            <w14:solidFill>
              <w14:schemeClr w14:val="tx1"/>
            </w14:solidFill>
          </w14:textFill>
        </w:rPr>
        <w:t>合同终止与暂停</w:t>
      </w:r>
      <w:bookmarkEnd w:id="47"/>
    </w:p>
    <w:p w14:paraId="78145848">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12.1</w:t>
      </w:r>
      <w:r>
        <w:rPr>
          <w:rFonts w:hint="eastAsia"/>
          <w:color w:val="000000" w:themeColor="text1"/>
          <w:sz w:val="24"/>
          <w:szCs w:val="24"/>
          <w:highlight w:val="none"/>
          <w14:textFill>
            <w14:solidFill>
              <w14:schemeClr w14:val="tx1"/>
            </w14:solidFill>
          </w14:textFill>
        </w:rPr>
        <w:t>合同终止</w:t>
      </w:r>
    </w:p>
    <w:p w14:paraId="5D456A6F">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当甲乙双方完成了合同中规定的权利和义务，合同应终止。</w:t>
      </w:r>
    </w:p>
    <w:p w14:paraId="2D0F81D3">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12.2</w:t>
      </w:r>
      <w:r>
        <w:rPr>
          <w:rFonts w:hint="eastAsia"/>
          <w:color w:val="000000" w:themeColor="text1"/>
          <w:sz w:val="24"/>
          <w:szCs w:val="24"/>
          <w:highlight w:val="none"/>
          <w14:textFill>
            <w14:solidFill>
              <w14:schemeClr w14:val="tx1"/>
            </w14:solidFill>
          </w14:textFill>
        </w:rPr>
        <w:t>乙方违约时终止</w:t>
      </w:r>
    </w:p>
    <w:p w14:paraId="2C0FFDC8">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（1）甲方按照“违约责任”条款解除合同的，合同自解约通知到达乙方时合同终止。</w:t>
      </w:r>
    </w:p>
    <w:p w14:paraId="7F572D49">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（2）甲方根据上款终止合同，甲方可以按其认为适当的条件和方式采购类似项目服务。乙方应承担甲方购买类似服务的额外差价。</w:t>
      </w:r>
    </w:p>
    <w:p w14:paraId="072F7651">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12.3</w:t>
      </w:r>
      <w:r>
        <w:rPr>
          <w:rFonts w:hint="eastAsia"/>
          <w:color w:val="000000" w:themeColor="text1"/>
          <w:sz w:val="24"/>
          <w:szCs w:val="24"/>
          <w:highlight w:val="none"/>
          <w14:textFill>
            <w14:solidFill>
              <w14:schemeClr w14:val="tx1"/>
            </w14:solidFill>
          </w14:textFill>
        </w:rPr>
        <w:t>合同暂停</w:t>
      </w:r>
    </w:p>
    <w:p w14:paraId="553C6A4B">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甲方可根据合同履行情况指示乙方：</w:t>
      </w:r>
    </w:p>
    <w:p w14:paraId="3B97F531">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（1）暂停项目运维管理服务；或</w:t>
      </w:r>
    </w:p>
    <w:p w14:paraId="2747816B">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（2）暂停项目进度；或</w:t>
      </w:r>
    </w:p>
    <w:p w14:paraId="273CE6D7">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（3）暂停项目验收。</w:t>
      </w:r>
    </w:p>
    <w:p w14:paraId="69E407D3">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12.4</w:t>
      </w:r>
      <w:r>
        <w:rPr>
          <w:rFonts w:hint="eastAsia"/>
          <w:color w:val="000000" w:themeColor="text1"/>
          <w:sz w:val="24"/>
          <w:szCs w:val="24"/>
          <w:highlight w:val="none"/>
          <w14:textFill>
            <w14:solidFill>
              <w14:schemeClr w14:val="tx1"/>
            </w14:solidFill>
          </w14:textFill>
        </w:rPr>
        <w:t>发生以下情况时，甲方有权终止合同：</w:t>
      </w:r>
    </w:p>
    <w:p w14:paraId="7E466594">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（1）在合同履行过程中，甲方发现乙方实际提供的服务质量低于投标文件承诺，或乙方违规操作的，甲方有权终止合同。</w:t>
      </w:r>
    </w:p>
    <w:p w14:paraId="3E04DA77">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（2）禁止乙方转包给其他人、机构和部门，一经发现，甲方有权终止合同。</w:t>
      </w:r>
    </w:p>
    <w:p w14:paraId="3A5118C2">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（3）运维期间出现</w:t>
      </w:r>
      <w:r>
        <w:rPr>
          <w:rFonts w:hint="eastAsia"/>
          <w:color w:val="000000" w:themeColor="text1"/>
          <w:sz w:val="24"/>
          <w:szCs w:val="24"/>
          <w:highlight w:val="none"/>
          <w:lang w:val="en-US" w:eastAsia="zh-CN"/>
          <w14:textFill>
            <w14:solidFill>
              <w14:schemeClr w14:val="tx1"/>
            </w14:solidFill>
          </w14:textFill>
        </w:rPr>
        <w:t>被相关职能部门</w:t>
      </w:r>
      <w:r>
        <w:rPr>
          <w:rFonts w:hint="eastAsia"/>
          <w:color w:val="000000" w:themeColor="text1"/>
          <w:sz w:val="24"/>
          <w:szCs w:val="24"/>
          <w:highlight w:val="none"/>
          <w14:textFill>
            <w14:solidFill>
              <w14:schemeClr w14:val="tx1"/>
            </w14:solidFill>
          </w14:textFill>
        </w:rPr>
        <w:t>认定的弄虚作假等违法违规行为的，终止运维合同。</w:t>
      </w:r>
    </w:p>
    <w:p w14:paraId="1F172EC7">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（4）乙方应承担监测数据的保密责任（签订保密协议），不得利用本项目的数据、档案或有关资料对外开展技术交流、业务联系、数据交换等。否则，甲方有权终止合同。</w:t>
      </w:r>
    </w:p>
    <w:p w14:paraId="4F13C438">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（5）因乙方违反相关规定或运维服务未能满足甲方要求，甲方有权终止合同。</w:t>
      </w:r>
    </w:p>
    <w:p w14:paraId="3CC57571">
      <w:pPr>
        <w:bidi w:val="0"/>
        <w:rPr>
          <w:color w:val="000000" w:themeColor="text1"/>
          <w:sz w:val="24"/>
          <w:szCs w:val="24"/>
          <w:highlight w:val="none"/>
          <w14:textFill>
            <w14:solidFill>
              <w14:schemeClr w14:val="tx1"/>
            </w14:solidFill>
          </w14:textFill>
        </w:rPr>
      </w:pPr>
      <w:bookmarkStart w:id="48" w:name="_Toc24528"/>
      <w:r>
        <w:rPr>
          <w:color w:val="000000" w:themeColor="text1"/>
          <w:sz w:val="24"/>
          <w:szCs w:val="24"/>
          <w:highlight w:val="none"/>
          <w14:textFill>
            <w14:solidFill>
              <w14:schemeClr w14:val="tx1"/>
            </w14:solidFill>
          </w14:textFill>
        </w:rPr>
        <w:t>13</w:t>
      </w:r>
      <w:r>
        <w:rPr>
          <w:rFonts w:hint="eastAsia"/>
          <w:color w:val="000000" w:themeColor="text1"/>
          <w:sz w:val="24"/>
          <w:szCs w:val="24"/>
          <w:highlight w:val="none"/>
          <w14:textFill>
            <w14:solidFill>
              <w14:schemeClr w14:val="tx1"/>
            </w14:solidFill>
          </w14:textFill>
        </w:rPr>
        <w:t>、变更事项</w:t>
      </w:r>
      <w:bookmarkEnd w:id="48"/>
    </w:p>
    <w:p w14:paraId="75D92E32">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13.1</w:t>
      </w:r>
      <w:r>
        <w:rPr>
          <w:rFonts w:hint="eastAsia"/>
          <w:color w:val="000000" w:themeColor="text1"/>
          <w:sz w:val="24"/>
          <w:szCs w:val="24"/>
          <w:highlight w:val="none"/>
          <w14:textFill>
            <w14:solidFill>
              <w14:schemeClr w14:val="tx1"/>
            </w14:solidFill>
          </w14:textFill>
        </w:rPr>
        <w:t>甲方可以在需要的时候向乙方发出书面变更事项通知，在合同总体范围内对如下一点或几点提出变更：</w:t>
      </w:r>
    </w:p>
    <w:p w14:paraId="630E5EBD">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（1）业务需求发生变更；</w:t>
      </w:r>
    </w:p>
    <w:p w14:paraId="6574C978">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（2）乙方需提供的服务。</w:t>
      </w:r>
    </w:p>
    <w:p w14:paraId="043329EC">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13.2</w:t>
      </w:r>
      <w:r>
        <w:rPr>
          <w:rFonts w:hint="eastAsia"/>
          <w:color w:val="000000" w:themeColor="text1"/>
          <w:sz w:val="24"/>
          <w:szCs w:val="24"/>
          <w:highlight w:val="none"/>
          <w14:textFill>
            <w14:solidFill>
              <w14:schemeClr w14:val="tx1"/>
            </w14:solidFill>
          </w14:textFill>
        </w:rPr>
        <w:t>乙方收到甲方通知后应在十天内向甲方提供修改所带来的费用变化及履约期的变化</w:t>
      </w:r>
    </w:p>
    <w:p w14:paraId="7B23B8B2">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13.3</w:t>
      </w:r>
      <w:r>
        <w:rPr>
          <w:rFonts w:hint="eastAsia"/>
          <w:color w:val="000000" w:themeColor="text1"/>
          <w:sz w:val="24"/>
          <w:szCs w:val="24"/>
          <w:highlight w:val="none"/>
          <w14:textFill>
            <w14:solidFill>
              <w14:schemeClr w14:val="tx1"/>
            </w14:solidFill>
          </w14:textFill>
        </w:rPr>
        <w:t>任何修改将构成合同的组成部分并适用其他条款。</w:t>
      </w:r>
    </w:p>
    <w:p w14:paraId="01E57C18">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13.4</w:t>
      </w:r>
      <w:r>
        <w:rPr>
          <w:rFonts w:hint="eastAsia"/>
          <w:color w:val="000000" w:themeColor="text1"/>
          <w:sz w:val="24"/>
          <w:szCs w:val="24"/>
          <w:highlight w:val="none"/>
          <w14:textFill>
            <w14:solidFill>
              <w14:schemeClr w14:val="tx1"/>
            </w14:solidFill>
          </w14:textFill>
        </w:rPr>
        <w:t>除非甲乙双方协商一致并签署书面协议，否则不能对合同条款进行任何修改。</w:t>
      </w:r>
    </w:p>
    <w:p w14:paraId="1AC4FC94">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13.5</w:t>
      </w:r>
      <w:r>
        <w:rPr>
          <w:rFonts w:hint="eastAsia"/>
          <w:color w:val="000000" w:themeColor="text1"/>
          <w:sz w:val="24"/>
          <w:szCs w:val="24"/>
          <w:highlight w:val="none"/>
          <w14:textFill>
            <w14:solidFill>
              <w14:schemeClr w14:val="tx1"/>
            </w14:solidFill>
          </w14:textFill>
        </w:rPr>
        <w:t>如因国家政策或法规变化、项目财政预算调整或未获批复、其他不可抗力等原因造成甲方需求变化，甲方有权根据实际情况变更采购范围，直至合同取消，甲方对此变更不承担任何责任。乙方所报单价不得调整。</w:t>
      </w:r>
    </w:p>
    <w:p w14:paraId="58E8922D">
      <w:pPr>
        <w:bidi w:val="0"/>
        <w:rPr>
          <w:color w:val="000000" w:themeColor="text1"/>
          <w:sz w:val="24"/>
          <w:szCs w:val="24"/>
          <w:highlight w:val="none"/>
          <w14:textFill>
            <w14:solidFill>
              <w14:schemeClr w14:val="tx1"/>
            </w14:solidFill>
          </w14:textFill>
        </w:rPr>
      </w:pPr>
      <w:bookmarkStart w:id="49" w:name="_Toc19516"/>
      <w:r>
        <w:rPr>
          <w:color w:val="000000" w:themeColor="text1"/>
          <w:sz w:val="24"/>
          <w:szCs w:val="24"/>
          <w:highlight w:val="none"/>
          <w14:textFill>
            <w14:solidFill>
              <w14:schemeClr w14:val="tx1"/>
            </w14:solidFill>
          </w14:textFill>
        </w:rPr>
        <w:t>14</w:t>
      </w:r>
      <w:r>
        <w:rPr>
          <w:rFonts w:hint="eastAsia"/>
          <w:color w:val="000000" w:themeColor="text1"/>
          <w:sz w:val="24"/>
          <w:szCs w:val="24"/>
          <w:highlight w:val="none"/>
          <w14:textFill>
            <w14:solidFill>
              <w14:schemeClr w14:val="tx1"/>
            </w14:solidFill>
          </w14:textFill>
        </w:rPr>
        <w:t>、人员变更</w:t>
      </w:r>
      <w:bookmarkEnd w:id="49"/>
    </w:p>
    <w:p w14:paraId="30D5FF93">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14.1</w:t>
      </w:r>
      <w:r>
        <w:rPr>
          <w:rFonts w:hint="eastAsia"/>
          <w:color w:val="000000" w:themeColor="text1"/>
          <w:sz w:val="24"/>
          <w:szCs w:val="24"/>
          <w:highlight w:val="none"/>
          <w14:textFill>
            <w14:solidFill>
              <w14:schemeClr w14:val="tx1"/>
            </w14:solidFill>
          </w14:textFill>
        </w:rPr>
        <w:t>乙方须尽一切努力，并采取切实措施确保项目经理及项目主要成员（如项目负责人及驻场人员等）在项目实施期间，专职投入本项目中。</w:t>
      </w:r>
    </w:p>
    <w:p w14:paraId="37D062D0">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14.2</w:t>
      </w:r>
      <w:r>
        <w:rPr>
          <w:rFonts w:hint="eastAsia"/>
          <w:color w:val="000000" w:themeColor="text1"/>
          <w:sz w:val="24"/>
          <w:szCs w:val="24"/>
          <w:highlight w:val="none"/>
          <w14:textFill>
            <w14:solidFill>
              <w14:schemeClr w14:val="tx1"/>
            </w14:solidFill>
          </w14:textFill>
        </w:rPr>
        <w:t>甲方不允许乙方在项目实施过程中更换项目经理和项目主要成员人选，如果乙方由于无法控制的原因，必须变更项目经理时，乙方应提供一名具有同等或更高资历的人员替换该职位，并经甲方书面同意后才可更换。如甲方对乙方指派的项目经理和项目主要成员人选提出更换意见，乙方须在一周内做出实质性响应，否则甲方可以选择要求乙方提供风险补偿。</w:t>
      </w:r>
    </w:p>
    <w:p w14:paraId="1249D97E">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14.3</w:t>
      </w:r>
      <w:r>
        <w:rPr>
          <w:rFonts w:hint="eastAsia"/>
          <w:color w:val="000000" w:themeColor="text1"/>
          <w:sz w:val="24"/>
          <w:szCs w:val="24"/>
          <w:highlight w:val="none"/>
          <w14:textFill>
            <w14:solidFill>
              <w14:schemeClr w14:val="tx1"/>
            </w14:solidFill>
          </w14:textFill>
        </w:rPr>
        <w:t>如果甲方发现乙方项目经理或技术负责人存在以下问题，甲方有权书面要求乙方更换该人员。</w:t>
      </w:r>
    </w:p>
    <w:p w14:paraId="5CDFC0F1">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（1）该人员被发现犯有严重的错误或被指控有犯罪行为；</w:t>
      </w:r>
    </w:p>
    <w:p w14:paraId="46ABF373">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（2）有充分资料显示该人员能力与表现无法胜任承担的工作任务。</w:t>
      </w:r>
    </w:p>
    <w:p w14:paraId="2DEE3A5C">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14.4</w:t>
      </w:r>
      <w:r>
        <w:rPr>
          <w:rFonts w:hint="eastAsia"/>
          <w:color w:val="000000" w:themeColor="text1"/>
          <w:sz w:val="24"/>
          <w:szCs w:val="24"/>
          <w:highlight w:val="none"/>
          <w14:textFill>
            <w14:solidFill>
              <w14:schemeClr w14:val="tx1"/>
            </w14:solidFill>
          </w14:textFill>
        </w:rPr>
        <w:t>乙方在收到甲方更换人员的书面通知后，必须及时更换该人员。新更换人员的资历应预先受到甲方认可。甲方可以根据乙方过错程度选择要求乙方提供风险补偿。</w:t>
      </w:r>
    </w:p>
    <w:p w14:paraId="2183FFD5">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14.5</w:t>
      </w:r>
      <w:r>
        <w:rPr>
          <w:rFonts w:hint="eastAsia"/>
          <w:color w:val="000000" w:themeColor="text1"/>
          <w:sz w:val="24"/>
          <w:szCs w:val="24"/>
          <w:highlight w:val="none"/>
          <w14:textFill>
            <w14:solidFill>
              <w14:schemeClr w14:val="tx1"/>
            </w14:solidFill>
          </w14:textFill>
        </w:rPr>
        <w:t>所有人员的变更均不影响合同的价格及合同服务期。</w:t>
      </w:r>
    </w:p>
    <w:p w14:paraId="3FAE7817">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14.6</w:t>
      </w:r>
      <w:r>
        <w:rPr>
          <w:rFonts w:hint="eastAsia"/>
          <w:color w:val="000000" w:themeColor="text1"/>
          <w:sz w:val="24"/>
          <w:szCs w:val="24"/>
          <w:highlight w:val="none"/>
          <w14:textFill>
            <w14:solidFill>
              <w14:schemeClr w14:val="tx1"/>
            </w14:solidFill>
          </w14:textFill>
        </w:rPr>
        <w:t>在项目实施过程中，乙方不得随意更换项目组主要成员，如遇特殊情况需要更换，需经过甲方同意。</w:t>
      </w:r>
    </w:p>
    <w:p w14:paraId="67916A64">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14.7</w:t>
      </w:r>
      <w:r>
        <w:rPr>
          <w:rFonts w:hint="eastAsia"/>
          <w:color w:val="000000" w:themeColor="text1"/>
          <w:sz w:val="24"/>
          <w:szCs w:val="24"/>
          <w:highlight w:val="none"/>
          <w14:textFill>
            <w14:solidFill>
              <w14:schemeClr w14:val="tx1"/>
            </w14:solidFill>
          </w14:textFill>
        </w:rPr>
        <w:t>在项目实施过程中，乙方应保证项目团队的稳定。</w:t>
      </w:r>
    </w:p>
    <w:p w14:paraId="623D6411">
      <w:pPr>
        <w:bidi w:val="0"/>
        <w:rPr>
          <w:color w:val="000000" w:themeColor="text1"/>
          <w:sz w:val="24"/>
          <w:szCs w:val="24"/>
          <w:highlight w:val="none"/>
          <w14:textFill>
            <w14:solidFill>
              <w14:schemeClr w14:val="tx1"/>
            </w14:solidFill>
          </w14:textFill>
        </w:rPr>
      </w:pPr>
      <w:bookmarkStart w:id="50" w:name="_Toc13311"/>
      <w:r>
        <w:rPr>
          <w:color w:val="000000" w:themeColor="text1"/>
          <w:sz w:val="24"/>
          <w:szCs w:val="24"/>
          <w:highlight w:val="none"/>
          <w14:textFill>
            <w14:solidFill>
              <w14:schemeClr w14:val="tx1"/>
            </w14:solidFill>
          </w14:textFill>
        </w:rPr>
        <w:t>15</w:t>
      </w:r>
      <w:r>
        <w:rPr>
          <w:rFonts w:hint="eastAsia"/>
          <w:color w:val="000000" w:themeColor="text1"/>
          <w:sz w:val="24"/>
          <w:szCs w:val="24"/>
          <w:highlight w:val="none"/>
          <w14:textFill>
            <w14:solidFill>
              <w14:schemeClr w14:val="tx1"/>
            </w14:solidFill>
          </w14:textFill>
        </w:rPr>
        <w:t>、转让与分包</w:t>
      </w:r>
      <w:bookmarkEnd w:id="50"/>
    </w:p>
    <w:p w14:paraId="7DC372AB">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15.1</w:t>
      </w:r>
      <w:r>
        <w:rPr>
          <w:rFonts w:hint="eastAsia"/>
          <w:color w:val="000000" w:themeColor="text1"/>
          <w:sz w:val="24"/>
          <w:szCs w:val="24"/>
          <w:highlight w:val="none"/>
          <w14:textFill>
            <w14:solidFill>
              <w14:schemeClr w14:val="tx1"/>
            </w14:solidFill>
          </w14:textFill>
        </w:rPr>
        <w:t>除甲方书面同意外，乙方不能就合同进行转让或分包，否则，甲方有权解除合同。</w:t>
      </w:r>
    </w:p>
    <w:p w14:paraId="25594F39">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15.2</w:t>
      </w:r>
      <w:r>
        <w:rPr>
          <w:rFonts w:hint="eastAsia"/>
          <w:color w:val="000000" w:themeColor="text1"/>
          <w:sz w:val="24"/>
          <w:szCs w:val="24"/>
          <w:highlight w:val="none"/>
          <w14:textFill>
            <w14:solidFill>
              <w14:schemeClr w14:val="tx1"/>
            </w14:solidFill>
          </w14:textFill>
        </w:rPr>
        <w:t>经甲方书面同意后转让或分包，乙方需保证第三方严格遵守本合同约定，并就第三方的履行情况向甲方承担连带保证责任。</w:t>
      </w:r>
    </w:p>
    <w:p w14:paraId="2B2752E6">
      <w:pPr>
        <w:bidi w:val="0"/>
        <w:rPr>
          <w:color w:val="000000" w:themeColor="text1"/>
          <w:sz w:val="24"/>
          <w:szCs w:val="24"/>
          <w:highlight w:val="none"/>
          <w14:textFill>
            <w14:solidFill>
              <w14:schemeClr w14:val="tx1"/>
            </w14:solidFill>
          </w14:textFill>
        </w:rPr>
      </w:pPr>
      <w:bookmarkStart w:id="51" w:name="_Toc11536"/>
      <w:r>
        <w:rPr>
          <w:color w:val="000000" w:themeColor="text1"/>
          <w:sz w:val="24"/>
          <w:szCs w:val="24"/>
          <w:highlight w:val="none"/>
          <w14:textFill>
            <w14:solidFill>
              <w14:schemeClr w14:val="tx1"/>
            </w14:solidFill>
          </w14:textFill>
        </w:rPr>
        <w:t>16</w:t>
      </w:r>
      <w:r>
        <w:rPr>
          <w:rFonts w:hint="eastAsia"/>
          <w:color w:val="000000" w:themeColor="text1"/>
          <w:sz w:val="24"/>
          <w:szCs w:val="24"/>
          <w:highlight w:val="none"/>
          <w14:textFill>
            <w14:solidFill>
              <w14:schemeClr w14:val="tx1"/>
            </w14:solidFill>
          </w14:textFill>
        </w:rPr>
        <w:t>、合同生效及其他</w:t>
      </w:r>
      <w:bookmarkEnd w:id="51"/>
    </w:p>
    <w:p w14:paraId="21D94BEB">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16.1</w:t>
      </w:r>
      <w:r>
        <w:rPr>
          <w:rFonts w:hint="eastAsia"/>
          <w:color w:val="000000" w:themeColor="text1"/>
          <w:sz w:val="24"/>
          <w:szCs w:val="24"/>
          <w:highlight w:val="none"/>
          <w14:textFill>
            <w14:solidFill>
              <w14:schemeClr w14:val="tx1"/>
            </w14:solidFill>
          </w14:textFill>
        </w:rPr>
        <w:t>除非合同中另有说明，本合同经双方法定代表人或授权代表签字、盖章之日起生效。</w:t>
      </w:r>
    </w:p>
    <w:p w14:paraId="4B6EB83D">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16.2</w:t>
      </w:r>
      <w:r>
        <w:rPr>
          <w:rFonts w:hint="eastAsia"/>
          <w:color w:val="000000" w:themeColor="text1"/>
          <w:sz w:val="24"/>
          <w:szCs w:val="24"/>
          <w:highlight w:val="none"/>
          <w14:textFill>
            <w14:solidFill>
              <w14:schemeClr w14:val="tx1"/>
            </w14:solidFill>
          </w14:textFill>
        </w:rPr>
        <w:t>本合同应按中华人民共和国的法律解释。</w:t>
      </w:r>
    </w:p>
    <w:p w14:paraId="32727FD7">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16.3</w:t>
      </w:r>
      <w:r>
        <w:rPr>
          <w:rFonts w:hint="eastAsia"/>
          <w:color w:val="000000" w:themeColor="text1"/>
          <w:sz w:val="24"/>
          <w:szCs w:val="24"/>
          <w:highlight w:val="none"/>
          <w14:textFill>
            <w14:solidFill>
              <w14:schemeClr w14:val="tx1"/>
            </w14:solidFill>
          </w14:textFill>
        </w:rPr>
        <w:t>本合同任何一方给另一方的通知都应以书面或传真的形式发送，而另一方应以书面或对应形式确认并发送到对方明确的地址。</w:t>
      </w:r>
    </w:p>
    <w:p w14:paraId="60501919">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16.4</w:t>
      </w:r>
      <w:r>
        <w:rPr>
          <w:rFonts w:hint="eastAsia"/>
          <w:color w:val="000000" w:themeColor="text1"/>
          <w:sz w:val="24"/>
          <w:szCs w:val="24"/>
          <w:highlight w:val="none"/>
          <w14:textFill>
            <w14:solidFill>
              <w14:schemeClr w14:val="tx1"/>
            </w14:solidFill>
          </w14:textFill>
        </w:rPr>
        <w:t>合同书写应用中文，甲乙双方所有往来信函及与合同有关的文件均应以中文书写。</w:t>
      </w:r>
    </w:p>
    <w:p w14:paraId="3B768F27">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16.5</w:t>
      </w:r>
      <w:r>
        <w:rPr>
          <w:rFonts w:hint="eastAsia"/>
          <w:color w:val="000000" w:themeColor="text1"/>
          <w:sz w:val="24"/>
          <w:szCs w:val="24"/>
          <w:highlight w:val="none"/>
          <w14:textFill>
            <w14:solidFill>
              <w14:schemeClr w14:val="tx1"/>
            </w14:solidFill>
          </w14:textFill>
        </w:rPr>
        <w:t>除技术规格中另有规定外，计量单位均使用中华人民共和国法定计量单位。</w:t>
      </w:r>
    </w:p>
    <w:p w14:paraId="18DC1903">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17</w:t>
      </w:r>
      <w:r>
        <w:rPr>
          <w:rFonts w:hint="eastAsia"/>
          <w:color w:val="000000" w:themeColor="text1"/>
          <w:sz w:val="24"/>
          <w:szCs w:val="24"/>
          <w:highlight w:val="none"/>
          <w14:textFill>
            <w14:solidFill>
              <w14:schemeClr w14:val="tx1"/>
            </w14:solidFill>
          </w14:textFill>
        </w:rPr>
        <w:t>、特别约定</w:t>
      </w:r>
    </w:p>
    <w:p w14:paraId="78C2E94E">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t>17.1</w:t>
      </w:r>
      <w:r>
        <w:rPr>
          <w:rFonts w:hint="eastAsia"/>
          <w:color w:val="000000" w:themeColor="text1"/>
          <w:sz w:val="24"/>
          <w:szCs w:val="24"/>
          <w:highlight w:val="none"/>
          <w14:textFill>
            <w14:solidFill>
              <w14:schemeClr w14:val="tx1"/>
            </w14:solidFill>
          </w14:textFill>
        </w:rPr>
        <w:t>违反廉洁承诺的约定</w:t>
      </w:r>
    </w:p>
    <w:p w14:paraId="5E93DCC5">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1）乙方在履行合同过程中不得以任何形式与甲方相关人员不当往来，并同意将上述廉洁承诺的遵守情况纳入本合同验收或绩效考核范畴，若乙方出现上述行为致使甲方形象受损或者相关人员被组织调查处理的，甲方有权从应支付的合同款项中进行扣除，若出现上述情况并确认属实，甲方发送书面扣款通知，上述款项直接从未支付的合同款中扣除。经确认乙方出现违规行为，每人次的扣款比例为应付合同款项的10%，最低扣款金额为10万元，合计扣款比例不超过合同总额的30%。</w:t>
      </w:r>
    </w:p>
    <w:p w14:paraId="1C00FE8B">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（2）乙方为谋取不正当的利益出现违反廉洁承诺内容的行为，因上述行为涉及的合同款项应当全部返还甲方，涉及的合同款项无法确定的，乙方需返还甲方已支付的全部合同款项。</w:t>
      </w:r>
    </w:p>
    <w:p w14:paraId="4065A0DD">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3）乙方违反廉洁承诺，受到刑事或者行政处罚的，甲方有权解除合同，合同自甲方发出书面通知之日起解除，乙方需承担相应的违约责任并赔偿甲方由此造成的损失，包括但不限于：聘请其他公司暂代乙方工作而产生的费用、聘请律师产生的费用等。</w:t>
      </w:r>
    </w:p>
    <w:p w14:paraId="40BDE6FB">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p>
    <w:p w14:paraId="2A476D9B">
      <w:pPr>
        <w:keepNext/>
        <w:keepLines/>
        <w:outlineLvl w:val="9"/>
        <w:rPr>
          <w:color w:val="000000" w:themeColor="text1"/>
          <w:sz w:val="24"/>
          <w:szCs w:val="24"/>
          <w:highlight w:val="none"/>
          <w14:textFill>
            <w14:solidFill>
              <w14:schemeClr w14:val="tx1"/>
            </w14:solidFill>
          </w14:textFill>
        </w:rPr>
      </w:pPr>
      <w:r>
        <w:rPr>
          <w:color w:val="000000" w:themeColor="text1"/>
          <w:sz w:val="24"/>
          <w:szCs w:val="24"/>
          <w:highlight w:val="none"/>
          <w14:textFill>
            <w14:solidFill>
              <w14:schemeClr w14:val="tx1"/>
            </w14:solidFill>
          </w14:textFill>
        </w:rPr>
        <w:br w:type="page"/>
      </w:r>
    </w:p>
    <w:p w14:paraId="5767EF28">
      <w:pPr>
        <w:adjustRightInd w:val="0"/>
        <w:snapToGrid w:val="0"/>
        <w:spacing w:line="360" w:lineRule="auto"/>
        <w:ind w:firstLine="480" w:firstLineChars="200"/>
        <w:jc w:val="left"/>
        <w:outlineLvl w:val="9"/>
        <w:rPr>
          <w:color w:val="000000" w:themeColor="text1"/>
          <w:sz w:val="24"/>
          <w:szCs w:val="24"/>
          <w:highlight w:val="none"/>
          <w14:textFill>
            <w14:solidFill>
              <w14:schemeClr w14:val="tx1"/>
            </w14:solidFill>
          </w14:textFill>
        </w:rPr>
      </w:pPr>
      <w:bookmarkStart w:id="52" w:name="_Toc19068"/>
      <w:r>
        <w:rPr>
          <w:rFonts w:hint="eastAsia"/>
          <w:color w:val="000000" w:themeColor="text1"/>
          <w:sz w:val="24"/>
          <w:szCs w:val="24"/>
          <w:highlight w:val="none"/>
          <w14:textFill>
            <w14:solidFill>
              <w14:schemeClr w14:val="tx1"/>
            </w14:solidFill>
          </w14:textFill>
        </w:rPr>
        <w:t>合同附件1廉洁履约承诺书</w:t>
      </w:r>
      <w:bookmarkEnd w:id="52"/>
    </w:p>
    <w:p w14:paraId="670B7647">
      <w:pPr>
        <w:adjustRightInd w:val="0"/>
        <w:snapToGrid w:val="0"/>
        <w:spacing w:line="360" w:lineRule="auto"/>
        <w:ind w:firstLine="482" w:firstLineChars="200"/>
        <w:jc w:val="center"/>
        <w:rPr>
          <w:b/>
          <w:bCs/>
          <w:color w:val="000000" w:themeColor="text1"/>
          <w:sz w:val="24"/>
          <w:szCs w:val="24"/>
          <w:highlight w:val="none"/>
          <w14:textFill>
            <w14:solidFill>
              <w14:schemeClr w14:val="tx1"/>
            </w14:solidFill>
          </w14:textFill>
        </w:rPr>
      </w:pPr>
      <w:r>
        <w:rPr>
          <w:rFonts w:hint="eastAsia"/>
          <w:b/>
          <w:bCs/>
          <w:color w:val="000000" w:themeColor="text1"/>
          <w:sz w:val="24"/>
          <w:szCs w:val="24"/>
          <w:highlight w:val="none"/>
          <w14:textFill>
            <w14:solidFill>
              <w14:schemeClr w14:val="tx1"/>
            </w14:solidFill>
          </w14:textFill>
        </w:rPr>
        <w:t>廉洁履约承诺书</w:t>
      </w:r>
    </w:p>
    <w:p w14:paraId="183FF5C9">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为贯彻《中华人民共和国招标投标法》、《中华人民共和国政府采购法》、《政府采购质疑和投诉办法》等相关政策法规要求，营造风清气正的行业风气、净化环境监测市场环境、反不正当竞争，弘扬社会正气、自觉维护行业形象，恪守职业道德。</w:t>
      </w:r>
    </w:p>
    <w:p w14:paraId="161F704C">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在期间作出如下承诺：</w:t>
      </w:r>
    </w:p>
    <w:p w14:paraId="5F4F0405">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一、严格履行合同约定，秉承专业态度为甲方提供高质量的产品与服务，不与甲方进行不当往来，包括但不限于宴请甲方项目相关人员、安排甲方项目相关人员旅游、娱乐、消费等，向甲方项目相关人员送礼品、礼金、有价证券和各类商业预付卡、购物卡、电子提货券、微信红包等。一经发现有上述行为，被甲方拒绝或者制止的，愿意接受甲方警告、公开通报批评的处理。</w:t>
      </w:r>
    </w:p>
    <w:p w14:paraId="2728D5E2">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二、愿意将遵守廉洁承诺情况纳入项目履约绩效或验收考核范畴，若本公司及相关人员发生了上述行为，致使甲方单位形象受损或者相关人员被组织调查处理的，本公司将无条件承担因不当行为而造成的结果，严肃处理不当行为人员，并愿意接受甲方提出的履约绩效或项目验收扣款要求。</w:t>
      </w:r>
    </w:p>
    <w:p w14:paraId="14A87A9A">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三、本公司相关人员因为上述违反廉洁承诺的不当行为涉案，受到行政或者刑事处罚，愿意配合甲方依法依规解除合同，并赔偿由此对甲方造成的经济损失。</w:t>
      </w:r>
    </w:p>
    <w:p w14:paraId="22BEA75C">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如发生以上任何行为，愿意承担违约责任并接受甲方的处理。</w:t>
      </w:r>
    </w:p>
    <w:p w14:paraId="68FEFD4F">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上述承诺为合同履行不可分割的一部分，将列作合同附件。承诺人需仔细阅读后作出承诺，并保证严格遵照执行</w:t>
      </w:r>
    </w:p>
    <w:p w14:paraId="6F152206">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p>
    <w:p w14:paraId="2ADC27BF">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p>
    <w:p w14:paraId="24E35122">
      <w:pPr>
        <w:pStyle w:val="11"/>
        <w:spacing w:line="360" w:lineRule="auto"/>
        <w:ind w:firstLine="0" w:firstLineChars="0"/>
        <w:jc w:val="right"/>
        <w:rPr>
          <w:rFonts w:hint="eastAsia" w:ascii="宋体" w:hAnsi="宋体" w:eastAsia="宋体" w:cs="宋体"/>
          <w:color w:val="000000" w:themeColor="text1"/>
          <w:sz w:val="24"/>
          <w:szCs w:val="24"/>
          <w:highlight w:val="none"/>
          <w14:textFill>
            <w14:solidFill>
              <w14:schemeClr w14:val="tx1"/>
            </w14:solidFill>
          </w14:textFill>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color w:val="000000" w:themeColor="text1"/>
          <w:sz w:val="24"/>
          <w:szCs w:val="24"/>
          <w:highlight w:val="none"/>
          <w14:textFill>
            <w14:solidFill>
              <w14:schemeClr w14:val="tx1"/>
            </w14:solidFill>
          </w14:textFill>
        </w:rPr>
        <w:t>承诺人（加盖公章和法人签章）</w:t>
      </w:r>
    </w:p>
    <w:p w14:paraId="4E7A845A">
      <w:pPr>
        <w:adjustRightInd w:val="0"/>
        <w:snapToGrid w:val="0"/>
        <w:spacing w:line="360" w:lineRule="auto"/>
        <w:ind w:firstLine="480" w:firstLineChars="200"/>
        <w:jc w:val="left"/>
        <w:outlineLvl w:val="9"/>
        <w:rPr>
          <w:color w:val="000000" w:themeColor="text1"/>
          <w:sz w:val="24"/>
          <w:szCs w:val="24"/>
          <w:highlight w:val="none"/>
          <w14:textFill>
            <w14:solidFill>
              <w14:schemeClr w14:val="tx1"/>
            </w14:solidFill>
          </w14:textFill>
        </w:rPr>
      </w:pPr>
      <w:bookmarkStart w:id="53" w:name="_Toc19272"/>
      <w:r>
        <w:rPr>
          <w:rFonts w:hint="eastAsia"/>
          <w:color w:val="000000" w:themeColor="text1"/>
          <w:sz w:val="24"/>
          <w:szCs w:val="24"/>
          <w:highlight w:val="none"/>
          <w14:textFill>
            <w14:solidFill>
              <w14:schemeClr w14:val="tx1"/>
            </w14:solidFill>
          </w14:textFill>
        </w:rPr>
        <w:t>合同附件</w:t>
      </w:r>
      <w:r>
        <w:rPr>
          <w:color w:val="000000" w:themeColor="text1"/>
          <w:sz w:val="24"/>
          <w:szCs w:val="24"/>
          <w:highlight w:val="none"/>
          <w14:textFill>
            <w14:solidFill>
              <w14:schemeClr w14:val="tx1"/>
            </w14:solidFill>
          </w14:textFill>
        </w:rPr>
        <w:t>2</w:t>
      </w:r>
      <w:r>
        <w:rPr>
          <w:rFonts w:hint="eastAsia"/>
          <w:color w:val="000000" w:themeColor="text1"/>
          <w:sz w:val="24"/>
          <w:szCs w:val="24"/>
          <w:highlight w:val="none"/>
          <w14:textFill>
            <w14:solidFill>
              <w14:schemeClr w14:val="tx1"/>
            </w14:solidFill>
          </w14:textFill>
        </w:rPr>
        <w:t>履约验收方案</w:t>
      </w:r>
      <w:bookmarkEnd w:id="53"/>
    </w:p>
    <w:p w14:paraId="062D8E50">
      <w:pPr>
        <w:adjustRightInd w:val="0"/>
        <w:snapToGrid w:val="0"/>
        <w:spacing w:line="360" w:lineRule="auto"/>
        <w:ind w:firstLine="482" w:firstLineChars="200"/>
        <w:jc w:val="center"/>
        <w:rPr>
          <w:b/>
          <w:bCs/>
          <w:color w:val="000000" w:themeColor="text1"/>
          <w:sz w:val="24"/>
          <w:szCs w:val="24"/>
          <w:highlight w:val="none"/>
          <w14:textFill>
            <w14:solidFill>
              <w14:schemeClr w14:val="tx1"/>
            </w14:solidFill>
          </w14:textFill>
        </w:rPr>
      </w:pPr>
      <w:r>
        <w:rPr>
          <w:rFonts w:hint="eastAsia"/>
          <w:b/>
          <w:bCs/>
          <w:color w:val="000000" w:themeColor="text1"/>
          <w:sz w:val="24"/>
          <w:szCs w:val="24"/>
          <w:highlight w:val="none"/>
          <w:lang w:eastAsia="zh-CN"/>
          <w14:textFill>
            <w14:solidFill>
              <w14:schemeClr w14:val="tx1"/>
            </w14:solidFill>
          </w14:textFill>
        </w:rPr>
        <w:t>（</w:t>
      </w:r>
      <w:r>
        <w:rPr>
          <w:rFonts w:hint="eastAsia"/>
          <w:b/>
          <w:bCs/>
          <w:color w:val="000000" w:themeColor="text1"/>
          <w:sz w:val="24"/>
          <w:szCs w:val="24"/>
          <w:highlight w:val="none"/>
          <w:lang w:val="en-US" w:eastAsia="zh-CN"/>
          <w14:textFill>
            <w14:solidFill>
              <w14:schemeClr w14:val="tx1"/>
            </w14:solidFill>
          </w14:textFill>
        </w:rPr>
        <w:t>项目名称</w:t>
      </w:r>
      <w:r>
        <w:rPr>
          <w:rFonts w:hint="eastAsia"/>
          <w:b/>
          <w:bCs/>
          <w:color w:val="000000" w:themeColor="text1"/>
          <w:sz w:val="24"/>
          <w:szCs w:val="24"/>
          <w:highlight w:val="none"/>
          <w:lang w:eastAsia="zh-CN"/>
          <w14:textFill>
            <w14:solidFill>
              <w14:schemeClr w14:val="tx1"/>
            </w14:solidFill>
          </w14:textFill>
        </w:rPr>
        <w:t>）</w:t>
      </w:r>
      <w:r>
        <w:rPr>
          <w:rFonts w:hint="eastAsia"/>
          <w:b/>
          <w:bCs/>
          <w:color w:val="000000" w:themeColor="text1"/>
          <w:sz w:val="24"/>
          <w:szCs w:val="24"/>
          <w:highlight w:val="none"/>
          <w14:textFill>
            <w14:solidFill>
              <w14:schemeClr w14:val="tx1"/>
            </w14:solidFill>
          </w14:textFill>
        </w:rPr>
        <w:t>履约验收方案</w:t>
      </w:r>
    </w:p>
    <w:p w14:paraId="572BB3F1">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为确保跨界断面地表水水质自动监测站（以下简称跨界水站）运行维护工作顺利开展，运维单位能够保质保量地开展跨界水站运行维护工作，制订本履约验收方案。</w:t>
      </w:r>
    </w:p>
    <w:p w14:paraId="21DE79E4">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一、验收主体</w:t>
      </w:r>
    </w:p>
    <w:p w14:paraId="4FF84189">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1.验收对象：</w:t>
      </w:r>
      <w:r>
        <w:rPr>
          <w:rFonts w:hint="eastAsia"/>
          <w:color w:val="000000" w:themeColor="text1"/>
          <w:sz w:val="24"/>
          <w:szCs w:val="24"/>
          <w:highlight w:val="none"/>
          <w:lang w:val="en-US" w:eastAsia="zh-CN"/>
          <w14:textFill>
            <w14:solidFill>
              <w14:schemeClr w14:val="tx1"/>
            </w14:solidFill>
          </w14:textFill>
        </w:rPr>
        <w:t>项目名称</w:t>
      </w:r>
      <w:r>
        <w:rPr>
          <w:rFonts w:hint="eastAsia"/>
          <w:color w:val="000000" w:themeColor="text1"/>
          <w:sz w:val="24"/>
          <w:szCs w:val="24"/>
          <w:highlight w:val="none"/>
          <w14:textFill>
            <w14:solidFill>
              <w14:schemeClr w14:val="tx1"/>
            </w14:solidFill>
          </w14:textFill>
        </w:rPr>
        <w:t>。</w:t>
      </w:r>
    </w:p>
    <w:p w14:paraId="4A34AA27">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2.履约验收组织机构：海南省生态环境监测中心</w:t>
      </w:r>
    </w:p>
    <w:p w14:paraId="429C53D1">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二、验收时间</w:t>
      </w:r>
    </w:p>
    <w:p w14:paraId="4C916D33">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根据项目要求，202</w:t>
      </w:r>
      <w:r>
        <w:rPr>
          <w:color w:val="000000" w:themeColor="text1"/>
          <w:sz w:val="24"/>
          <w:szCs w:val="24"/>
          <w:highlight w:val="none"/>
          <w14:textFill>
            <w14:solidFill>
              <w14:schemeClr w14:val="tx1"/>
            </w14:solidFill>
          </w14:textFill>
        </w:rPr>
        <w:t>4</w:t>
      </w:r>
      <w:r>
        <w:rPr>
          <w:rFonts w:hint="eastAsia"/>
          <w:color w:val="000000" w:themeColor="text1"/>
          <w:sz w:val="24"/>
          <w:szCs w:val="24"/>
          <w:highlight w:val="none"/>
          <w14:textFill>
            <w14:solidFill>
              <w14:schemeClr w14:val="tx1"/>
            </w14:solidFill>
          </w14:textFill>
        </w:rPr>
        <w:t>年</w:t>
      </w:r>
      <w:r>
        <w:rPr>
          <w:color w:val="000000" w:themeColor="text1"/>
          <w:sz w:val="24"/>
          <w:szCs w:val="24"/>
          <w:highlight w:val="none"/>
          <w14:textFill>
            <w14:solidFill>
              <w14:schemeClr w14:val="tx1"/>
            </w14:solidFill>
          </w14:textFill>
        </w:rPr>
        <w:t>12</w:t>
      </w:r>
      <w:r>
        <w:rPr>
          <w:rFonts w:hint="eastAsia"/>
          <w:color w:val="000000" w:themeColor="text1"/>
          <w:sz w:val="24"/>
          <w:szCs w:val="24"/>
          <w:highlight w:val="none"/>
          <w14:textFill>
            <w14:solidFill>
              <w14:schemeClr w14:val="tx1"/>
            </w14:solidFill>
          </w14:textFill>
        </w:rPr>
        <w:t>月</w:t>
      </w:r>
      <w:r>
        <w:rPr>
          <w:color w:val="000000" w:themeColor="text1"/>
          <w:sz w:val="24"/>
          <w:szCs w:val="24"/>
          <w:highlight w:val="none"/>
          <w14:textFill>
            <w14:solidFill>
              <w14:schemeClr w14:val="tx1"/>
            </w14:solidFill>
          </w14:textFill>
        </w:rPr>
        <w:t xml:space="preserve"> 1 </w:t>
      </w:r>
      <w:r>
        <w:rPr>
          <w:rFonts w:hint="eastAsia"/>
          <w:color w:val="000000" w:themeColor="text1"/>
          <w:sz w:val="24"/>
          <w:szCs w:val="24"/>
          <w:highlight w:val="none"/>
          <w14:textFill>
            <w14:solidFill>
              <w14:schemeClr w14:val="tx1"/>
            </w14:solidFill>
          </w14:textFill>
        </w:rPr>
        <w:t>日—202</w:t>
      </w:r>
      <w:r>
        <w:rPr>
          <w:color w:val="000000" w:themeColor="text1"/>
          <w:sz w:val="24"/>
          <w:szCs w:val="24"/>
          <w:highlight w:val="none"/>
          <w14:textFill>
            <w14:solidFill>
              <w14:schemeClr w14:val="tx1"/>
            </w14:solidFill>
          </w14:textFill>
        </w:rPr>
        <w:t>4</w:t>
      </w:r>
      <w:r>
        <w:rPr>
          <w:rFonts w:hint="eastAsia"/>
          <w:color w:val="000000" w:themeColor="text1"/>
          <w:sz w:val="24"/>
          <w:szCs w:val="24"/>
          <w:highlight w:val="none"/>
          <w14:textFill>
            <w14:solidFill>
              <w14:schemeClr w14:val="tx1"/>
            </w14:solidFill>
          </w14:textFill>
        </w:rPr>
        <w:t>年</w:t>
      </w:r>
      <w:r>
        <w:rPr>
          <w:color w:val="000000" w:themeColor="text1"/>
          <w:sz w:val="24"/>
          <w:szCs w:val="24"/>
          <w:highlight w:val="none"/>
          <w14:textFill>
            <w14:solidFill>
              <w14:schemeClr w14:val="tx1"/>
            </w14:solidFill>
          </w14:textFill>
        </w:rPr>
        <w:t>12</w:t>
      </w:r>
      <w:r>
        <w:rPr>
          <w:rFonts w:hint="eastAsia"/>
          <w:color w:val="000000" w:themeColor="text1"/>
          <w:sz w:val="24"/>
          <w:szCs w:val="24"/>
          <w:highlight w:val="none"/>
          <w14:textFill>
            <w14:solidFill>
              <w14:schemeClr w14:val="tx1"/>
            </w14:solidFill>
          </w14:textFill>
        </w:rPr>
        <w:t>月3</w:t>
      </w:r>
      <w:r>
        <w:rPr>
          <w:color w:val="000000" w:themeColor="text1"/>
          <w:sz w:val="24"/>
          <w:szCs w:val="24"/>
          <w:highlight w:val="none"/>
          <w14:textFill>
            <w14:solidFill>
              <w14:schemeClr w14:val="tx1"/>
            </w14:solidFill>
          </w14:textFill>
        </w:rPr>
        <w:t>1</w:t>
      </w:r>
      <w:r>
        <w:rPr>
          <w:rFonts w:hint="eastAsia"/>
          <w:color w:val="000000" w:themeColor="text1"/>
          <w:sz w:val="24"/>
          <w:szCs w:val="24"/>
          <w:highlight w:val="none"/>
          <w14:textFill>
            <w14:solidFill>
              <w14:schemeClr w14:val="tx1"/>
            </w14:solidFill>
          </w14:textFill>
        </w:rPr>
        <w:t>日对项目进行履约验收。</w:t>
      </w:r>
    </w:p>
    <w:p w14:paraId="61755EB2">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三、验收方式</w:t>
      </w:r>
    </w:p>
    <w:p w14:paraId="1AC96C4B">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项目运行期间，定期或不定期考察实际运行情况与运行效果。期末对整个周期内运行情况及运行效果进行统计，组织成立验收小组，判断与合同规定的符合程度，得出结论。</w:t>
      </w:r>
    </w:p>
    <w:p w14:paraId="1C08080F">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四、验收程序</w:t>
      </w:r>
    </w:p>
    <w:p w14:paraId="113697DD">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1.成立履约验收小组：从省环境监测中心相关科室抽调技术人员成立验收小组，负责验收相关事宜。</w:t>
      </w:r>
    </w:p>
    <w:p w14:paraId="2FDD7221">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2.履约验收会议：由省监测中心组织召开履约验收会议，履约验收小组成员及运维单位派员参会。</w:t>
      </w:r>
    </w:p>
    <w:p w14:paraId="751996DF">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3.开展履约验收：严格按照验收方案对运维服务质量进行验收。</w:t>
      </w:r>
    </w:p>
    <w:p w14:paraId="1E67E05A">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4.提交验收意见：履约验收完毕，对运维单位运维服务质量做出评价，得出结论性意见。</w:t>
      </w:r>
    </w:p>
    <w:p w14:paraId="16537B41">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五、验收内容及标准</w:t>
      </w:r>
    </w:p>
    <w:p w14:paraId="16B4A880">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为确保项目顺利开展，跨界水站设备及网络良好运行，制定了以下验收标准，具体验收指标如下：</w:t>
      </w:r>
    </w:p>
    <w:p w14:paraId="395E20C1">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lang w:val="en-US" w:eastAsia="zh-CN"/>
          <w14:textFill>
            <w14:solidFill>
              <w14:schemeClr w14:val="tx1"/>
            </w14:solidFill>
          </w14:textFill>
        </w:rPr>
        <w:t>1</w:t>
      </w:r>
      <w:r>
        <w:rPr>
          <w:rFonts w:hint="eastAsia"/>
          <w:color w:val="000000" w:themeColor="text1"/>
          <w:sz w:val="24"/>
          <w:szCs w:val="24"/>
          <w:highlight w:val="none"/>
          <w14:textFill>
            <w14:solidFill>
              <w14:schemeClr w14:val="tx1"/>
            </w14:solidFill>
          </w14:textFill>
        </w:rPr>
        <w:t>.数据有效率，运维单位要确保运维周期内数据有效率在80%以上。</w:t>
      </w:r>
    </w:p>
    <w:p w14:paraId="56790EF9">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lang w:val="en-US" w:eastAsia="zh-CN"/>
          <w14:textFill>
            <w14:solidFill>
              <w14:schemeClr w14:val="tx1"/>
            </w14:solidFill>
          </w14:textFill>
        </w:rPr>
        <w:t>2</w:t>
      </w:r>
      <w:r>
        <w:rPr>
          <w:rFonts w:hint="eastAsia"/>
          <w:color w:val="000000" w:themeColor="text1"/>
          <w:sz w:val="24"/>
          <w:szCs w:val="24"/>
          <w:highlight w:val="none"/>
          <w14:textFill>
            <w14:solidFill>
              <w14:schemeClr w14:val="tx1"/>
            </w14:solidFill>
          </w14:textFill>
        </w:rPr>
        <w:t>.盲样考核合格率，运维单位要确保运维周期内盲样考核合格率在80%以上。</w:t>
      </w:r>
    </w:p>
    <w:p w14:paraId="117A688B">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lang w:val="en-US" w:eastAsia="zh-CN"/>
          <w14:textFill>
            <w14:solidFill>
              <w14:schemeClr w14:val="tx1"/>
            </w14:solidFill>
          </w14:textFill>
        </w:rPr>
        <w:t>3</w:t>
      </w:r>
      <w:r>
        <w:rPr>
          <w:rFonts w:hint="eastAsia"/>
          <w:color w:val="000000" w:themeColor="text1"/>
          <w:sz w:val="24"/>
          <w:szCs w:val="24"/>
          <w:highlight w:val="none"/>
          <w14:textFill>
            <w14:solidFill>
              <w14:schemeClr w14:val="tx1"/>
            </w14:solidFill>
          </w14:textFill>
        </w:rPr>
        <w:t>.仪器设备数量，备机、便携仪器设备、备品备件等仪器设备应按项目要求配备并在服务周期内保持，如发生损坏或缺失应及时补足。</w:t>
      </w:r>
    </w:p>
    <w:p w14:paraId="4C5B3237">
      <w:pPr>
        <w:adjustRightInd w:val="0"/>
        <w:snapToGrid w:val="0"/>
        <w:spacing w:line="360" w:lineRule="auto"/>
        <w:ind w:firstLine="480" w:firstLineChars="200"/>
        <w:jc w:val="left"/>
        <w:rPr>
          <w:color w:val="000000" w:themeColor="text1"/>
          <w:sz w:val="24"/>
          <w:szCs w:val="24"/>
          <w:highlight w:val="none"/>
          <w14:textFill>
            <w14:solidFill>
              <w14:schemeClr w14:val="tx1"/>
            </w14:solidFill>
          </w14:textFill>
        </w:rPr>
      </w:pPr>
      <w:r>
        <w:rPr>
          <w:rFonts w:hint="eastAsia"/>
          <w:color w:val="000000" w:themeColor="text1"/>
          <w:sz w:val="24"/>
          <w:szCs w:val="24"/>
          <w:highlight w:val="none"/>
          <w:lang w:val="en-US" w:eastAsia="zh-CN"/>
          <w14:textFill>
            <w14:solidFill>
              <w14:schemeClr w14:val="tx1"/>
            </w14:solidFill>
          </w14:textFill>
        </w:rPr>
        <w:t>4</w:t>
      </w:r>
      <w:r>
        <w:rPr>
          <w:rFonts w:hint="eastAsia"/>
          <w:color w:val="000000" w:themeColor="text1"/>
          <w:sz w:val="24"/>
          <w:szCs w:val="24"/>
          <w:highlight w:val="none"/>
          <w14:textFill>
            <w14:solidFill>
              <w14:schemeClr w14:val="tx1"/>
            </w14:solidFill>
          </w14:textFill>
        </w:rPr>
        <w:t>.人员配备，运维单位应按项目要求配备相关人员，并在服务周期内持续保证人员配备的完整性和人员能力的符合性。</w:t>
      </w:r>
    </w:p>
    <w:p w14:paraId="42240A14">
      <w:pPr>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5.项目管理水平，由验收专家组综合评估运维单位运维技术水平、质量管理与控制水平、人员管理水平等，并确定评估结论。</w:t>
      </w:r>
    </w:p>
    <w:p w14:paraId="5B6D5660">
      <w:pPr>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br w:type="page"/>
      </w:r>
    </w:p>
    <w:p w14:paraId="601DB601">
      <w:pPr>
        <w:pStyle w:val="2"/>
        <w:numPr>
          <w:ilvl w:val="1"/>
          <w:numId w:val="0"/>
        </w:numPr>
        <w:bidi w:val="0"/>
        <w:ind w:leftChars="0"/>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采购包4采购合同</w:t>
      </w:r>
    </w:p>
    <w:p w14:paraId="6C2C917C">
      <w:pPr>
        <w:pStyle w:val="11"/>
        <w:bidi w:val="0"/>
        <w:rPr>
          <w:rFonts w:hint="eastAsia" w:ascii="宋体" w:hAnsi="宋体" w:eastAsia="宋体" w:cs="宋体"/>
          <w:color w:val="000000" w:themeColor="text1"/>
          <w:highlight w:val="none"/>
          <w:lang w:val="en-US" w:eastAsia="zh-CN"/>
          <w14:textFill>
            <w14:solidFill>
              <w14:schemeClr w14:val="tx1"/>
            </w14:solidFill>
          </w14:textFill>
        </w:rPr>
      </w:pPr>
    </w:p>
    <w:p w14:paraId="6593472F">
      <w:pPr>
        <w:pStyle w:val="11"/>
        <w:bidi w:val="0"/>
        <w:rPr>
          <w:rFonts w:hint="eastAsia" w:ascii="宋体" w:hAnsi="宋体" w:eastAsia="宋体" w:cs="宋体"/>
          <w:color w:val="000000" w:themeColor="text1"/>
          <w:highlight w:val="none"/>
          <w:lang w:val="en-US" w:eastAsia="zh-CN"/>
          <w14:textFill>
            <w14:solidFill>
              <w14:schemeClr w14:val="tx1"/>
            </w14:solidFill>
          </w14:textFill>
        </w:rPr>
      </w:pPr>
    </w:p>
    <w:p w14:paraId="339EE4D7">
      <w:pPr>
        <w:jc w:val="center"/>
        <w:outlineLvl w:val="0"/>
        <w:rPr>
          <w:rFonts w:hint="eastAsia" w:eastAsia="宋体"/>
          <w:b/>
          <w:color w:val="000000" w:themeColor="text1"/>
          <w:sz w:val="48"/>
          <w:szCs w:val="48"/>
          <w:lang w:eastAsia="zh-CN"/>
          <w14:textFill>
            <w14:solidFill>
              <w14:schemeClr w14:val="tx1"/>
            </w14:solidFill>
          </w14:textFill>
        </w:rPr>
      </w:pPr>
      <w:bookmarkStart w:id="54" w:name="_Toc11096"/>
      <w:bookmarkStart w:id="55" w:name="_Toc14264"/>
      <w:bookmarkStart w:id="56" w:name="_Toc1576"/>
      <w:bookmarkStart w:id="57" w:name="_Toc317237621"/>
      <w:bookmarkStart w:id="58" w:name="_Toc25626"/>
      <w:r>
        <w:rPr>
          <w:rFonts w:hint="eastAsia"/>
          <w:b/>
          <w:color w:val="000000" w:themeColor="text1"/>
          <w:sz w:val="48"/>
          <w:szCs w:val="48"/>
          <w14:textFill>
            <w14:solidFill>
              <w14:schemeClr w14:val="tx1"/>
            </w14:solidFill>
          </w14:textFill>
        </w:rPr>
        <w:t>第四部分  采购合同</w:t>
      </w:r>
      <w:bookmarkEnd w:id="54"/>
      <w:bookmarkEnd w:id="55"/>
      <w:bookmarkEnd w:id="56"/>
      <w:bookmarkEnd w:id="57"/>
      <w:r>
        <w:rPr>
          <w:rFonts w:hint="eastAsia"/>
          <w:b/>
          <w:color w:val="000000" w:themeColor="text1"/>
          <w:sz w:val="48"/>
          <w:szCs w:val="48"/>
          <w:lang w:eastAsia="zh-CN"/>
          <w14:textFill>
            <w14:solidFill>
              <w14:schemeClr w14:val="tx1"/>
            </w14:solidFill>
          </w14:textFill>
        </w:rPr>
        <w:t>（</w:t>
      </w:r>
      <w:r>
        <w:rPr>
          <w:rFonts w:hint="eastAsia"/>
          <w:b/>
          <w:color w:val="000000" w:themeColor="text1"/>
          <w:sz w:val="48"/>
          <w:szCs w:val="48"/>
          <w:lang w:val="en-US" w:eastAsia="zh-CN"/>
          <w14:textFill>
            <w14:solidFill>
              <w14:schemeClr w14:val="tx1"/>
            </w14:solidFill>
          </w14:textFill>
        </w:rPr>
        <w:t>仅供参考</w:t>
      </w:r>
      <w:r>
        <w:rPr>
          <w:rFonts w:hint="eastAsia"/>
          <w:b/>
          <w:color w:val="000000" w:themeColor="text1"/>
          <w:sz w:val="48"/>
          <w:szCs w:val="48"/>
          <w:lang w:eastAsia="zh-CN"/>
          <w14:textFill>
            <w14:solidFill>
              <w14:schemeClr w14:val="tx1"/>
            </w14:solidFill>
          </w14:textFill>
        </w:rPr>
        <w:t>）</w:t>
      </w:r>
      <w:bookmarkEnd w:id="58"/>
    </w:p>
    <w:p w14:paraId="3DAA2C07">
      <w:pPr>
        <w:rPr>
          <w:color w:val="000000" w:themeColor="text1"/>
          <w:sz w:val="24"/>
          <w14:textFill>
            <w14:solidFill>
              <w14:schemeClr w14:val="tx1"/>
            </w14:solidFill>
          </w14:textFill>
        </w:rPr>
      </w:pPr>
    </w:p>
    <w:p w14:paraId="6F9FF57A">
      <w:pPr>
        <w:rPr>
          <w:color w:val="000000" w:themeColor="text1"/>
          <w:sz w:val="24"/>
          <w14:textFill>
            <w14:solidFill>
              <w14:schemeClr w14:val="tx1"/>
            </w14:solidFill>
          </w14:textFill>
        </w:rPr>
      </w:pPr>
    </w:p>
    <w:p w14:paraId="71B99599">
      <w:pPr>
        <w:spacing w:before="156" w:beforeLines="50" w:line="360" w:lineRule="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甲  方：</w:t>
      </w:r>
      <w:r>
        <w:rPr>
          <w:rFonts w:hint="eastAsia"/>
          <w:color w:val="000000" w:themeColor="text1"/>
          <w:sz w:val="24"/>
          <w:u w:val="single"/>
          <w14:textFill>
            <w14:solidFill>
              <w14:schemeClr w14:val="tx1"/>
            </w14:solidFill>
          </w14:textFill>
        </w:rPr>
        <w:t xml:space="preserve">                               </w:t>
      </w:r>
    </w:p>
    <w:p w14:paraId="00F432B7">
      <w:pPr>
        <w:spacing w:before="156" w:beforeLines="50" w:line="360" w:lineRule="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乙  方：</w:t>
      </w:r>
      <w:r>
        <w:rPr>
          <w:rFonts w:hint="eastAsia"/>
          <w:color w:val="000000" w:themeColor="text1"/>
          <w:sz w:val="24"/>
          <w:u w:val="single"/>
          <w14:textFill>
            <w14:solidFill>
              <w14:schemeClr w14:val="tx1"/>
            </w14:solidFill>
          </w14:textFill>
        </w:rPr>
        <w:t xml:space="preserve">                               </w:t>
      </w:r>
    </w:p>
    <w:p w14:paraId="4E2772A8">
      <w:pPr>
        <w:spacing w:before="156" w:beforeLines="50" w:line="360" w:lineRule="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见证方：</w:t>
      </w:r>
      <w:r>
        <w:rPr>
          <w:rFonts w:hint="eastAsia"/>
          <w:color w:val="000000" w:themeColor="text1"/>
          <w:sz w:val="24"/>
          <w:u w:val="single"/>
          <w14:textFill>
            <w14:solidFill>
              <w14:schemeClr w14:val="tx1"/>
            </w14:solidFill>
          </w14:textFill>
        </w:rPr>
        <w:t xml:space="preserve">  海南菲迪克招标咨询有限公司   </w:t>
      </w:r>
    </w:p>
    <w:p w14:paraId="209E1AF8">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依据《中华人民共和国政府采购法》、《中华人民共和国政府采购法实施条例》、《政府采购竞争性磋商采购方式管理暂行办法》和《中华人民共和国</w:t>
      </w:r>
      <w:r>
        <w:rPr>
          <w:rFonts w:hint="eastAsia"/>
          <w:color w:val="000000" w:themeColor="text1"/>
          <w:sz w:val="24"/>
          <w:lang w:val="en-US" w:eastAsia="zh-CN"/>
          <w14:textFill>
            <w14:solidFill>
              <w14:schemeClr w14:val="tx1"/>
            </w14:solidFill>
          </w14:textFill>
        </w:rPr>
        <w:t>民法典</w:t>
      </w:r>
      <w:r>
        <w:rPr>
          <w:rFonts w:hint="eastAsia"/>
          <w:color w:val="000000" w:themeColor="text1"/>
          <w:sz w:val="24"/>
          <w14:textFill>
            <w14:solidFill>
              <w14:schemeClr w14:val="tx1"/>
            </w14:solidFill>
          </w14:textFill>
        </w:rPr>
        <w:t>》，经过双方友好协商，双方同意签订以下合同条款，以便双方共同遵守、履行合同。</w:t>
      </w:r>
    </w:p>
    <w:p w14:paraId="77E5B18D">
      <w:pPr>
        <w:numPr>
          <w:ilvl w:val="0"/>
          <w:numId w:val="2"/>
        </w:num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合同内容</w:t>
      </w:r>
    </w:p>
    <w:p w14:paraId="59FE21B5">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1、采购内容</w:t>
      </w:r>
    </w:p>
    <w:p w14:paraId="2FBAE3CF">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2、下列文件为本合同不可分割部分：</w:t>
      </w:r>
    </w:p>
    <w:p w14:paraId="0BEEA1D1">
      <w:pPr>
        <w:spacing w:line="360" w:lineRule="auto"/>
        <w:ind w:firstLine="720" w:firstLineChars="3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① 成交通知书；</w:t>
      </w:r>
    </w:p>
    <w:p w14:paraId="596CD655">
      <w:pPr>
        <w:spacing w:line="360" w:lineRule="auto"/>
        <w:ind w:firstLine="720" w:firstLineChars="3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② 磋商文件；</w:t>
      </w:r>
    </w:p>
    <w:p w14:paraId="4CD76934">
      <w:pPr>
        <w:spacing w:line="360" w:lineRule="auto"/>
        <w:ind w:firstLine="720" w:firstLineChars="3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③ 乙方的响应文件；</w:t>
      </w:r>
    </w:p>
    <w:p w14:paraId="7289896E">
      <w:pPr>
        <w:spacing w:line="360" w:lineRule="auto"/>
        <w:ind w:firstLine="720" w:firstLineChars="3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④ 乙方在磋商过程中所作的其它承诺、声明、书面澄清等。</w:t>
      </w:r>
    </w:p>
    <w:p w14:paraId="33048752">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3、服务期限：</w:t>
      </w:r>
    </w:p>
    <w:p w14:paraId="0BFA4035">
      <w:pPr>
        <w:spacing w:line="360" w:lineRule="auto"/>
        <w:ind w:firstLine="720" w:firstLineChars="300"/>
        <w:rPr>
          <w:rFonts w:hint="eastAsia"/>
          <w:color w:val="000000" w:themeColor="text1"/>
          <w:sz w:val="24"/>
          <w14:textFill>
            <w14:solidFill>
              <w14:schemeClr w14:val="tx1"/>
            </w14:solidFill>
          </w14:textFill>
        </w:rPr>
      </w:pPr>
    </w:p>
    <w:p w14:paraId="3D90FE8C">
      <w:pPr>
        <w:numPr>
          <w:ilvl w:val="0"/>
          <w:numId w:val="2"/>
        </w:num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价格与支付：</w:t>
      </w:r>
    </w:p>
    <w:p w14:paraId="2DBA0BB0">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1、合同价格按此次成交价格执行，合同总金额为人民币</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元，磋商总价一次报定，包括完成该项目的一切费用。</w:t>
      </w:r>
    </w:p>
    <w:p w14:paraId="10943A8F">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2、付款方式与步骤：</w:t>
      </w:r>
    </w:p>
    <w:p w14:paraId="14F025A1">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成交后，甲乙双方协商确定。</w:t>
      </w:r>
    </w:p>
    <w:p w14:paraId="4E06D18A">
      <w:pPr>
        <w:numPr>
          <w:ilvl w:val="0"/>
          <w:numId w:val="2"/>
        </w:num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本合同发生争议产生的诉讼，由合同签订所在地人民法院管辖。</w:t>
      </w:r>
    </w:p>
    <w:p w14:paraId="1ED6D41B">
      <w:pPr>
        <w:numPr>
          <w:ilvl w:val="0"/>
          <w:numId w:val="2"/>
        </w:num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合同生效及其它：</w:t>
      </w:r>
    </w:p>
    <w:p w14:paraId="58D2B92D">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本合同经双方代表签字并加盖公章后生效。本合同正本一式六份，甲方留存二份，乙方留存二份，报财政主管部门一份，送采购代理机构一份。</w:t>
      </w:r>
    </w:p>
    <w:p w14:paraId="1F1D47E4">
      <w:pPr>
        <w:numPr>
          <w:ilvl w:val="0"/>
          <w:numId w:val="2"/>
        </w:num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不可抗力</w:t>
      </w:r>
    </w:p>
    <w:p w14:paraId="47029A27">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在合同规定的履行期限内，由于受不可抗力事件影响而不能履行合同时，受阻一方在提供合法证明后可免予承担违约责任，本合同自行终止。不可抗力事件系指供、需双方在缔结合同时所不能预见的，并且它的发生及其后果是无法避免和无法克服的事件。</w:t>
      </w:r>
    </w:p>
    <w:p w14:paraId="0F29AAD0">
      <w:pPr>
        <w:numPr>
          <w:ilvl w:val="0"/>
          <w:numId w:val="2"/>
        </w:num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纠纷处理</w:t>
      </w:r>
    </w:p>
    <w:p w14:paraId="7CD83588">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在合同执行过程中发生的与本合同有关的争议，双方应通过友好协商解决。经协商在60天内不能达成协议时，按照《中华人民共和国</w:t>
      </w:r>
      <w:r>
        <w:rPr>
          <w:rFonts w:hint="eastAsia"/>
          <w:color w:val="000000" w:themeColor="text1"/>
          <w:sz w:val="24"/>
          <w:lang w:val="en-US" w:eastAsia="zh-CN"/>
          <w14:textFill>
            <w14:solidFill>
              <w14:schemeClr w14:val="tx1"/>
            </w14:solidFill>
          </w14:textFill>
        </w:rPr>
        <w:t>民法典</w:t>
      </w:r>
      <w:r>
        <w:rPr>
          <w:rFonts w:hint="eastAsia"/>
          <w:color w:val="000000" w:themeColor="text1"/>
          <w:sz w:val="24"/>
          <w14:textFill>
            <w14:solidFill>
              <w14:schemeClr w14:val="tx1"/>
            </w14:solidFill>
          </w14:textFill>
        </w:rPr>
        <w:t>》有关条款执行。</w:t>
      </w:r>
    </w:p>
    <w:p w14:paraId="350D40AC">
      <w:pPr>
        <w:numPr>
          <w:ilvl w:val="0"/>
          <w:numId w:val="2"/>
        </w:num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合同的修改和补充</w:t>
      </w:r>
    </w:p>
    <w:p w14:paraId="26B021EB">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欲对合同条款作出任何修改和补充，均须由甲、乙双方法定代表人或其授权的代表签署书面协议。</w:t>
      </w:r>
    </w:p>
    <w:p w14:paraId="63A8FA1E">
      <w:pPr>
        <w:spacing w:line="360" w:lineRule="auto"/>
        <w:ind w:firstLine="480" w:firstLineChars="200"/>
        <w:rPr>
          <w:rFonts w:hint="eastAsia"/>
          <w:color w:val="000000" w:themeColor="text1"/>
          <w:sz w:val="24"/>
          <w14:textFill>
            <w14:solidFill>
              <w14:schemeClr w14:val="tx1"/>
            </w14:solidFill>
          </w14:textFill>
        </w:rPr>
      </w:pPr>
    </w:p>
    <w:p w14:paraId="11D4FF4F">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甲方：(签章)                      乙方：(签章)</w:t>
      </w:r>
    </w:p>
    <w:p w14:paraId="30DEBAB6">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地址：                           地址：</w:t>
      </w:r>
    </w:p>
    <w:p w14:paraId="02B5DE59">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邮编：                           邮编：</w:t>
      </w:r>
    </w:p>
    <w:p w14:paraId="48410E88">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开户行：                         开户行：</w:t>
      </w:r>
    </w:p>
    <w:p w14:paraId="181A307A">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账号：                           账号：</w:t>
      </w:r>
    </w:p>
    <w:p w14:paraId="46DDAEA3">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电话：                           电话：</w:t>
      </w:r>
    </w:p>
    <w:p w14:paraId="39CB2673">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xml:space="preserve">传真：                           传真：       </w:t>
      </w:r>
    </w:p>
    <w:p w14:paraId="77D1A76B">
      <w:pPr>
        <w:spacing w:line="360" w:lineRule="auto"/>
        <w:ind w:firstLine="480" w:firstLineChars="200"/>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授权代表签字：                   授权代表签字：</w:t>
      </w:r>
    </w:p>
    <w:p w14:paraId="20F8AF33">
      <w:pP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签订时间：                       签订时间：</w:t>
      </w:r>
    </w:p>
    <w:p w14:paraId="1CC5A73E">
      <w:pPr>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br w:type="page"/>
      </w:r>
    </w:p>
    <w:p w14:paraId="03AC62DF">
      <w:pPr>
        <w:pStyle w:val="2"/>
        <w:numPr>
          <w:ilvl w:val="1"/>
          <w:numId w:val="0"/>
        </w:numPr>
        <w:bidi w:val="0"/>
        <w:ind w:leftChars="0"/>
        <w:jc w:val="cente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采购包5采购合同</w:t>
      </w:r>
    </w:p>
    <w:p w14:paraId="335F440D">
      <w:pPr>
        <w:spacing w:line="288" w:lineRule="auto"/>
        <w:jc w:val="center"/>
        <w:rPr>
          <w:b/>
          <w:bCs/>
          <w:color w:val="000000" w:themeColor="text1"/>
          <w:sz w:val="44"/>
          <w:szCs w:val="44"/>
          <w:highlight w:val="none"/>
          <w14:textFill>
            <w14:solidFill>
              <w14:schemeClr w14:val="tx1"/>
            </w14:solidFill>
          </w14:textFill>
        </w:rPr>
      </w:pPr>
      <w:bookmarkStart w:id="59" w:name="OLE_LINK4"/>
      <w:r>
        <w:rPr>
          <w:rFonts w:hint="eastAsia"/>
          <w:b/>
          <w:bCs/>
          <w:color w:val="000000" w:themeColor="text1"/>
          <w:sz w:val="44"/>
          <w:szCs w:val="44"/>
          <w:highlight w:val="none"/>
          <w:lang w:val="en-US" w:eastAsia="zh-CN"/>
          <w14:textFill>
            <w14:solidFill>
              <w14:schemeClr w14:val="tx1"/>
            </w14:solidFill>
          </w14:textFill>
        </w:rPr>
        <w:t>2025年度海南省省控环境空气质量监测自动站运行维护项目</w:t>
      </w:r>
      <w:r>
        <w:rPr>
          <w:rFonts w:hint="eastAsia"/>
          <w:b/>
          <w:bCs/>
          <w:color w:val="000000" w:themeColor="text1"/>
          <w:sz w:val="44"/>
          <w:szCs w:val="44"/>
          <w:highlight w:val="none"/>
          <w14:textFill>
            <w14:solidFill>
              <w14:schemeClr w14:val="tx1"/>
            </w14:solidFill>
          </w14:textFill>
        </w:rPr>
        <w:t>（</w:t>
      </w:r>
      <w:r>
        <w:rPr>
          <w:rFonts w:hint="eastAsia"/>
          <w:b/>
          <w:bCs/>
          <w:color w:val="000000" w:themeColor="text1"/>
          <w:sz w:val="44"/>
          <w:szCs w:val="44"/>
          <w:highlight w:val="none"/>
          <w:lang w:val="en-US" w:eastAsia="zh-CN"/>
          <w14:textFill>
            <w14:solidFill>
              <w14:schemeClr w14:val="tx1"/>
            </w14:solidFill>
          </w14:textFill>
        </w:rPr>
        <w:t>采购包5</w:t>
      </w:r>
      <w:r>
        <w:rPr>
          <w:rFonts w:hint="eastAsia"/>
          <w:b/>
          <w:bCs/>
          <w:color w:val="000000" w:themeColor="text1"/>
          <w:sz w:val="44"/>
          <w:szCs w:val="44"/>
          <w:highlight w:val="none"/>
          <w14:textFill>
            <w14:solidFill>
              <w14:schemeClr w14:val="tx1"/>
            </w14:solidFill>
          </w14:textFill>
        </w:rPr>
        <w:t>）</w:t>
      </w:r>
    </w:p>
    <w:p w14:paraId="1F15E169">
      <w:pPr>
        <w:pStyle w:val="3"/>
        <w:ind w:firstLine="0" w:firstLineChars="0"/>
        <w:jc w:val="center"/>
        <w:rPr>
          <w:color w:val="000000" w:themeColor="text1"/>
          <w:sz w:val="30"/>
          <w:szCs w:val="30"/>
          <w:highlight w:val="none"/>
          <w14:textFill>
            <w14:solidFill>
              <w14:schemeClr w14:val="tx1"/>
            </w14:solidFill>
          </w14:textFill>
        </w:rPr>
      </w:pPr>
    </w:p>
    <w:p w14:paraId="7CC3FF9E">
      <w:pPr>
        <w:spacing w:line="288" w:lineRule="auto"/>
        <w:jc w:val="center"/>
        <w:rPr>
          <w:b/>
          <w:bCs/>
          <w:color w:val="000000" w:themeColor="text1"/>
          <w:sz w:val="72"/>
          <w:szCs w:val="72"/>
          <w:highlight w:val="none"/>
          <w14:textFill>
            <w14:solidFill>
              <w14:schemeClr w14:val="tx1"/>
            </w14:solidFill>
          </w14:textFill>
        </w:rPr>
      </w:pPr>
      <w:r>
        <w:rPr>
          <w:b/>
          <w:bCs/>
          <w:color w:val="000000" w:themeColor="text1"/>
          <w:sz w:val="72"/>
          <w:szCs w:val="72"/>
          <w:highlight w:val="none"/>
          <w14:textFill>
            <w14:solidFill>
              <w14:schemeClr w14:val="tx1"/>
            </w14:solidFill>
          </w14:textFill>
        </w:rPr>
        <w:t>合</w:t>
      </w:r>
    </w:p>
    <w:p w14:paraId="4573A38F">
      <w:pPr>
        <w:spacing w:line="288" w:lineRule="auto"/>
        <w:jc w:val="center"/>
        <w:rPr>
          <w:b/>
          <w:bCs/>
          <w:color w:val="000000" w:themeColor="text1"/>
          <w:sz w:val="44"/>
          <w:szCs w:val="44"/>
          <w:highlight w:val="none"/>
          <w14:textFill>
            <w14:solidFill>
              <w14:schemeClr w14:val="tx1"/>
            </w14:solidFill>
          </w14:textFill>
        </w:rPr>
      </w:pPr>
    </w:p>
    <w:p w14:paraId="32CFE897">
      <w:pPr>
        <w:spacing w:line="288" w:lineRule="auto"/>
        <w:jc w:val="center"/>
        <w:rPr>
          <w:b/>
          <w:bCs/>
          <w:color w:val="000000" w:themeColor="text1"/>
          <w:sz w:val="72"/>
          <w:szCs w:val="72"/>
          <w:highlight w:val="none"/>
          <w14:textFill>
            <w14:solidFill>
              <w14:schemeClr w14:val="tx1"/>
            </w14:solidFill>
          </w14:textFill>
        </w:rPr>
      </w:pPr>
      <w:r>
        <w:rPr>
          <w:b/>
          <w:bCs/>
          <w:color w:val="000000" w:themeColor="text1"/>
          <w:sz w:val="72"/>
          <w:szCs w:val="72"/>
          <w:highlight w:val="none"/>
          <w14:textFill>
            <w14:solidFill>
              <w14:schemeClr w14:val="tx1"/>
            </w14:solidFill>
          </w14:textFill>
        </w:rPr>
        <w:t>同</w:t>
      </w:r>
    </w:p>
    <w:p w14:paraId="10685980">
      <w:pPr>
        <w:spacing w:line="288" w:lineRule="auto"/>
        <w:jc w:val="center"/>
        <w:rPr>
          <w:b/>
          <w:bCs/>
          <w:color w:val="000000" w:themeColor="text1"/>
          <w:sz w:val="44"/>
          <w:szCs w:val="44"/>
          <w:highlight w:val="none"/>
          <w14:textFill>
            <w14:solidFill>
              <w14:schemeClr w14:val="tx1"/>
            </w14:solidFill>
          </w14:textFill>
        </w:rPr>
      </w:pPr>
    </w:p>
    <w:p w14:paraId="1D44F365">
      <w:pPr>
        <w:spacing w:line="288" w:lineRule="auto"/>
        <w:jc w:val="center"/>
        <w:rPr>
          <w:b/>
          <w:bCs/>
          <w:color w:val="000000" w:themeColor="text1"/>
          <w:sz w:val="72"/>
          <w:szCs w:val="72"/>
          <w:highlight w:val="none"/>
          <w14:textFill>
            <w14:solidFill>
              <w14:schemeClr w14:val="tx1"/>
            </w14:solidFill>
          </w14:textFill>
        </w:rPr>
      </w:pPr>
      <w:r>
        <w:rPr>
          <w:b/>
          <w:bCs/>
          <w:color w:val="000000" w:themeColor="text1"/>
          <w:sz w:val="72"/>
          <w:szCs w:val="72"/>
          <w:highlight w:val="none"/>
          <w14:textFill>
            <w14:solidFill>
              <w14:schemeClr w14:val="tx1"/>
            </w14:solidFill>
          </w14:textFill>
        </w:rPr>
        <w:t>书</w:t>
      </w:r>
    </w:p>
    <w:p w14:paraId="45F09F9F">
      <w:pPr>
        <w:pStyle w:val="3"/>
        <w:ind w:firstLine="0" w:firstLineChars="0"/>
        <w:jc w:val="center"/>
        <w:rPr>
          <w:color w:val="000000" w:themeColor="text1"/>
          <w:sz w:val="30"/>
          <w:szCs w:val="30"/>
          <w:highlight w:val="none"/>
          <w14:textFill>
            <w14:solidFill>
              <w14:schemeClr w14:val="tx1"/>
            </w14:solidFill>
          </w14:textFill>
        </w:rPr>
      </w:pPr>
    </w:p>
    <w:p w14:paraId="589B7620">
      <w:pPr>
        <w:pStyle w:val="3"/>
        <w:ind w:firstLine="0" w:firstLineChars="0"/>
        <w:jc w:val="center"/>
        <w:rPr>
          <w:rFonts w:hint="eastAsia"/>
          <w:color w:val="000000" w:themeColor="text1"/>
          <w:sz w:val="30"/>
          <w:szCs w:val="30"/>
          <w:highlight w:val="none"/>
          <w14:textFill>
            <w14:solidFill>
              <w14:schemeClr w14:val="tx1"/>
            </w14:solidFill>
          </w14:textFill>
        </w:rPr>
      </w:pPr>
    </w:p>
    <w:p w14:paraId="3DBBDA08">
      <w:pPr>
        <w:spacing w:line="288" w:lineRule="auto"/>
        <w:ind w:firstLine="1968" w:firstLineChars="700"/>
        <w:rPr>
          <w:b/>
          <w:bCs/>
          <w:color w:val="000000" w:themeColor="text1"/>
          <w:sz w:val="28"/>
          <w:szCs w:val="28"/>
          <w:highlight w:val="none"/>
          <w14:textFill>
            <w14:solidFill>
              <w14:schemeClr w14:val="tx1"/>
            </w14:solidFill>
          </w14:textFill>
        </w:rPr>
      </w:pPr>
      <w:r>
        <w:rPr>
          <w:b/>
          <w:bCs/>
          <w:color w:val="000000" w:themeColor="text1"/>
          <w:sz w:val="28"/>
          <w:szCs w:val="28"/>
          <w:highlight w:val="none"/>
          <w14:textFill>
            <w14:solidFill>
              <w14:schemeClr w14:val="tx1"/>
            </w14:solidFill>
          </w14:textFill>
        </w:rPr>
        <w:t>甲    方：</w:t>
      </w:r>
      <w:r>
        <w:rPr>
          <w:b/>
          <w:bCs/>
          <w:color w:val="000000" w:themeColor="text1"/>
          <w:sz w:val="28"/>
          <w:szCs w:val="28"/>
          <w:highlight w:val="none"/>
          <w:u w:val="single"/>
          <w14:textFill>
            <w14:solidFill>
              <w14:schemeClr w14:val="tx1"/>
            </w14:solidFill>
          </w14:textFill>
        </w:rPr>
        <w:t xml:space="preserve">    </w:t>
      </w:r>
      <w:r>
        <w:rPr>
          <w:rFonts w:hint="eastAsia"/>
          <w:b/>
          <w:bCs/>
          <w:color w:val="000000" w:themeColor="text1"/>
          <w:sz w:val="28"/>
          <w:szCs w:val="28"/>
          <w:highlight w:val="none"/>
          <w:u w:val="single"/>
          <w:lang w:val="en-US" w:eastAsia="zh-CN"/>
          <w14:textFill>
            <w14:solidFill>
              <w14:schemeClr w14:val="tx1"/>
            </w14:solidFill>
          </w14:textFill>
        </w:rPr>
        <w:t xml:space="preserve">                      </w:t>
      </w:r>
      <w:r>
        <w:rPr>
          <w:b/>
          <w:bCs/>
          <w:color w:val="000000" w:themeColor="text1"/>
          <w:sz w:val="28"/>
          <w:szCs w:val="28"/>
          <w:highlight w:val="none"/>
          <w:u w:val="single"/>
          <w14:textFill>
            <w14:solidFill>
              <w14:schemeClr w14:val="tx1"/>
            </w14:solidFill>
          </w14:textFill>
        </w:rPr>
        <w:t xml:space="preserve">     </w:t>
      </w:r>
    </w:p>
    <w:p w14:paraId="35F96F31">
      <w:pPr>
        <w:spacing w:line="288" w:lineRule="auto"/>
        <w:ind w:firstLine="1968" w:firstLineChars="700"/>
        <w:rPr>
          <w:rFonts w:hint="eastAsia"/>
          <w:b/>
          <w:bCs/>
          <w:color w:val="000000" w:themeColor="text1"/>
          <w:sz w:val="28"/>
          <w:szCs w:val="28"/>
          <w:highlight w:val="none"/>
          <w:u w:val="single"/>
          <w14:textFill>
            <w14:solidFill>
              <w14:schemeClr w14:val="tx1"/>
            </w14:solidFill>
          </w14:textFill>
        </w:rPr>
      </w:pPr>
      <w:r>
        <w:rPr>
          <w:b/>
          <w:bCs/>
          <w:color w:val="000000" w:themeColor="text1"/>
          <w:sz w:val="28"/>
          <w:szCs w:val="28"/>
          <w:highlight w:val="none"/>
          <w14:textFill>
            <w14:solidFill>
              <w14:schemeClr w14:val="tx1"/>
            </w14:solidFill>
          </w14:textFill>
        </w:rPr>
        <w:t>乙    方：</w:t>
      </w:r>
      <w:r>
        <w:rPr>
          <w:b/>
          <w:bCs/>
          <w:color w:val="000000" w:themeColor="text1"/>
          <w:sz w:val="28"/>
          <w:szCs w:val="28"/>
          <w:highlight w:val="none"/>
          <w:u w:val="single"/>
          <w14:textFill>
            <w14:solidFill>
              <w14:schemeClr w14:val="tx1"/>
            </w14:solidFill>
          </w14:textFill>
        </w:rPr>
        <w:t xml:space="preserve">    </w:t>
      </w:r>
      <w:r>
        <w:rPr>
          <w:rFonts w:hint="eastAsia"/>
          <w:b/>
          <w:bCs/>
          <w:color w:val="000000" w:themeColor="text1"/>
          <w:sz w:val="28"/>
          <w:szCs w:val="28"/>
          <w:highlight w:val="none"/>
          <w:u w:val="single"/>
          <w:lang w:val="en-US" w:eastAsia="zh-CN"/>
          <w14:textFill>
            <w14:solidFill>
              <w14:schemeClr w14:val="tx1"/>
            </w14:solidFill>
          </w14:textFill>
        </w:rPr>
        <w:t xml:space="preserve">                      </w:t>
      </w:r>
      <w:r>
        <w:rPr>
          <w:b/>
          <w:bCs/>
          <w:color w:val="000000" w:themeColor="text1"/>
          <w:sz w:val="28"/>
          <w:szCs w:val="28"/>
          <w:highlight w:val="none"/>
          <w:u w:val="single"/>
          <w14:textFill>
            <w14:solidFill>
              <w14:schemeClr w14:val="tx1"/>
            </w14:solidFill>
          </w14:textFill>
        </w:rPr>
        <w:t xml:space="preserve">     </w:t>
      </w:r>
    </w:p>
    <w:p w14:paraId="7DA01C1B">
      <w:pPr>
        <w:keepNext w:val="0"/>
        <w:keepLines w:val="0"/>
        <w:pageBreakBefore w:val="0"/>
        <w:widowControl w:val="0"/>
        <w:kinsoku/>
        <w:wordWrap/>
        <w:overflowPunct/>
        <w:topLinePunct w:val="0"/>
        <w:autoSpaceDE/>
        <w:autoSpaceDN/>
        <w:bidi w:val="0"/>
        <w:adjustRightInd/>
        <w:snapToGrid/>
        <w:spacing w:line="360" w:lineRule="auto"/>
        <w:ind w:firstLine="1968" w:firstLineChars="700"/>
        <w:textAlignment w:val="auto"/>
        <w:rPr>
          <w:b/>
          <w:bCs/>
          <w:color w:val="000000" w:themeColor="text1"/>
          <w:sz w:val="28"/>
          <w:szCs w:val="28"/>
          <w:highlight w:val="none"/>
          <w:u w:val="single"/>
          <w14:textFill>
            <w14:solidFill>
              <w14:schemeClr w14:val="tx1"/>
            </w14:solidFill>
          </w14:textFill>
        </w:rPr>
      </w:pPr>
      <w:r>
        <w:rPr>
          <w:rFonts w:hint="eastAsia"/>
          <w:b/>
          <w:bCs/>
          <w:color w:val="000000" w:themeColor="text1"/>
          <w:sz w:val="28"/>
          <w:szCs w:val="28"/>
          <w:highlight w:val="none"/>
          <w14:textFill>
            <w14:solidFill>
              <w14:schemeClr w14:val="tx1"/>
            </w14:solidFill>
          </w14:textFill>
        </w:rPr>
        <w:t>项目</w:t>
      </w:r>
      <w:r>
        <w:rPr>
          <w:b/>
          <w:bCs/>
          <w:color w:val="000000" w:themeColor="text1"/>
          <w:sz w:val="28"/>
          <w:szCs w:val="28"/>
          <w:highlight w:val="none"/>
          <w14:textFill>
            <w14:solidFill>
              <w14:schemeClr w14:val="tx1"/>
            </w14:solidFill>
          </w14:textFill>
        </w:rPr>
        <w:t>编号：</w:t>
      </w:r>
      <w:r>
        <w:rPr>
          <w:b/>
          <w:bCs/>
          <w:color w:val="000000" w:themeColor="text1"/>
          <w:sz w:val="28"/>
          <w:szCs w:val="28"/>
          <w:highlight w:val="none"/>
          <w:u w:val="single"/>
          <w14:textFill>
            <w14:solidFill>
              <w14:schemeClr w14:val="tx1"/>
            </w14:solidFill>
          </w14:textFill>
        </w:rPr>
        <w:t xml:space="preserve">    </w:t>
      </w:r>
      <w:r>
        <w:rPr>
          <w:rFonts w:hint="eastAsia"/>
          <w:b/>
          <w:bCs/>
          <w:color w:val="000000" w:themeColor="text1"/>
          <w:sz w:val="28"/>
          <w:szCs w:val="28"/>
          <w:highlight w:val="none"/>
          <w:u w:val="single"/>
          <w:lang w:val="en-US" w:eastAsia="zh-CN"/>
          <w14:textFill>
            <w14:solidFill>
              <w14:schemeClr w14:val="tx1"/>
            </w14:solidFill>
          </w14:textFill>
        </w:rPr>
        <w:t xml:space="preserve">                      </w:t>
      </w:r>
      <w:r>
        <w:rPr>
          <w:b/>
          <w:bCs/>
          <w:color w:val="000000" w:themeColor="text1"/>
          <w:sz w:val="28"/>
          <w:szCs w:val="28"/>
          <w:highlight w:val="none"/>
          <w:u w:val="single"/>
          <w14:textFill>
            <w14:solidFill>
              <w14:schemeClr w14:val="tx1"/>
            </w14:solidFill>
          </w14:textFill>
        </w:rPr>
        <w:t xml:space="preserve">     </w:t>
      </w:r>
    </w:p>
    <w:p w14:paraId="00646C7B">
      <w:pPr>
        <w:widowControl/>
        <w:spacing w:line="240" w:lineRule="auto"/>
        <w:ind w:firstLine="1968" w:firstLineChars="700"/>
        <w:jc w:val="left"/>
        <w:rPr>
          <w:b/>
          <w:bCs/>
          <w:color w:val="000000" w:themeColor="text1"/>
          <w:sz w:val="28"/>
          <w:szCs w:val="28"/>
          <w:highlight w:val="none"/>
          <w:u w:val="single"/>
          <w14:textFill>
            <w14:solidFill>
              <w14:schemeClr w14:val="tx1"/>
            </w14:solidFill>
          </w14:textFill>
        </w:rPr>
      </w:pPr>
      <w:r>
        <w:rPr>
          <w:b/>
          <w:bCs/>
          <w:color w:val="000000" w:themeColor="text1"/>
          <w:sz w:val="28"/>
          <w:szCs w:val="28"/>
          <w:highlight w:val="none"/>
          <w14:textFill>
            <w14:solidFill>
              <w14:schemeClr w14:val="tx1"/>
            </w14:solidFill>
          </w14:textFill>
        </w:rPr>
        <w:t>合同编号：</w:t>
      </w:r>
      <w:r>
        <w:rPr>
          <w:b/>
          <w:bCs/>
          <w:color w:val="000000" w:themeColor="text1"/>
          <w:sz w:val="28"/>
          <w:szCs w:val="28"/>
          <w:highlight w:val="none"/>
          <w:u w:val="single"/>
          <w14:textFill>
            <w14:solidFill>
              <w14:schemeClr w14:val="tx1"/>
            </w14:solidFill>
          </w14:textFill>
        </w:rPr>
        <w:t xml:space="preserve">    </w:t>
      </w:r>
      <w:r>
        <w:rPr>
          <w:rFonts w:hint="eastAsia"/>
          <w:b/>
          <w:bCs/>
          <w:color w:val="000000" w:themeColor="text1"/>
          <w:sz w:val="28"/>
          <w:szCs w:val="28"/>
          <w:highlight w:val="none"/>
          <w:u w:val="single"/>
          <w:lang w:val="en-US" w:eastAsia="zh-CN"/>
          <w14:textFill>
            <w14:solidFill>
              <w14:schemeClr w14:val="tx1"/>
            </w14:solidFill>
          </w14:textFill>
        </w:rPr>
        <w:t xml:space="preserve">                      </w:t>
      </w:r>
      <w:r>
        <w:rPr>
          <w:b/>
          <w:bCs/>
          <w:color w:val="000000" w:themeColor="text1"/>
          <w:sz w:val="28"/>
          <w:szCs w:val="28"/>
          <w:highlight w:val="none"/>
          <w:u w:val="single"/>
          <w14:textFill>
            <w14:solidFill>
              <w14:schemeClr w14:val="tx1"/>
            </w14:solidFill>
          </w14:textFill>
        </w:rPr>
        <w:t xml:space="preserve">     </w:t>
      </w:r>
    </w:p>
    <w:p w14:paraId="40A084D1">
      <w:pPr>
        <w:spacing w:line="288" w:lineRule="auto"/>
        <w:ind w:firstLine="1968" w:firstLineChars="700"/>
        <w:rPr>
          <w:b/>
          <w:bCs/>
          <w:color w:val="000000" w:themeColor="text1"/>
          <w:sz w:val="28"/>
          <w:szCs w:val="28"/>
          <w:highlight w:val="none"/>
          <w:u w:val="single"/>
          <w14:textFill>
            <w14:solidFill>
              <w14:schemeClr w14:val="tx1"/>
            </w14:solidFill>
          </w14:textFill>
        </w:rPr>
      </w:pPr>
      <w:r>
        <w:rPr>
          <w:b/>
          <w:bCs/>
          <w:color w:val="000000" w:themeColor="text1"/>
          <w:sz w:val="28"/>
          <w:szCs w:val="28"/>
          <w:highlight w:val="none"/>
          <w14:textFill>
            <w14:solidFill>
              <w14:schemeClr w14:val="tx1"/>
            </w14:solidFill>
          </w14:textFill>
        </w:rPr>
        <w:t>签署时间：</w:t>
      </w:r>
      <w:r>
        <w:rPr>
          <w:b/>
          <w:bCs/>
          <w:color w:val="000000" w:themeColor="text1"/>
          <w:sz w:val="28"/>
          <w:szCs w:val="28"/>
          <w:highlight w:val="none"/>
          <w:u w:val="single"/>
          <w14:textFill>
            <w14:solidFill>
              <w14:schemeClr w14:val="tx1"/>
            </w14:solidFill>
          </w14:textFill>
        </w:rPr>
        <w:t xml:space="preserve">       年    月    日          </w:t>
      </w:r>
    </w:p>
    <w:p w14:paraId="4F52FFF2">
      <w:pPr>
        <w:jc w:val="center"/>
        <w:rPr>
          <w:rFonts w:hint="eastAsia" w:ascii="宋体" w:hAnsi="宋体"/>
          <w:b/>
          <w:bCs/>
          <w:color w:val="000000" w:themeColor="text1"/>
          <w:sz w:val="32"/>
          <w:szCs w:val="36"/>
          <w:highlight w:val="none"/>
          <w:u w:val="single"/>
          <w14:textFill>
            <w14:solidFill>
              <w14:schemeClr w14:val="tx1"/>
            </w14:solidFill>
          </w14:textFill>
        </w:rPr>
        <w:sectPr>
          <w:pgSz w:w="11906" w:h="16838"/>
          <w:pgMar w:top="1440" w:right="1800" w:bottom="1440" w:left="1800" w:header="851" w:footer="992" w:gutter="0"/>
          <w:cols w:space="425" w:num="1"/>
          <w:docGrid w:type="lines" w:linePitch="312" w:charSpace="0"/>
        </w:sectPr>
      </w:pPr>
    </w:p>
    <w:bookmarkEnd w:id="59"/>
    <w:p w14:paraId="4E6C55A0">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甲方：海南省生态环境监测中心</w:t>
      </w:r>
    </w:p>
    <w:p w14:paraId="72020CEA">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 xml:space="preserve">乙方：                      </w:t>
      </w:r>
    </w:p>
    <w:p w14:paraId="66E6DB84">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根据海南省生态环境监测中心对202</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5</w:t>
      </w:r>
      <w:r>
        <w:rPr>
          <w:rFonts w:hint="eastAsia" w:ascii="仿宋" w:hAnsi="仿宋" w:eastAsia="仿宋" w:cs="仿宋"/>
          <w:color w:val="000000" w:themeColor="text1"/>
          <w:sz w:val="28"/>
          <w:szCs w:val="28"/>
          <w:highlight w:val="none"/>
          <w:lang w:bidi="ar"/>
          <w14:textFill>
            <w14:solidFill>
              <w14:schemeClr w14:val="tx1"/>
            </w14:solidFill>
          </w14:textFill>
        </w:rPr>
        <w:t>年度</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海南省省控</w:t>
      </w:r>
      <w:r>
        <w:rPr>
          <w:rFonts w:hint="eastAsia" w:ascii="仿宋" w:hAnsi="仿宋" w:eastAsia="仿宋" w:cs="仿宋"/>
          <w:color w:val="000000" w:themeColor="text1"/>
          <w:sz w:val="28"/>
          <w:szCs w:val="28"/>
          <w:highlight w:val="none"/>
          <w:lang w:bidi="ar"/>
          <w14:textFill>
            <w14:solidFill>
              <w14:schemeClr w14:val="tx1"/>
            </w14:solidFill>
          </w14:textFill>
        </w:rPr>
        <w:t>环境空气质量监测自动站运行维护项目进行采购的招标结果，</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 xml:space="preserve">         </w:t>
      </w:r>
      <w:r>
        <w:rPr>
          <w:rFonts w:hint="eastAsia" w:ascii="仿宋" w:hAnsi="仿宋" w:eastAsia="仿宋" w:cs="仿宋"/>
          <w:color w:val="000000" w:themeColor="text1"/>
          <w:sz w:val="28"/>
          <w:szCs w:val="28"/>
          <w:highlight w:val="none"/>
          <w:lang w:bidi="ar"/>
          <w14:textFill>
            <w14:solidFill>
              <w14:schemeClr w14:val="tx1"/>
            </w14:solidFill>
          </w14:textFill>
        </w:rPr>
        <w:t>为</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项目</w:t>
      </w:r>
      <w:r>
        <w:rPr>
          <w:rFonts w:hint="eastAsia" w:ascii="仿宋" w:hAnsi="仿宋" w:eastAsia="仿宋" w:cs="仿宋"/>
          <w:color w:val="000000" w:themeColor="text1"/>
          <w:sz w:val="28"/>
          <w:szCs w:val="28"/>
          <w:highlight w:val="none"/>
          <w:lang w:bidi="ar"/>
          <w14:textFill>
            <w14:solidFill>
              <w14:schemeClr w14:val="tx1"/>
            </w14:solidFill>
          </w14:textFill>
        </w:rPr>
        <w:t>中</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 xml:space="preserve"> 采购包5 </w:t>
      </w:r>
      <w:r>
        <w:rPr>
          <w:rFonts w:hint="eastAsia" w:ascii="仿宋" w:hAnsi="仿宋" w:eastAsia="仿宋" w:cs="仿宋"/>
          <w:color w:val="000000" w:themeColor="text1"/>
          <w:sz w:val="28"/>
          <w:szCs w:val="28"/>
          <w:highlight w:val="none"/>
          <w:u w:val="none"/>
          <w:lang w:val="en-US" w:eastAsia="zh-CN" w:bidi="ar"/>
          <w14:textFill>
            <w14:solidFill>
              <w14:schemeClr w14:val="tx1"/>
            </w14:solidFill>
          </w14:textFill>
        </w:rPr>
        <w:t>中</w:t>
      </w:r>
      <w:r>
        <w:rPr>
          <w:rFonts w:hint="eastAsia" w:ascii="仿宋" w:hAnsi="仿宋" w:eastAsia="仿宋" w:cs="仿宋"/>
          <w:color w:val="000000" w:themeColor="text1"/>
          <w:sz w:val="28"/>
          <w:szCs w:val="28"/>
          <w:highlight w:val="none"/>
          <w:lang w:bidi="ar"/>
          <w14:textFill>
            <w14:solidFill>
              <w14:schemeClr w14:val="tx1"/>
            </w14:solidFill>
          </w14:textFill>
        </w:rPr>
        <w:t>标人。现经甲乙双方友好协商，就以下事项达成一致并签订本合同：</w:t>
      </w:r>
    </w:p>
    <w:p w14:paraId="5FEA822D">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1下列合同文件是构成本合同不可分割的部分：</w:t>
      </w:r>
    </w:p>
    <w:p w14:paraId="74C6B7DB">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1.1合同条款；</w:t>
      </w:r>
    </w:p>
    <w:p w14:paraId="559F9C34">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1.2采购文件、乙方的响应文件；</w:t>
      </w:r>
    </w:p>
    <w:p w14:paraId="74B5B2B4">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 xml:space="preserve">1.3其他文件或材料：□有 </w:t>
      </w:r>
      <w:r>
        <w:rPr>
          <w:rFonts w:hint="eastAsia" w:ascii="仿宋" w:hAnsi="仿宋" w:eastAsia="仿宋" w:cs="仿宋"/>
          <w:color w:val="000000" w:themeColor="text1"/>
          <w:sz w:val="28"/>
          <w:szCs w:val="28"/>
          <w:highlight w:val="none"/>
          <w:lang w:eastAsia="zh-CN" w:bidi="ar"/>
          <w14:textFill>
            <w14:solidFill>
              <w14:schemeClr w14:val="tx1"/>
            </w14:solidFill>
          </w14:textFill>
        </w:rPr>
        <w:t>☑</w:t>
      </w:r>
      <w:r>
        <w:rPr>
          <w:rFonts w:hint="eastAsia" w:ascii="仿宋" w:hAnsi="仿宋" w:eastAsia="仿宋" w:cs="仿宋"/>
          <w:color w:val="000000" w:themeColor="text1"/>
          <w:sz w:val="28"/>
          <w:szCs w:val="28"/>
          <w:highlight w:val="none"/>
          <w:lang w:bidi="ar"/>
          <w14:textFill>
            <w14:solidFill>
              <w14:schemeClr w14:val="tx1"/>
            </w14:solidFill>
          </w14:textFill>
        </w:rPr>
        <w:t>无。</w:t>
      </w:r>
    </w:p>
    <w:p w14:paraId="23227B77">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2服务内容</w:t>
      </w:r>
    </w:p>
    <w:p w14:paraId="4D90BD37">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乙方承担</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14</w:t>
      </w:r>
      <w:r>
        <w:rPr>
          <w:rFonts w:hint="eastAsia" w:ascii="仿宋" w:hAnsi="仿宋" w:eastAsia="仿宋" w:cs="仿宋"/>
          <w:color w:val="000000" w:themeColor="text1"/>
          <w:sz w:val="28"/>
          <w:szCs w:val="28"/>
          <w:highlight w:val="none"/>
          <w:lang w:bidi="ar"/>
          <w14:textFill>
            <w14:solidFill>
              <w14:schemeClr w14:val="tx1"/>
            </w14:solidFill>
          </w14:textFill>
        </w:rPr>
        <w:t>个</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现有</w:t>
      </w:r>
      <w:r>
        <w:rPr>
          <w:rFonts w:hint="eastAsia" w:ascii="仿宋" w:hAnsi="仿宋" w:eastAsia="仿宋" w:cs="仿宋"/>
          <w:color w:val="000000" w:themeColor="text1"/>
          <w:sz w:val="28"/>
          <w:szCs w:val="28"/>
          <w:highlight w:val="none"/>
          <w:lang w:bidi="ar"/>
          <w14:textFill>
            <w14:solidFill>
              <w14:schemeClr w14:val="tx1"/>
            </w14:solidFill>
          </w14:textFill>
        </w:rPr>
        <w:t>海南省省控环境空气质量监测自动站（以下简称“省控站”）运行维护工作，</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运维期内所负责运维的市县如有新增的省控站，将一并纳入服务范围，</w:t>
      </w:r>
      <w:r>
        <w:rPr>
          <w:rFonts w:hint="eastAsia" w:ascii="仿宋" w:hAnsi="仿宋" w:eastAsia="仿宋" w:cs="仿宋"/>
          <w:color w:val="000000" w:themeColor="text1"/>
          <w:sz w:val="28"/>
          <w:szCs w:val="28"/>
          <w:highlight w:val="none"/>
          <w:lang w:bidi="ar"/>
          <w14:textFill>
            <w14:solidFill>
              <w14:schemeClr w14:val="tx1"/>
            </w14:solidFill>
          </w14:textFill>
        </w:rPr>
        <w:t>运维期限为一年。省控站信息具体见下表：</w:t>
      </w:r>
    </w:p>
    <w:p w14:paraId="249D7A84">
      <w:pPr>
        <w:widowControl/>
        <w:spacing w:line="520" w:lineRule="exact"/>
        <w:ind w:firstLine="560" w:firstLineChars="200"/>
        <w:jc w:val="center"/>
        <w:rPr>
          <w:rFonts w:hint="eastAsia"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省控站信息表</w:t>
      </w:r>
    </w:p>
    <w:tbl>
      <w:tblPr>
        <w:tblStyle w:val="7"/>
        <w:tblW w:w="4096" w:type="pct"/>
        <w:tblInd w:w="75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73"/>
        <w:gridCol w:w="1648"/>
        <w:gridCol w:w="4460"/>
      </w:tblGrid>
      <w:tr w14:paraId="3ABA5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blHeader/>
        </w:trPr>
        <w:tc>
          <w:tcPr>
            <w:tcW w:w="625" w:type="pct"/>
            <w:tcBorders>
              <w:top w:val="single" w:color="auto" w:sz="4" w:space="0"/>
              <w:left w:val="single" w:color="auto" w:sz="4" w:space="0"/>
              <w:bottom w:val="single" w:color="auto" w:sz="4" w:space="0"/>
              <w:right w:val="single" w:color="auto" w:sz="4" w:space="0"/>
            </w:tcBorders>
            <w:shd w:val="clear" w:color="auto" w:fill="auto"/>
            <w:vAlign w:val="center"/>
          </w:tcPr>
          <w:p w14:paraId="2E7552F2">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21"/>
                <w:szCs w:val="21"/>
                <w:highlight w:val="none"/>
                <w:u w:val="none"/>
                <w:lang w:val="en-US" w:eastAsia="zh-CN" w:bidi="ar"/>
                <w14:textFill>
                  <w14:solidFill>
                    <w14:schemeClr w14:val="tx1"/>
                  </w14:solidFill>
                </w14:textFill>
              </w:rPr>
              <w:t>序号</w:t>
            </w:r>
          </w:p>
        </w:tc>
        <w:tc>
          <w:tcPr>
            <w:tcW w:w="1180" w:type="pct"/>
            <w:tcBorders>
              <w:top w:val="single" w:color="auto" w:sz="4" w:space="0"/>
              <w:left w:val="single" w:color="auto" w:sz="4" w:space="0"/>
              <w:bottom w:val="single" w:color="auto" w:sz="4" w:space="0"/>
              <w:right w:val="single" w:color="auto" w:sz="4" w:space="0"/>
            </w:tcBorders>
            <w:shd w:val="clear" w:color="auto" w:fill="auto"/>
            <w:vAlign w:val="center"/>
          </w:tcPr>
          <w:p w14:paraId="1A344AF2">
            <w:pPr>
              <w:keepNext w:val="0"/>
              <w:keepLines w:val="0"/>
              <w:widowControl/>
              <w:suppressLineNumbers w:val="0"/>
              <w:jc w:val="center"/>
              <w:textAlignment w:val="center"/>
              <w:rPr>
                <w:rFonts w:hint="eastAsia" w:ascii="宋体" w:hAnsi="宋体" w:eastAsia="宋体" w:cs="宋体"/>
                <w:b/>
                <w:bCs/>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21"/>
                <w:szCs w:val="21"/>
                <w:highlight w:val="none"/>
                <w:u w:val="none"/>
                <w:lang w:val="en-US" w:eastAsia="zh-CN" w:bidi="ar"/>
                <w14:textFill>
                  <w14:solidFill>
                    <w14:schemeClr w14:val="tx1"/>
                  </w14:solidFill>
                </w14:textFill>
              </w:rPr>
              <w:t>所在市县</w:t>
            </w:r>
          </w:p>
        </w:tc>
        <w:tc>
          <w:tcPr>
            <w:tcW w:w="3193" w:type="pct"/>
            <w:tcBorders>
              <w:top w:val="single" w:color="auto" w:sz="4" w:space="0"/>
              <w:left w:val="single" w:color="auto" w:sz="4" w:space="0"/>
              <w:bottom w:val="single" w:color="auto" w:sz="4" w:space="0"/>
              <w:right w:val="single" w:color="auto" w:sz="4" w:space="0"/>
            </w:tcBorders>
            <w:shd w:val="clear" w:color="auto" w:fill="auto"/>
            <w:vAlign w:val="center"/>
          </w:tcPr>
          <w:p w14:paraId="3DAC525C">
            <w:pPr>
              <w:keepNext w:val="0"/>
              <w:keepLines w:val="0"/>
              <w:widowControl/>
              <w:suppressLineNumbers w:val="0"/>
              <w:ind w:firstLineChars="0"/>
              <w:jc w:val="center"/>
              <w:textAlignment w:val="center"/>
              <w:rPr>
                <w:rFonts w:hint="eastAsia" w:ascii="宋体" w:hAnsi="宋体" w:eastAsia="宋体" w:cs="宋体"/>
                <w:b/>
                <w:bCs/>
                <w:i w:val="0"/>
                <w:iCs w:val="0"/>
                <w:color w:val="000000" w:themeColor="text1"/>
                <w:sz w:val="21"/>
                <w:szCs w:val="21"/>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21"/>
                <w:szCs w:val="21"/>
                <w:highlight w:val="none"/>
                <w:u w:val="none"/>
                <w:lang w:val="en-US" w:eastAsia="zh-CN" w:bidi="ar"/>
                <w14:textFill>
                  <w14:solidFill>
                    <w14:schemeClr w14:val="tx1"/>
                  </w14:solidFill>
                </w14:textFill>
              </w:rPr>
              <w:t>省控站名称</w:t>
            </w:r>
          </w:p>
        </w:tc>
      </w:tr>
      <w:tr w14:paraId="07088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5" w:type="pct"/>
            <w:tcBorders>
              <w:top w:val="single" w:color="auto" w:sz="4" w:space="0"/>
              <w:left w:val="single" w:color="000000" w:sz="4" w:space="0"/>
              <w:bottom w:val="single" w:color="000000" w:sz="4" w:space="0"/>
              <w:right w:val="single" w:color="000000" w:sz="4" w:space="0"/>
            </w:tcBorders>
            <w:shd w:val="clear" w:color="auto" w:fill="auto"/>
            <w:vAlign w:val="center"/>
          </w:tcPr>
          <w:p w14:paraId="284785F0">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1</w:t>
            </w:r>
          </w:p>
        </w:tc>
        <w:tc>
          <w:tcPr>
            <w:tcW w:w="1180" w:type="pct"/>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680FF057">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临高</w:t>
            </w:r>
          </w:p>
        </w:tc>
        <w:tc>
          <w:tcPr>
            <w:tcW w:w="3193" w:type="pct"/>
            <w:tcBorders>
              <w:top w:val="single" w:color="auto" w:sz="4" w:space="0"/>
              <w:left w:val="single" w:color="000000" w:sz="4" w:space="0"/>
              <w:bottom w:val="single" w:color="000000" w:sz="4" w:space="0"/>
              <w:right w:val="single" w:color="000000" w:sz="4" w:space="0"/>
            </w:tcBorders>
            <w:shd w:val="clear" w:color="auto" w:fill="auto"/>
            <w:vAlign w:val="center"/>
          </w:tcPr>
          <w:p w14:paraId="3DD2241D">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县委大院档案馆站</w:t>
            </w:r>
          </w:p>
        </w:tc>
      </w:tr>
      <w:tr w14:paraId="3A08F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7968C7">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2</w:t>
            </w:r>
          </w:p>
        </w:tc>
        <w:tc>
          <w:tcPr>
            <w:tcW w:w="1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56DE3C">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p>
        </w:tc>
        <w:tc>
          <w:tcPr>
            <w:tcW w:w="3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45C19F">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临高角区域站</w:t>
            </w:r>
          </w:p>
        </w:tc>
      </w:tr>
      <w:tr w14:paraId="49EE0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3C3CA7">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3</w:t>
            </w:r>
          </w:p>
        </w:tc>
        <w:tc>
          <w:tcPr>
            <w:tcW w:w="11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44657D">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澄迈</w:t>
            </w:r>
          </w:p>
        </w:tc>
        <w:tc>
          <w:tcPr>
            <w:tcW w:w="3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A23E5">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国土环境资源局站</w:t>
            </w:r>
          </w:p>
        </w:tc>
      </w:tr>
      <w:tr w14:paraId="21CD3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CDF04C">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4</w:t>
            </w:r>
          </w:p>
        </w:tc>
        <w:tc>
          <w:tcPr>
            <w:tcW w:w="1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8CBA69">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p>
        </w:tc>
        <w:tc>
          <w:tcPr>
            <w:tcW w:w="3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BAC255">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县委大院站</w:t>
            </w:r>
          </w:p>
        </w:tc>
      </w:tr>
      <w:tr w14:paraId="263BB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61E5BD">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5</w:t>
            </w:r>
          </w:p>
        </w:tc>
        <w:tc>
          <w:tcPr>
            <w:tcW w:w="1180" w:type="pct"/>
            <w:vMerge w:val="restart"/>
            <w:tcBorders>
              <w:top w:val="single" w:color="000000" w:sz="4" w:space="0"/>
              <w:left w:val="single" w:color="000000" w:sz="4" w:space="0"/>
              <w:right w:val="single" w:color="000000" w:sz="4" w:space="0"/>
            </w:tcBorders>
            <w:shd w:val="clear" w:color="auto" w:fill="auto"/>
            <w:vAlign w:val="center"/>
          </w:tcPr>
          <w:p w14:paraId="4292EED4">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白沙</w:t>
            </w:r>
          </w:p>
        </w:tc>
        <w:tc>
          <w:tcPr>
            <w:tcW w:w="3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DA5F88">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财政局站</w:t>
            </w:r>
          </w:p>
        </w:tc>
      </w:tr>
      <w:tr w14:paraId="5F6FF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92CA1D">
            <w:pPr>
              <w:snapToGrid w:val="0"/>
              <w:spacing w:line="300" w:lineRule="auto"/>
              <w:jc w:val="cente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6</w:t>
            </w:r>
          </w:p>
        </w:tc>
        <w:tc>
          <w:tcPr>
            <w:tcW w:w="1180" w:type="pct"/>
            <w:vMerge w:val="continue"/>
            <w:tcBorders>
              <w:left w:val="single" w:color="000000" w:sz="4" w:space="0"/>
              <w:bottom w:val="single" w:color="000000" w:sz="4" w:space="0"/>
              <w:right w:val="single" w:color="000000" w:sz="4" w:space="0"/>
            </w:tcBorders>
            <w:shd w:val="clear" w:color="auto" w:fill="auto"/>
            <w:vAlign w:val="center"/>
          </w:tcPr>
          <w:p w14:paraId="3FE7BB95">
            <w:pPr>
              <w:snapToGrid w:val="0"/>
              <w:spacing w:line="300" w:lineRule="auto"/>
              <w:jc w:val="cente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p>
        </w:tc>
        <w:tc>
          <w:tcPr>
            <w:tcW w:w="3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2E4608">
            <w:pPr>
              <w:snapToGrid w:val="0"/>
              <w:spacing w:line="300" w:lineRule="auto"/>
              <w:jc w:val="cente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海南中学白沙学校</w:t>
            </w:r>
          </w:p>
        </w:tc>
      </w:tr>
      <w:tr w14:paraId="65A5A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84F10C">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7</w:t>
            </w:r>
          </w:p>
        </w:tc>
        <w:tc>
          <w:tcPr>
            <w:tcW w:w="11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EF81D5">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昌江</w:t>
            </w:r>
          </w:p>
        </w:tc>
        <w:tc>
          <w:tcPr>
            <w:tcW w:w="3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876251">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国土环境资源局站</w:t>
            </w:r>
          </w:p>
        </w:tc>
      </w:tr>
      <w:tr w14:paraId="0D578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CFDF4C">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8</w:t>
            </w:r>
          </w:p>
        </w:tc>
        <w:tc>
          <w:tcPr>
            <w:tcW w:w="1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9D7035">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p>
        </w:tc>
        <w:tc>
          <w:tcPr>
            <w:tcW w:w="3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EE7BC4">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城市客厅站</w:t>
            </w:r>
          </w:p>
        </w:tc>
      </w:tr>
      <w:tr w14:paraId="074C5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CF3D0F">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9</w:t>
            </w:r>
          </w:p>
        </w:tc>
        <w:tc>
          <w:tcPr>
            <w:tcW w:w="11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878D89">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东方</w:t>
            </w:r>
          </w:p>
        </w:tc>
        <w:tc>
          <w:tcPr>
            <w:tcW w:w="3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8B92EE">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档案馆站</w:t>
            </w:r>
          </w:p>
        </w:tc>
      </w:tr>
      <w:tr w14:paraId="3B5A9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6686B4">
            <w:pPr>
              <w:snapToGrid w:val="0"/>
              <w:spacing w:line="300" w:lineRule="auto"/>
              <w:jc w:val="center"/>
              <w:rPr>
                <w:rFonts w:hint="default" w:ascii="Times New Roman" w:hAnsi="Times New Roman" w:eastAsia="宋体" w:cs="Times New Roman"/>
                <w:color w:val="000000" w:themeColor="text1"/>
                <w:sz w:val="21"/>
                <w:szCs w:val="21"/>
                <w:highlight w:val="none"/>
                <w:lang w:val="en-US"/>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10</w:t>
            </w:r>
          </w:p>
        </w:tc>
        <w:tc>
          <w:tcPr>
            <w:tcW w:w="1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F19776">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p>
        </w:tc>
        <w:tc>
          <w:tcPr>
            <w:tcW w:w="3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E67D4F">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国土资源局站</w:t>
            </w:r>
          </w:p>
        </w:tc>
      </w:tr>
      <w:tr w14:paraId="794FA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29D779">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11</w:t>
            </w:r>
          </w:p>
        </w:tc>
        <w:tc>
          <w:tcPr>
            <w:tcW w:w="11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F8673D">
            <w:pPr>
              <w:snapToGrid w:val="0"/>
              <w:spacing w:line="300" w:lineRule="auto"/>
              <w:jc w:val="cente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文昌</w:t>
            </w:r>
          </w:p>
        </w:tc>
        <w:tc>
          <w:tcPr>
            <w:tcW w:w="3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CCACE7">
            <w:pPr>
              <w:snapToGrid w:val="0"/>
              <w:spacing w:line="300" w:lineRule="auto"/>
              <w:jc w:val="cente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国土环境资源局站</w:t>
            </w:r>
          </w:p>
        </w:tc>
      </w:tr>
      <w:tr w14:paraId="16AD0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CD8021">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12</w:t>
            </w:r>
          </w:p>
        </w:tc>
        <w:tc>
          <w:tcPr>
            <w:tcW w:w="1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F506B2">
            <w:pPr>
              <w:snapToGrid w:val="0"/>
              <w:spacing w:line="300" w:lineRule="auto"/>
              <w:jc w:val="cente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p>
        </w:tc>
        <w:tc>
          <w:tcPr>
            <w:tcW w:w="3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D9FFBC">
            <w:pPr>
              <w:snapToGrid w:val="0"/>
              <w:spacing w:line="300" w:lineRule="auto"/>
              <w:jc w:val="cente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文城镇政府站</w:t>
            </w:r>
          </w:p>
        </w:tc>
      </w:tr>
      <w:tr w14:paraId="1B0BE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13E178">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13</w:t>
            </w:r>
          </w:p>
        </w:tc>
        <w:tc>
          <w:tcPr>
            <w:tcW w:w="11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D16D98">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琼中</w:t>
            </w:r>
          </w:p>
        </w:tc>
        <w:tc>
          <w:tcPr>
            <w:tcW w:w="3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3DD4BC">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国土环境资源局站</w:t>
            </w:r>
          </w:p>
        </w:tc>
      </w:tr>
      <w:tr w14:paraId="512A09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699B55">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14</w:t>
            </w:r>
          </w:p>
        </w:tc>
        <w:tc>
          <w:tcPr>
            <w:tcW w:w="11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CF91FE">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p>
        </w:tc>
        <w:tc>
          <w:tcPr>
            <w:tcW w:w="31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0D8192">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思源实验学校站</w:t>
            </w:r>
          </w:p>
        </w:tc>
      </w:tr>
    </w:tbl>
    <w:p w14:paraId="533CB5BC">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运维服务范围包括：各市县省控站所有监测仪器、气象仪器、质控设备、数据采集与传输设备、辅助设备、防雷等基础设施的日常维护、质量控制、故障维修、年度检修和检定等工作，以及承担各站点资产安全、站房防雷和防火、电力供应、网络通讯、安防保障，接受海南省生态环境监测中心（以下简称“省监测中心”）组织的核查和抽查，配合省监测中心做好站点搬迁</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/调整</w:t>
      </w:r>
      <w:r>
        <w:rPr>
          <w:rFonts w:hint="eastAsia" w:ascii="仿宋" w:hAnsi="仿宋" w:eastAsia="仿宋" w:cs="仿宋"/>
          <w:color w:val="000000" w:themeColor="text1"/>
          <w:sz w:val="28"/>
          <w:szCs w:val="28"/>
          <w:highlight w:val="none"/>
          <w:lang w:bidi="ar"/>
          <w14:textFill>
            <w14:solidFill>
              <w14:schemeClr w14:val="tx1"/>
            </w14:solidFill>
          </w14:textFill>
        </w:rPr>
        <w:t>、站点上收、设备更新、资产盘点、项目验收等工作，确保省控站各项监测仪器正常稳定运行并与省、市、县环保部门联网正常。</w:t>
      </w:r>
    </w:p>
    <w:p w14:paraId="68142B0C">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3合同总金额</w:t>
      </w:r>
    </w:p>
    <w:p w14:paraId="08A4E306">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合同总金额为</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 xml:space="preserve">        </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元，</w:t>
      </w:r>
      <w:r>
        <w:rPr>
          <w:rFonts w:hint="eastAsia" w:ascii="仿宋" w:hAnsi="仿宋" w:eastAsia="仿宋" w:cs="仿宋"/>
          <w:color w:val="000000" w:themeColor="text1"/>
          <w:sz w:val="28"/>
          <w:szCs w:val="28"/>
          <w:highlight w:val="none"/>
          <w:lang w:bidi="ar"/>
          <w14:textFill>
            <w14:solidFill>
              <w14:schemeClr w14:val="tx1"/>
            </w14:solidFill>
          </w14:textFill>
        </w:rPr>
        <w:t>人民币大写：</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 xml:space="preserve">           </w:t>
      </w:r>
      <w:r>
        <w:rPr>
          <w:rFonts w:hint="eastAsia" w:ascii="仿宋" w:hAnsi="仿宋" w:eastAsia="仿宋" w:cs="仿宋"/>
          <w:color w:val="000000" w:themeColor="text1"/>
          <w:sz w:val="28"/>
          <w:szCs w:val="28"/>
          <w:highlight w:val="none"/>
          <w:lang w:bidi="ar"/>
          <w14:textFill>
            <w14:solidFill>
              <w14:schemeClr w14:val="tx1"/>
            </w14:solidFill>
          </w14:textFill>
        </w:rPr>
        <w:t>。</w:t>
      </w:r>
    </w:p>
    <w:p w14:paraId="6E5E008C">
      <w:pPr>
        <w:widowControl/>
        <w:ind w:firstLine="560" w:firstLineChars="200"/>
        <w:jc w:val="left"/>
        <w:rPr>
          <w:rFonts w:hint="eastAsia"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上述委托费用为包干费用，已涵盖</w:t>
      </w:r>
      <w:r>
        <w:rPr>
          <w:rFonts w:hint="default" w:ascii="仿宋" w:hAnsi="仿宋" w:eastAsia="仿宋" w:cs="仿宋"/>
          <w:color w:val="000000" w:themeColor="text1"/>
          <w:kern w:val="0"/>
          <w:sz w:val="28"/>
          <w:szCs w:val="28"/>
          <w:highlight w:val="none"/>
          <w:lang w:bidi="ar"/>
          <w14:textFill>
            <w14:solidFill>
              <w14:schemeClr w14:val="tx1"/>
            </w14:solidFill>
          </w14:textFill>
        </w:rPr>
        <w:t>向</w:t>
      </w:r>
      <w:r>
        <w:rPr>
          <w:rFonts w:hint="eastAsia" w:ascii="仿宋" w:hAnsi="仿宋" w:eastAsia="仿宋" w:cs="仿宋"/>
          <w:color w:val="000000" w:themeColor="text1"/>
          <w:kern w:val="0"/>
          <w:sz w:val="28"/>
          <w:szCs w:val="28"/>
          <w:highlight w:val="none"/>
          <w:lang w:val="en-US" w:eastAsia="zh-CN" w:bidi="ar"/>
          <w14:textFill>
            <w14:solidFill>
              <w14:schemeClr w14:val="tx1"/>
            </w14:solidFill>
          </w14:textFill>
        </w:rPr>
        <w:t>省控站</w:t>
      </w:r>
      <w:r>
        <w:rPr>
          <w:rFonts w:hint="default" w:ascii="仿宋" w:hAnsi="仿宋" w:eastAsia="仿宋" w:cs="仿宋"/>
          <w:color w:val="000000" w:themeColor="text1"/>
          <w:kern w:val="0"/>
          <w:sz w:val="28"/>
          <w:szCs w:val="28"/>
          <w:highlight w:val="none"/>
          <w:lang w:bidi="ar"/>
          <w14:textFill>
            <w14:solidFill>
              <w14:schemeClr w14:val="tx1"/>
            </w14:solidFill>
          </w14:textFill>
        </w:rPr>
        <w:t>上一年度运维服务商支付交接期运维费用</w:t>
      </w:r>
      <w:r>
        <w:rPr>
          <w:rFonts w:hint="eastAsia" w:ascii="仿宋" w:hAnsi="仿宋" w:eastAsia="仿宋" w:cs="仿宋"/>
          <w:color w:val="000000" w:themeColor="text1"/>
          <w:kern w:val="0"/>
          <w:sz w:val="28"/>
          <w:szCs w:val="28"/>
          <w:highlight w:val="none"/>
          <w:lang w:eastAsia="zh-CN" w:bidi="ar"/>
          <w14:textFill>
            <w14:solidFill>
              <w14:schemeClr w14:val="tx1"/>
            </w14:solidFill>
          </w14:textFill>
        </w:rPr>
        <w:t>（</w:t>
      </w:r>
      <w:r>
        <w:rPr>
          <w:rFonts w:hint="default" w:ascii="仿宋" w:hAnsi="仿宋" w:eastAsia="仿宋" w:cs="仿宋"/>
          <w:color w:val="000000" w:themeColor="text1"/>
          <w:kern w:val="0"/>
          <w:sz w:val="28"/>
          <w:szCs w:val="28"/>
          <w:highlight w:val="none"/>
          <w:lang w:bidi="ar"/>
          <w14:textFill>
            <w14:solidFill>
              <w14:schemeClr w14:val="tx1"/>
            </w14:solidFill>
          </w14:textFill>
        </w:rPr>
        <w:t>交接期运维费用</w:t>
      </w:r>
      <w:r>
        <w:rPr>
          <w:rFonts w:hint="eastAsia" w:ascii="仿宋" w:hAnsi="仿宋" w:eastAsia="仿宋" w:cs="仿宋"/>
          <w:color w:val="000000" w:themeColor="text1"/>
          <w:kern w:val="0"/>
          <w:sz w:val="28"/>
          <w:szCs w:val="28"/>
          <w:highlight w:val="none"/>
          <w:lang w:val="en-US" w:eastAsia="zh-CN" w:bidi="ar"/>
          <w14:textFill>
            <w14:solidFill>
              <w14:schemeClr w14:val="tx1"/>
            </w14:solidFill>
          </w14:textFill>
        </w:rPr>
        <w:t>=</w:t>
      </w:r>
      <w:r>
        <w:rPr>
          <w:rFonts w:hint="default" w:ascii="仿宋" w:hAnsi="仿宋" w:eastAsia="仿宋" w:cs="仿宋"/>
          <w:color w:val="000000" w:themeColor="text1"/>
          <w:kern w:val="0"/>
          <w:sz w:val="28"/>
          <w:szCs w:val="28"/>
          <w:highlight w:val="none"/>
          <w:lang w:bidi="ar"/>
          <w14:textFill>
            <w14:solidFill>
              <w14:schemeClr w14:val="tx1"/>
            </w14:solidFill>
          </w14:textFill>
        </w:rPr>
        <w:t xml:space="preserve"> </w:t>
      </w:r>
      <w:r>
        <w:rPr>
          <w:rFonts w:hint="default" w:ascii="仿宋" w:hAnsi="仿宋" w:eastAsia="仿宋" w:cs="仿宋"/>
          <w:color w:val="000000" w:themeColor="text1"/>
          <w:kern w:val="0"/>
          <w:sz w:val="28"/>
          <w:szCs w:val="28"/>
          <w:highlight w:val="none"/>
          <w:lang w:val="en-US" w:eastAsia="zh-CN" w:bidi="ar"/>
          <w14:textFill>
            <w14:solidFill>
              <w14:schemeClr w14:val="tx1"/>
            </w14:solidFill>
          </w14:textFill>
        </w:rPr>
        <w:t>合同总金额/</w:t>
      </w:r>
      <w:r>
        <w:rPr>
          <w:rFonts w:hint="default" w:ascii="仿宋" w:hAnsi="仿宋" w:eastAsia="仿宋" w:cs="仿宋"/>
          <w:color w:val="000000" w:themeColor="text1"/>
          <w:kern w:val="0"/>
          <w:sz w:val="28"/>
          <w:szCs w:val="28"/>
          <w:highlight w:val="none"/>
          <w:lang w:bidi="ar"/>
          <w14:textFill>
            <w14:solidFill>
              <w14:schemeClr w14:val="tx1"/>
            </w14:solidFill>
          </w14:textFill>
        </w:rPr>
        <w:t>365天*已运维天数</w:t>
      </w:r>
      <w:r>
        <w:rPr>
          <w:rFonts w:hint="default" w:ascii="仿宋" w:hAnsi="仿宋" w:eastAsia="仿宋" w:cs="仿宋"/>
          <w:color w:val="000000" w:themeColor="text1"/>
          <w:kern w:val="0"/>
          <w:sz w:val="28"/>
          <w:szCs w:val="28"/>
          <w:highlight w:val="none"/>
          <w:lang w:eastAsia="zh-CN" w:bidi="ar"/>
          <w14:textFill>
            <w14:solidFill>
              <w14:schemeClr w14:val="tx1"/>
            </w14:solidFill>
          </w14:textFill>
        </w:rPr>
        <w:t>，</w:t>
      </w:r>
      <w:r>
        <w:rPr>
          <w:rFonts w:hint="default" w:ascii="仿宋" w:hAnsi="仿宋" w:eastAsia="仿宋" w:cs="仿宋"/>
          <w:color w:val="000000" w:themeColor="text1"/>
          <w:kern w:val="0"/>
          <w:sz w:val="28"/>
          <w:szCs w:val="28"/>
          <w:highlight w:val="none"/>
          <w:lang w:bidi="ar"/>
          <w14:textFill>
            <w14:solidFill>
              <w14:schemeClr w14:val="tx1"/>
            </w14:solidFill>
          </w14:textFill>
        </w:rPr>
        <w:t>具体已运维天数以</w:t>
      </w:r>
      <w:r>
        <w:rPr>
          <w:rFonts w:hint="default" w:ascii="仿宋" w:hAnsi="仿宋" w:eastAsia="仿宋" w:cs="仿宋"/>
          <w:color w:val="000000" w:themeColor="text1"/>
          <w:kern w:val="0"/>
          <w:sz w:val="28"/>
          <w:szCs w:val="28"/>
          <w:highlight w:val="none"/>
          <w:lang w:val="en-US" w:eastAsia="zh-CN" w:bidi="ar"/>
          <w14:textFill>
            <w14:solidFill>
              <w14:schemeClr w14:val="tx1"/>
            </w14:solidFill>
          </w14:textFill>
        </w:rPr>
        <w:t>乙方</w:t>
      </w:r>
      <w:r>
        <w:rPr>
          <w:rFonts w:hint="default" w:ascii="仿宋" w:hAnsi="仿宋" w:eastAsia="仿宋" w:cs="仿宋"/>
          <w:color w:val="000000" w:themeColor="text1"/>
          <w:kern w:val="0"/>
          <w:sz w:val="28"/>
          <w:szCs w:val="28"/>
          <w:highlight w:val="none"/>
          <w:lang w:bidi="ar"/>
          <w14:textFill>
            <w14:solidFill>
              <w14:schemeClr w14:val="tx1"/>
            </w14:solidFill>
          </w14:textFill>
        </w:rPr>
        <w:t>上</w:t>
      </w:r>
      <w:r>
        <w:rPr>
          <w:rFonts w:hint="eastAsia" w:ascii="仿宋" w:hAnsi="仿宋" w:eastAsia="仿宋" w:cs="仿宋"/>
          <w:color w:val="000000" w:themeColor="text1"/>
          <w:kern w:val="0"/>
          <w:sz w:val="28"/>
          <w:szCs w:val="28"/>
          <w:highlight w:val="none"/>
          <w:lang w:val="en-US" w:eastAsia="zh-CN" w:bidi="ar"/>
          <w14:textFill>
            <w14:solidFill>
              <w14:schemeClr w14:val="tx1"/>
            </w14:solidFill>
          </w14:textFill>
        </w:rPr>
        <w:t>一</w:t>
      </w:r>
      <w:r>
        <w:rPr>
          <w:rFonts w:hint="default" w:ascii="仿宋" w:hAnsi="仿宋" w:eastAsia="仿宋" w:cs="仿宋"/>
          <w:color w:val="000000" w:themeColor="text1"/>
          <w:kern w:val="0"/>
          <w:sz w:val="28"/>
          <w:szCs w:val="28"/>
          <w:highlight w:val="none"/>
          <w:lang w:bidi="ar"/>
          <w14:textFill>
            <w14:solidFill>
              <w14:schemeClr w14:val="tx1"/>
            </w14:solidFill>
          </w14:textFill>
        </w:rPr>
        <w:t>年度的运维服务商和</w:t>
      </w:r>
      <w:r>
        <w:rPr>
          <w:rFonts w:hint="default" w:ascii="仿宋" w:hAnsi="仿宋" w:eastAsia="仿宋" w:cs="仿宋"/>
          <w:color w:val="000000" w:themeColor="text1"/>
          <w:kern w:val="0"/>
          <w:sz w:val="28"/>
          <w:szCs w:val="28"/>
          <w:highlight w:val="none"/>
          <w:lang w:val="en-US" w:eastAsia="zh-CN" w:bidi="ar"/>
          <w14:textFill>
            <w14:solidFill>
              <w14:schemeClr w14:val="tx1"/>
            </w14:solidFill>
          </w14:textFill>
        </w:rPr>
        <w:t>甲</w:t>
      </w:r>
      <w:r>
        <w:rPr>
          <w:rFonts w:hint="default" w:ascii="仿宋" w:hAnsi="仿宋" w:eastAsia="仿宋" w:cs="仿宋"/>
          <w:color w:val="000000" w:themeColor="text1"/>
          <w:kern w:val="0"/>
          <w:sz w:val="28"/>
          <w:szCs w:val="28"/>
          <w:highlight w:val="none"/>
          <w:lang w:bidi="ar"/>
          <w14:textFill>
            <w14:solidFill>
              <w14:schemeClr w14:val="tx1"/>
            </w14:solidFill>
          </w14:textFill>
        </w:rPr>
        <w:t>方签字为准</w:t>
      </w:r>
      <w:r>
        <w:rPr>
          <w:rFonts w:hint="eastAsia" w:ascii="仿宋" w:hAnsi="仿宋" w:eastAsia="仿宋" w:cs="仿宋"/>
          <w:color w:val="000000" w:themeColor="text1"/>
          <w:kern w:val="0"/>
          <w:sz w:val="28"/>
          <w:szCs w:val="28"/>
          <w:highlight w:val="none"/>
          <w:lang w:eastAsia="zh-CN" w:bidi="ar"/>
          <w14:textFill>
            <w14:solidFill>
              <w14:schemeClr w14:val="tx1"/>
            </w14:solidFill>
          </w14:textFill>
        </w:rPr>
        <w:t>）</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w:t>
      </w:r>
      <w:r>
        <w:rPr>
          <w:rFonts w:hint="eastAsia" w:ascii="仿宋" w:hAnsi="仿宋" w:eastAsia="仿宋" w:cs="仿宋"/>
          <w:color w:val="000000" w:themeColor="text1"/>
          <w:sz w:val="28"/>
          <w:szCs w:val="28"/>
          <w:highlight w:val="none"/>
          <w:lang w:bidi="ar"/>
          <w14:textFill>
            <w14:solidFill>
              <w14:schemeClr w14:val="tx1"/>
            </w14:solidFill>
          </w14:textFill>
        </w:rPr>
        <w:t>乙方按合同约定标准提供运维服务所需的全部费用及</w:t>
      </w:r>
      <w:r>
        <w:rPr>
          <w:rFonts w:ascii="仿宋" w:hAnsi="仿宋" w:eastAsia="仿宋" w:cs="仿宋"/>
          <w:color w:val="000000" w:themeColor="text1"/>
          <w:kern w:val="0"/>
          <w:sz w:val="28"/>
          <w:szCs w:val="28"/>
          <w:highlight w:val="none"/>
          <w:lang w:bidi="ar"/>
          <w14:textFill>
            <w14:solidFill>
              <w14:schemeClr w14:val="tx1"/>
            </w14:solidFill>
          </w14:textFill>
        </w:rPr>
        <w:t>对项目验收发生的</w:t>
      </w:r>
      <w:r>
        <w:rPr>
          <w:rFonts w:hint="eastAsia" w:ascii="仿宋" w:hAnsi="仿宋" w:eastAsia="仿宋" w:cs="仿宋"/>
          <w:color w:val="000000" w:themeColor="text1"/>
          <w:kern w:val="0"/>
          <w:sz w:val="28"/>
          <w:szCs w:val="28"/>
          <w:highlight w:val="none"/>
          <w:lang w:val="en-US" w:eastAsia="zh-CN" w:bidi="ar"/>
          <w14:textFill>
            <w14:solidFill>
              <w14:schemeClr w14:val="tx1"/>
            </w14:solidFill>
          </w14:textFill>
        </w:rPr>
        <w:t>监测</w:t>
      </w:r>
      <w:r>
        <w:rPr>
          <w:rFonts w:ascii="仿宋" w:hAnsi="仿宋" w:eastAsia="仿宋" w:cs="仿宋"/>
          <w:color w:val="000000" w:themeColor="text1"/>
          <w:kern w:val="0"/>
          <w:sz w:val="28"/>
          <w:szCs w:val="28"/>
          <w:highlight w:val="none"/>
          <w:lang w:bidi="ar"/>
          <w14:textFill>
            <w14:solidFill>
              <w14:schemeClr w14:val="tx1"/>
            </w14:solidFill>
          </w14:textFill>
        </w:rPr>
        <w:t>（检</w:t>
      </w:r>
      <w:r>
        <w:rPr>
          <w:rFonts w:hint="eastAsia" w:ascii="仿宋" w:hAnsi="仿宋" w:eastAsia="仿宋" w:cs="仿宋"/>
          <w:color w:val="000000" w:themeColor="text1"/>
          <w:kern w:val="0"/>
          <w:sz w:val="28"/>
          <w:szCs w:val="28"/>
          <w:highlight w:val="none"/>
          <w:lang w:val="en-US" w:eastAsia="zh-CN" w:bidi="ar"/>
          <w14:textFill>
            <w14:solidFill>
              <w14:schemeClr w14:val="tx1"/>
            </w14:solidFill>
          </w14:textFill>
        </w:rPr>
        <w:t>查</w:t>
      </w:r>
      <w:r>
        <w:rPr>
          <w:rFonts w:ascii="仿宋" w:hAnsi="仿宋" w:eastAsia="仿宋" w:cs="仿宋"/>
          <w:color w:val="000000" w:themeColor="text1"/>
          <w:kern w:val="0"/>
          <w:sz w:val="28"/>
          <w:szCs w:val="28"/>
          <w:highlight w:val="none"/>
          <w:lang w:bidi="ar"/>
          <w14:textFill>
            <w14:solidFill>
              <w14:schemeClr w14:val="tx1"/>
            </w14:solidFill>
          </w14:textFill>
        </w:rPr>
        <w:t>）费、劳务报酬</w:t>
      </w:r>
      <w:r>
        <w:rPr>
          <w:rFonts w:hint="eastAsia" w:ascii="仿宋" w:hAnsi="仿宋" w:eastAsia="仿宋" w:cs="仿宋"/>
          <w:color w:val="000000" w:themeColor="text1"/>
          <w:kern w:val="0"/>
          <w:sz w:val="28"/>
          <w:szCs w:val="28"/>
          <w:highlight w:val="none"/>
          <w:lang w:bidi="ar"/>
          <w14:textFill>
            <w14:solidFill>
              <w14:schemeClr w14:val="tx1"/>
            </w14:solidFill>
          </w14:textFill>
        </w:rPr>
        <w:t>等费用支出</w:t>
      </w:r>
      <w:r>
        <w:rPr>
          <w:rFonts w:hint="eastAsia" w:ascii="仿宋" w:hAnsi="仿宋" w:eastAsia="仿宋" w:cs="仿宋"/>
          <w:color w:val="000000" w:themeColor="text1"/>
          <w:sz w:val="28"/>
          <w:szCs w:val="28"/>
          <w:highlight w:val="none"/>
          <w:lang w:bidi="ar"/>
          <w14:textFill>
            <w14:solidFill>
              <w14:schemeClr w14:val="tx1"/>
            </w14:solidFill>
          </w14:textFill>
        </w:rPr>
        <w:t>，甲方不再另行支付。</w:t>
      </w:r>
    </w:p>
    <w:p w14:paraId="5132F9A9">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4合同标的服务时间、地点</w:t>
      </w:r>
    </w:p>
    <w:p w14:paraId="2EC5A9B6">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4.1服务时间</w:t>
      </w:r>
      <w:r>
        <w:rPr>
          <w:rFonts w:hint="eastAsia" w:ascii="仿宋" w:hAnsi="仿宋" w:eastAsia="仿宋" w:cs="仿宋"/>
          <w:color w:val="000000" w:themeColor="text1"/>
          <w:sz w:val="28"/>
          <w:szCs w:val="28"/>
          <w:highlight w:val="none"/>
          <w:u w:val="none"/>
          <w:lang w:bidi="ar"/>
          <w14:textFill>
            <w14:solidFill>
              <w14:schemeClr w14:val="tx1"/>
            </w14:solidFill>
          </w14:textFill>
        </w:rPr>
        <w:t>：</w:t>
      </w:r>
      <w:r>
        <w:rPr>
          <w:rFonts w:hint="eastAsia"/>
          <w:color w:val="000000" w:themeColor="text1"/>
          <w:sz w:val="24"/>
          <w:highlight w:val="none"/>
          <w:u w:val="single"/>
          <w14:textFill>
            <w14:solidFill>
              <w14:schemeClr w14:val="tx1"/>
            </w14:solidFill>
          </w14:textFill>
        </w:rPr>
        <w:t xml:space="preserve"> </w:t>
      </w:r>
      <w:r>
        <w:rPr>
          <w:rFonts w:hint="eastAsia" w:ascii="仿宋" w:hAnsi="仿宋" w:eastAsia="仿宋" w:cs="仿宋"/>
          <w:bCs w:val="0"/>
          <w:color w:val="000000" w:themeColor="text1"/>
          <w:sz w:val="28"/>
          <w:szCs w:val="28"/>
          <w:highlight w:val="none"/>
          <w:u w:val="single"/>
          <w:lang w:bidi="ar"/>
          <w14:textFill>
            <w14:solidFill>
              <w14:schemeClr w14:val="tx1"/>
            </w14:solidFill>
          </w14:textFill>
        </w:rPr>
        <w:t>12 个月（202</w:t>
      </w:r>
      <w:r>
        <w:rPr>
          <w:rFonts w:hint="eastAsia" w:ascii="仿宋" w:hAnsi="仿宋" w:eastAsia="仿宋" w:cs="仿宋"/>
          <w:bCs w:val="0"/>
          <w:color w:val="000000" w:themeColor="text1"/>
          <w:sz w:val="28"/>
          <w:szCs w:val="28"/>
          <w:highlight w:val="none"/>
          <w:u w:val="single"/>
          <w:lang w:val="en-US" w:eastAsia="zh-CN" w:bidi="ar"/>
          <w14:textFill>
            <w14:solidFill>
              <w14:schemeClr w14:val="tx1"/>
            </w14:solidFill>
          </w14:textFill>
        </w:rPr>
        <w:t>5</w:t>
      </w:r>
      <w:r>
        <w:rPr>
          <w:rFonts w:hint="eastAsia" w:ascii="仿宋" w:hAnsi="仿宋" w:eastAsia="仿宋" w:cs="仿宋"/>
          <w:bCs w:val="0"/>
          <w:color w:val="000000" w:themeColor="text1"/>
          <w:sz w:val="28"/>
          <w:szCs w:val="28"/>
          <w:highlight w:val="none"/>
          <w:u w:val="single"/>
          <w:lang w:bidi="ar"/>
          <w14:textFill>
            <w14:solidFill>
              <w14:schemeClr w14:val="tx1"/>
            </w14:solidFill>
          </w14:textFill>
        </w:rPr>
        <w:t>年1月1日-202</w:t>
      </w:r>
      <w:r>
        <w:rPr>
          <w:rFonts w:hint="eastAsia" w:ascii="仿宋" w:hAnsi="仿宋" w:eastAsia="仿宋" w:cs="仿宋"/>
          <w:bCs w:val="0"/>
          <w:color w:val="000000" w:themeColor="text1"/>
          <w:sz w:val="28"/>
          <w:szCs w:val="28"/>
          <w:highlight w:val="none"/>
          <w:u w:val="single"/>
          <w:lang w:val="en-US" w:eastAsia="zh-CN" w:bidi="ar"/>
          <w14:textFill>
            <w14:solidFill>
              <w14:schemeClr w14:val="tx1"/>
            </w14:solidFill>
          </w14:textFill>
        </w:rPr>
        <w:t>5</w:t>
      </w:r>
      <w:r>
        <w:rPr>
          <w:rFonts w:hint="eastAsia" w:ascii="仿宋" w:hAnsi="仿宋" w:eastAsia="仿宋" w:cs="仿宋"/>
          <w:bCs w:val="0"/>
          <w:color w:val="000000" w:themeColor="text1"/>
          <w:sz w:val="28"/>
          <w:szCs w:val="28"/>
          <w:highlight w:val="none"/>
          <w:u w:val="single"/>
          <w:lang w:bidi="ar"/>
          <w14:textFill>
            <w14:solidFill>
              <w14:schemeClr w14:val="tx1"/>
            </w14:solidFill>
          </w14:textFill>
        </w:rPr>
        <w:t>年12月31日）</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lang w:bidi="ar"/>
          <w14:textFill>
            <w14:solidFill>
              <w14:schemeClr w14:val="tx1"/>
            </w14:solidFill>
          </w14:textFill>
        </w:rPr>
        <w:t>；</w:t>
      </w:r>
    </w:p>
    <w:p w14:paraId="2BE49ADD">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4.2服务地点：</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14</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lang w:bidi="ar"/>
          <w14:textFill>
            <w14:solidFill>
              <w14:schemeClr w14:val="tx1"/>
            </w14:solidFill>
          </w14:textFill>
        </w:rPr>
        <w:t>个省控站；</w:t>
      </w:r>
    </w:p>
    <w:p w14:paraId="4CA0414A">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5.付款方式及条件：</w:t>
      </w:r>
    </w:p>
    <w:p w14:paraId="5549E3E4">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本合同分三期付款，每笔款项支付前乙方均应提供等额合法有效发票。</w:t>
      </w:r>
    </w:p>
    <w:p w14:paraId="5AE3AA3B">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5.1</w:t>
      </w:r>
      <w:bookmarkStart w:id="60" w:name="OLE_LINK21"/>
      <w:r>
        <w:rPr>
          <w:rFonts w:hint="eastAsia" w:ascii="仿宋" w:hAnsi="仿宋" w:eastAsia="仿宋" w:cs="仿宋"/>
          <w:color w:val="000000" w:themeColor="text1"/>
          <w:sz w:val="28"/>
          <w:szCs w:val="28"/>
          <w:highlight w:val="none"/>
          <w:lang w:bidi="ar"/>
          <w14:textFill>
            <w14:solidFill>
              <w14:schemeClr w14:val="tx1"/>
            </w14:solidFill>
          </w14:textFill>
        </w:rPr>
        <w:t>首付款：合同签订后</w:t>
      </w:r>
      <w:r>
        <w:rPr>
          <w:rFonts w:ascii="仿宋" w:hAnsi="仿宋" w:eastAsia="仿宋" w:cs="仿宋"/>
          <w:color w:val="000000" w:themeColor="text1"/>
          <w:sz w:val="28"/>
          <w:szCs w:val="28"/>
          <w:highlight w:val="none"/>
          <w:lang w:bidi="ar"/>
          <w14:textFill>
            <w14:solidFill>
              <w14:schemeClr w14:val="tx1"/>
            </w14:solidFill>
          </w14:textFill>
        </w:rPr>
        <w:t>15</w:t>
      </w:r>
      <w:r>
        <w:rPr>
          <w:rFonts w:hint="eastAsia" w:ascii="仿宋" w:hAnsi="仿宋" w:eastAsia="仿宋" w:cs="仿宋"/>
          <w:color w:val="000000" w:themeColor="text1"/>
          <w:sz w:val="28"/>
          <w:szCs w:val="28"/>
          <w:highlight w:val="none"/>
          <w:lang w:bidi="ar"/>
          <w14:textFill>
            <w14:solidFill>
              <w14:schemeClr w14:val="tx1"/>
            </w14:solidFill>
          </w14:textFill>
        </w:rPr>
        <w:t>个工作日内，乙方向甲方提供合同总额 5</w:t>
      </w:r>
      <w:r>
        <w:rPr>
          <w:rFonts w:ascii="仿宋" w:hAnsi="仿宋" w:eastAsia="仿宋" w:cs="仿宋"/>
          <w:color w:val="000000" w:themeColor="text1"/>
          <w:sz w:val="28"/>
          <w:szCs w:val="28"/>
          <w:highlight w:val="none"/>
          <w:lang w:bidi="ar"/>
          <w14:textFill>
            <w14:solidFill>
              <w14:schemeClr w14:val="tx1"/>
            </w14:solidFill>
          </w14:textFill>
        </w:rPr>
        <w:t>%</w:t>
      </w:r>
      <w:r>
        <w:rPr>
          <w:rFonts w:hint="eastAsia" w:ascii="仿宋" w:hAnsi="仿宋" w:eastAsia="仿宋" w:cs="仿宋"/>
          <w:color w:val="000000" w:themeColor="text1"/>
          <w:sz w:val="28"/>
          <w:szCs w:val="28"/>
          <w:highlight w:val="none"/>
          <w:lang w:bidi="ar"/>
          <w14:textFill>
            <w14:solidFill>
              <w14:schemeClr w14:val="tx1"/>
            </w14:solidFill>
          </w14:textFill>
        </w:rPr>
        <w:t>的履约保函（有效期</w:t>
      </w:r>
      <w:r>
        <w:rPr>
          <w:rFonts w:ascii="仿宋" w:hAnsi="仿宋" w:eastAsia="仿宋" w:cs="仿宋"/>
          <w:color w:val="000000" w:themeColor="text1"/>
          <w:sz w:val="28"/>
          <w:szCs w:val="28"/>
          <w:highlight w:val="none"/>
          <w:lang w:bidi="ar"/>
          <w14:textFill>
            <w14:solidFill>
              <w14:schemeClr w14:val="tx1"/>
            </w14:solidFill>
          </w14:textFill>
        </w:rPr>
        <w:t>14</w:t>
      </w:r>
      <w:r>
        <w:rPr>
          <w:rFonts w:hint="eastAsia" w:ascii="仿宋" w:hAnsi="仿宋" w:eastAsia="仿宋" w:cs="仿宋"/>
          <w:color w:val="000000" w:themeColor="text1"/>
          <w:sz w:val="28"/>
          <w:szCs w:val="28"/>
          <w:highlight w:val="none"/>
          <w:lang w:bidi="ar"/>
          <w14:textFill>
            <w14:solidFill>
              <w14:schemeClr w14:val="tx1"/>
            </w14:solidFill>
          </w14:textFill>
        </w:rPr>
        <w:t>个月），甲方在收到乙方提供的履约保函且财政资金下达后，甲方向乙方支付合同总金额的</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50</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lang w:bidi="ar"/>
          <w14:textFill>
            <w14:solidFill>
              <w14:schemeClr w14:val="tx1"/>
            </w14:solidFill>
          </w14:textFill>
        </w:rPr>
        <w:t>，即</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 xml:space="preserve">   </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 xml:space="preserve"> </w:t>
      </w:r>
      <w:r>
        <w:rPr>
          <w:rFonts w:hint="eastAsia" w:ascii="仿宋" w:hAnsi="仿宋" w:eastAsia="仿宋" w:cs="仿宋"/>
          <w:color w:val="000000" w:themeColor="text1"/>
          <w:sz w:val="28"/>
          <w:szCs w:val="28"/>
          <w:highlight w:val="none"/>
          <w:lang w:bidi="ar"/>
          <w14:textFill>
            <w14:solidFill>
              <w14:schemeClr w14:val="tx1"/>
            </w14:solidFill>
          </w14:textFill>
        </w:rPr>
        <w:t>元（大写：</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 xml:space="preserve">       </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lang w:bidi="ar"/>
          <w14:textFill>
            <w14:solidFill>
              <w14:schemeClr w14:val="tx1"/>
            </w14:solidFill>
          </w14:textFill>
        </w:rPr>
        <w:t>）。</w:t>
      </w:r>
    </w:p>
    <w:p w14:paraId="705CFC38">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 xml:space="preserve">5.2 </w:t>
      </w:r>
      <w:r>
        <w:rPr>
          <w:rFonts w:hint="eastAsia" w:ascii="仿宋" w:hAnsi="仿宋" w:eastAsia="仿宋" w:cs="仿宋"/>
          <w:color w:val="000000" w:themeColor="text1"/>
          <w:sz w:val="28"/>
          <w:szCs w:val="28"/>
          <w:highlight w:val="none"/>
          <w14:textFill>
            <w14:solidFill>
              <w14:schemeClr w14:val="tx1"/>
            </w14:solidFill>
          </w14:textFill>
        </w:rPr>
        <w:t>202</w:t>
      </w:r>
      <w:r>
        <w:rPr>
          <w:rFonts w:hint="eastAsia" w:ascii="仿宋" w:hAnsi="仿宋" w:eastAsia="仿宋" w:cs="仿宋"/>
          <w:color w:val="000000" w:themeColor="text1"/>
          <w:sz w:val="28"/>
          <w:szCs w:val="28"/>
          <w:highlight w:val="none"/>
          <w:lang w:val="en-US" w:eastAsia="zh-CN"/>
          <w14:textFill>
            <w14:solidFill>
              <w14:schemeClr w14:val="tx1"/>
            </w14:solidFill>
          </w14:textFill>
        </w:rPr>
        <w:t>5</w:t>
      </w:r>
      <w:r>
        <w:rPr>
          <w:rFonts w:hint="eastAsia" w:ascii="仿宋" w:hAnsi="仿宋" w:eastAsia="仿宋" w:cs="仿宋"/>
          <w:color w:val="000000" w:themeColor="text1"/>
          <w:sz w:val="28"/>
          <w:szCs w:val="28"/>
          <w:highlight w:val="none"/>
          <w14:textFill>
            <w14:solidFill>
              <w14:schemeClr w14:val="tx1"/>
            </w14:solidFill>
          </w14:textFill>
        </w:rPr>
        <w:t>年9月完成运维工作阶段性总结汇报，且运维管理和数据有效性经甲方考核合格后</w:t>
      </w:r>
      <w:r>
        <w:rPr>
          <w:rFonts w:hint="eastAsia" w:ascii="仿宋" w:hAnsi="仿宋" w:eastAsia="仿宋" w:cs="仿宋"/>
          <w:color w:val="000000" w:themeColor="text1"/>
          <w:sz w:val="28"/>
          <w:szCs w:val="28"/>
          <w:highlight w:val="none"/>
          <w:lang w:bidi="ar"/>
          <w14:textFill>
            <w14:solidFill>
              <w14:schemeClr w14:val="tx1"/>
            </w14:solidFill>
          </w14:textFill>
        </w:rPr>
        <w:t>10个工作日内，甲方向乙方支付合同总金额的</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40</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lang w:bidi="ar"/>
          <w14:textFill>
            <w14:solidFill>
              <w14:schemeClr w14:val="tx1"/>
            </w14:solidFill>
          </w14:textFill>
        </w:rPr>
        <w:t>，即</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 xml:space="preserve">   </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lang w:bidi="ar"/>
          <w14:textFill>
            <w14:solidFill>
              <w14:schemeClr w14:val="tx1"/>
            </w14:solidFill>
          </w14:textFill>
        </w:rPr>
        <w:t>元（大写：</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 xml:space="preserve">         </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lang w:bidi="ar"/>
          <w14:textFill>
            <w14:solidFill>
              <w14:schemeClr w14:val="tx1"/>
            </w14:solidFill>
          </w14:textFill>
        </w:rPr>
        <w:t>）。</w:t>
      </w:r>
    </w:p>
    <w:p w14:paraId="3DCDFB87">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5.3</w:t>
      </w:r>
      <w:r>
        <w:rPr>
          <w:rFonts w:hint="eastAsia" w:ascii="仿宋" w:hAnsi="仿宋" w:eastAsia="仿宋" w:cs="仿宋"/>
          <w:color w:val="000000" w:themeColor="text1"/>
          <w:sz w:val="28"/>
          <w:szCs w:val="28"/>
          <w:highlight w:val="none"/>
          <w14:textFill>
            <w14:solidFill>
              <w14:schemeClr w14:val="tx1"/>
            </w14:solidFill>
          </w14:textFill>
        </w:rPr>
        <w:t>在202</w:t>
      </w:r>
      <w:r>
        <w:rPr>
          <w:rFonts w:hint="eastAsia" w:ascii="仿宋" w:hAnsi="仿宋" w:eastAsia="仿宋" w:cs="仿宋"/>
          <w:color w:val="000000" w:themeColor="text1"/>
          <w:sz w:val="28"/>
          <w:szCs w:val="28"/>
          <w:highlight w:val="none"/>
          <w:lang w:val="en-US" w:eastAsia="zh-CN"/>
          <w14:textFill>
            <w14:solidFill>
              <w14:schemeClr w14:val="tx1"/>
            </w14:solidFill>
          </w14:textFill>
        </w:rPr>
        <w:t>5</w:t>
      </w:r>
      <w:r>
        <w:rPr>
          <w:rFonts w:hint="eastAsia" w:ascii="仿宋" w:hAnsi="仿宋" w:eastAsia="仿宋" w:cs="仿宋"/>
          <w:color w:val="000000" w:themeColor="text1"/>
          <w:sz w:val="28"/>
          <w:szCs w:val="28"/>
          <w:highlight w:val="none"/>
          <w14:textFill>
            <w14:solidFill>
              <w14:schemeClr w14:val="tx1"/>
            </w14:solidFill>
          </w14:textFill>
        </w:rPr>
        <w:t>年12月</w:t>
      </w:r>
      <w:r>
        <w:rPr>
          <w:rFonts w:hint="eastAsia" w:ascii="仿宋" w:hAnsi="仿宋" w:eastAsia="仿宋" w:cs="仿宋"/>
          <w:color w:val="000000" w:themeColor="text1"/>
          <w:sz w:val="28"/>
          <w:szCs w:val="28"/>
          <w:highlight w:val="none"/>
          <w:lang w:bidi="ar"/>
          <w14:textFill>
            <w14:solidFill>
              <w14:schemeClr w14:val="tx1"/>
            </w14:solidFill>
          </w14:textFill>
        </w:rPr>
        <w:t>，</w:t>
      </w:r>
      <w:r>
        <w:rPr>
          <w:rFonts w:hint="eastAsia" w:ascii="仿宋" w:hAnsi="仿宋" w:eastAsia="仿宋" w:cs="仿宋"/>
          <w:color w:val="000000" w:themeColor="text1"/>
          <w:sz w:val="28"/>
          <w:szCs w:val="28"/>
          <w:highlight w:val="none"/>
          <w14:textFill>
            <w14:solidFill>
              <w14:schemeClr w14:val="tx1"/>
            </w14:solidFill>
          </w14:textFill>
        </w:rPr>
        <w:t>经甲方考核合格后，</w:t>
      </w:r>
      <w:r>
        <w:rPr>
          <w:rFonts w:hint="eastAsia" w:ascii="仿宋" w:hAnsi="仿宋" w:eastAsia="仿宋" w:cs="仿宋"/>
          <w:color w:val="000000" w:themeColor="text1"/>
          <w:sz w:val="28"/>
          <w:szCs w:val="28"/>
          <w:highlight w:val="none"/>
          <w:lang w:bidi="ar"/>
          <w14:textFill>
            <w14:solidFill>
              <w14:schemeClr w14:val="tx1"/>
            </w14:solidFill>
          </w14:textFill>
        </w:rPr>
        <w:t>甲方向乙方支付合同总金额的</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10</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lang w:bidi="ar"/>
          <w14:textFill>
            <w14:solidFill>
              <w14:schemeClr w14:val="tx1"/>
            </w14:solidFill>
          </w14:textFill>
        </w:rPr>
        <w:t>，即</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 xml:space="preserve">        </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lang w:bidi="ar"/>
          <w14:textFill>
            <w14:solidFill>
              <w14:schemeClr w14:val="tx1"/>
            </w14:solidFill>
          </w14:textFill>
        </w:rPr>
        <w:t>元（大写：</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 xml:space="preserve">       </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lang w:bidi="ar"/>
          <w14:textFill>
            <w14:solidFill>
              <w14:schemeClr w14:val="tx1"/>
            </w14:solidFill>
          </w14:textFill>
        </w:rPr>
        <w:t>）。</w:t>
      </w:r>
    </w:p>
    <w:p w14:paraId="07269BF8">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5.4乙方履约期满后30日内，甲方根据考核办法及国家相关技术要求组织验收，乙方履约如无瑕疵，甲方退还乙方履约保函。</w:t>
      </w:r>
    </w:p>
    <w:bookmarkEnd w:id="60"/>
    <w:p w14:paraId="2424D836">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5.5乙方运维管理、数据有效性等考核不符合本合同约定或甲方要求的，甲方有权在各期款项支付时扣减相应的运维服务费。</w:t>
      </w:r>
    </w:p>
    <w:p w14:paraId="5EB8A2DA">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5.6甲方每次付款前，乙方未提供发票或提供的发票不符合要求的，甲方有权拒绝付款且不承担违约责任，乙方应赔偿因此给甲方造成的一切损失。发票不符合要求的情形包括但不限于以下情形：开具虚假、作废等无效发票或者违反国家法律法规开具、提供发票的；发票上的信息错误；因乙方迟延送达、开具错误等原因造成发票认证失败等。</w:t>
      </w:r>
    </w:p>
    <w:p w14:paraId="435F3E60">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5.</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7</w:t>
      </w:r>
      <w:r>
        <w:rPr>
          <w:rFonts w:hint="eastAsia" w:ascii="仿宋" w:hAnsi="仿宋" w:eastAsia="仿宋" w:cs="仿宋"/>
          <w:color w:val="000000" w:themeColor="text1"/>
          <w:sz w:val="28"/>
          <w:szCs w:val="28"/>
          <w:highlight w:val="none"/>
          <w:lang w:bidi="ar"/>
          <w14:textFill>
            <w14:solidFill>
              <w14:schemeClr w14:val="tx1"/>
            </w14:solidFill>
          </w14:textFill>
        </w:rPr>
        <w:t>甲方已按时向财政等部门提交付款申请，因财政封账、财政审批等原因导致付款延迟，乙方表示谅解，甲方不因此承担违约责任。</w:t>
      </w:r>
    </w:p>
    <w:p w14:paraId="29F10913">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6合同有效期</w:t>
      </w:r>
    </w:p>
    <w:p w14:paraId="7F326EDC">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合同有效期至服务期满且双方义务履行完毕之日止。</w:t>
      </w:r>
    </w:p>
    <w:p w14:paraId="67E985A1">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7考核要求</w:t>
      </w:r>
    </w:p>
    <w:p w14:paraId="602E9C42">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甲方组织开展运维管理和数据有效性考核，对达不到要求或违规操作的，甲方扣减相应的运维费，并有权终止运维合同。</w:t>
      </w:r>
    </w:p>
    <w:p w14:paraId="138BAD53">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7.1考核办法</w:t>
      </w:r>
    </w:p>
    <w:p w14:paraId="215D3B80">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省监测中心对各站点的数据有效率进行核查，并</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分上、下半年</w:t>
      </w:r>
      <w:r>
        <w:rPr>
          <w:rFonts w:hint="eastAsia" w:ascii="仿宋" w:hAnsi="仿宋" w:eastAsia="仿宋" w:cs="仿宋"/>
          <w:color w:val="000000" w:themeColor="text1"/>
          <w:sz w:val="28"/>
          <w:szCs w:val="28"/>
          <w:highlight w:val="none"/>
          <w:lang w:bidi="ar"/>
          <w14:textFill>
            <w14:solidFill>
              <w14:schemeClr w14:val="tx1"/>
            </w14:solidFill>
          </w14:textFill>
        </w:rPr>
        <w:t>组织第三方开展运行维护检查，省监测中心不定期对乙方进行运行维护抽查。以核查、检查及抽查结果进行考核。</w:t>
      </w:r>
    </w:p>
    <w:p w14:paraId="3FE95AB8">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考核采取百分制、单站考核的方式，主要包括单个站点数据有效性(包括监测数据获取率、数据质控合格率)以及运行维护的内容。甲方在约定时间内应对乙方的运维工作予以考核并出具考核结果。</w:t>
      </w:r>
    </w:p>
    <w:p w14:paraId="0AA17BAB">
      <w:pPr>
        <w:widowControl/>
        <w:spacing w:line="520" w:lineRule="exact"/>
        <w:ind w:firstLine="560" w:firstLineChars="200"/>
        <w:rPr>
          <w:rFonts w:hint="eastAsia"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7.2考核得分计算</w:t>
      </w:r>
    </w:p>
    <w:p w14:paraId="08C1102F">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考核总分=数据有效性得分+运行维护得分</w:t>
      </w:r>
    </w:p>
    <w:p w14:paraId="0765A276">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（1）数据有效性(70分)</w:t>
      </w:r>
    </w:p>
    <w:p w14:paraId="2A399EFF">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数据捕获率指考核时段内各监测项目实际获取的小时值监测数据量总和除以应获得小时值数据量总和。</w:t>
      </w:r>
    </w:p>
    <w:p w14:paraId="61AA8BE8">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数据质控合格率指考核时段内各监测项目实际获取的质控合格的小时值监测数据量总和除以应获得小时值数据量总和。</w:t>
      </w:r>
    </w:p>
    <w:p w14:paraId="0289773C">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每日各项目应获得小时值数据量均按24个计，考核时段天数按考核时段内日历天数计。计算应获得小时值数据量时，应扣除因不可抗力造成的停止监测的小时数。</w:t>
      </w:r>
    </w:p>
    <w:p w14:paraId="6DCEBBA3">
      <w:pPr>
        <w:widowControl/>
        <w:spacing w:line="520" w:lineRule="exact"/>
        <w:ind w:firstLine="560" w:firstLineChars="200"/>
        <w:rPr>
          <w:rFonts w:hint="eastAsia" w:ascii="仿宋" w:hAnsi="仿宋" w:eastAsia="仿宋" w:cs="仿宋"/>
          <w:color w:val="000000" w:themeColor="text1"/>
          <w:sz w:val="28"/>
          <w:szCs w:val="28"/>
          <w:highlight w:val="none"/>
          <w:lang w:eastAsia="zh-CN"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考核时段内单站设备数据捕获率必须高于90%(含)，否则考核总分以0分计，不予支付该站点</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考核时段</w:t>
      </w:r>
      <w:r>
        <w:rPr>
          <w:rFonts w:hint="eastAsia" w:ascii="仿宋" w:hAnsi="仿宋" w:eastAsia="仿宋" w:cs="仿宋"/>
          <w:color w:val="000000" w:themeColor="text1"/>
          <w:sz w:val="28"/>
          <w:szCs w:val="28"/>
          <w:highlight w:val="none"/>
          <w:lang w:bidi="ar"/>
          <w14:textFill>
            <w14:solidFill>
              <w14:schemeClr w14:val="tx1"/>
            </w14:solidFill>
          </w14:textFill>
        </w:rPr>
        <w:t>内运维费用</w:t>
      </w:r>
      <w:r>
        <w:rPr>
          <w:rFonts w:hint="eastAsia" w:ascii="仿宋" w:hAnsi="仿宋" w:eastAsia="仿宋" w:cs="仿宋"/>
          <w:color w:val="000000" w:themeColor="text1"/>
          <w:sz w:val="28"/>
          <w:szCs w:val="28"/>
          <w:highlight w:val="none"/>
          <w:lang w:eastAsia="zh-CN" w:bidi="ar"/>
          <w14:textFill>
            <w14:solidFill>
              <w14:schemeClr w14:val="tx1"/>
            </w14:solidFill>
          </w14:textFill>
        </w:rPr>
        <w:t>（</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单站点考核时段内运维费用=合同总金额</w:t>
      </w:r>
      <w:bookmarkStart w:id="61" w:name="OLE_LINK3"/>
      <w:r>
        <w:rPr>
          <w:rFonts w:hint="eastAsia" w:ascii="微软雅黑" w:hAnsi="微软雅黑" w:eastAsia="微软雅黑" w:cs="微软雅黑"/>
          <w:color w:val="000000" w:themeColor="text1"/>
          <w:sz w:val="28"/>
          <w:szCs w:val="28"/>
          <w:highlight w:val="none"/>
          <w:lang w:val="en-US" w:eastAsia="zh-CN" w:bidi="ar"/>
          <w14:textFill>
            <w14:solidFill>
              <w14:schemeClr w14:val="tx1"/>
            </w14:solidFill>
          </w14:textFill>
        </w:rPr>
        <w:t>÷</w:t>
      </w:r>
      <w:bookmarkEnd w:id="61"/>
      <w:r>
        <w:rPr>
          <w:rFonts w:hint="eastAsia" w:ascii="仿宋" w:hAnsi="仿宋" w:eastAsia="仿宋" w:cs="仿宋"/>
          <w:color w:val="000000" w:themeColor="text1"/>
          <w:sz w:val="28"/>
          <w:szCs w:val="28"/>
          <w:highlight w:val="none"/>
          <w:lang w:val="en-US" w:eastAsia="zh-CN" w:bidi="ar"/>
          <w14:textFill>
            <w14:solidFill>
              <w14:schemeClr w14:val="tx1"/>
            </w14:solidFill>
          </w14:textFill>
        </w:rPr>
        <w:t>乙方考核期内运维站点数量÷12月×考核期内整月数</w:t>
      </w:r>
      <w:r>
        <w:rPr>
          <w:rFonts w:hint="eastAsia" w:ascii="仿宋" w:hAnsi="仿宋" w:eastAsia="仿宋" w:cs="仿宋"/>
          <w:color w:val="000000" w:themeColor="text1"/>
          <w:sz w:val="28"/>
          <w:szCs w:val="28"/>
          <w:highlight w:val="none"/>
          <w:lang w:eastAsia="zh-CN" w:bidi="ar"/>
          <w14:textFill>
            <w14:solidFill>
              <w14:schemeClr w14:val="tx1"/>
            </w14:solidFill>
          </w14:textFill>
        </w:rPr>
        <w:t>）</w:t>
      </w:r>
      <w:r>
        <w:rPr>
          <w:rFonts w:hint="eastAsia" w:ascii="仿宋" w:hAnsi="仿宋" w:eastAsia="仿宋" w:cs="仿宋"/>
          <w:color w:val="000000" w:themeColor="text1"/>
          <w:sz w:val="28"/>
          <w:szCs w:val="28"/>
          <w:highlight w:val="none"/>
          <w:lang w:bidi="ar"/>
          <w14:textFill>
            <w14:solidFill>
              <w14:schemeClr w14:val="tx1"/>
            </w14:solidFill>
          </w14:textFill>
        </w:rPr>
        <w:t>，如已支付须在考核后15个工作日内退还</w:t>
      </w:r>
      <w:r>
        <w:rPr>
          <w:rFonts w:hint="eastAsia" w:ascii="仿宋" w:hAnsi="仿宋" w:eastAsia="仿宋" w:cs="仿宋"/>
          <w:color w:val="000000" w:themeColor="text1"/>
          <w:sz w:val="28"/>
          <w:szCs w:val="28"/>
          <w:highlight w:val="none"/>
          <w:lang w:eastAsia="zh-CN" w:bidi="ar"/>
          <w14:textFill>
            <w14:solidFill>
              <w14:schemeClr w14:val="tx1"/>
            </w14:solidFill>
          </w14:textFill>
        </w:rPr>
        <w:t>；</w:t>
      </w:r>
      <w:r>
        <w:rPr>
          <w:rFonts w:hint="eastAsia" w:ascii="仿宋" w:hAnsi="仿宋" w:eastAsia="仿宋" w:cs="仿宋"/>
          <w:color w:val="000000" w:themeColor="text1"/>
          <w:sz w:val="28"/>
          <w:szCs w:val="28"/>
          <w:highlight w:val="none"/>
          <w:lang w:bidi="ar"/>
          <w14:textFill>
            <w14:solidFill>
              <w14:schemeClr w14:val="tx1"/>
            </w14:solidFill>
          </w14:textFill>
        </w:rPr>
        <w:t>单站设备数据质控合格率必须高于80%，否则该站点考核以0分计，不予支付该站点</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考核时段</w:t>
      </w:r>
      <w:r>
        <w:rPr>
          <w:rFonts w:hint="eastAsia" w:ascii="仿宋" w:hAnsi="仿宋" w:eastAsia="仿宋" w:cs="仿宋"/>
          <w:color w:val="000000" w:themeColor="text1"/>
          <w:sz w:val="28"/>
          <w:szCs w:val="28"/>
          <w:highlight w:val="none"/>
          <w:lang w:bidi="ar"/>
          <w14:textFill>
            <w14:solidFill>
              <w14:schemeClr w14:val="tx1"/>
            </w14:solidFill>
          </w14:textFill>
        </w:rPr>
        <w:t>内运维费用，如已支付须在考核后15个工作日内退还</w:t>
      </w:r>
      <w:r>
        <w:rPr>
          <w:rFonts w:hint="eastAsia" w:ascii="仿宋" w:hAnsi="仿宋" w:eastAsia="仿宋" w:cs="仿宋"/>
          <w:color w:val="000000" w:themeColor="text1"/>
          <w:sz w:val="28"/>
          <w:szCs w:val="28"/>
          <w:highlight w:val="none"/>
          <w:lang w:eastAsia="zh-CN" w:bidi="ar"/>
          <w14:textFill>
            <w14:solidFill>
              <w14:schemeClr w14:val="tx1"/>
            </w14:solidFill>
          </w14:textFill>
        </w:rPr>
        <w:t>。</w:t>
      </w:r>
    </w:p>
    <w:p w14:paraId="7052C879">
      <w:pPr>
        <w:widowControl/>
        <w:spacing w:line="520" w:lineRule="exact"/>
        <w:ind w:firstLine="560" w:firstLineChars="200"/>
        <w:rPr>
          <w:rFonts w:hint="eastAsia"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单站监测数据质控合格率高于90%(含)的，得70分；80%(含)-90%的，得分为70×（数据质控合格率/90%）。</w:t>
      </w:r>
    </w:p>
    <w:p w14:paraId="15414712">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（2）运行维护(30分)</w:t>
      </w:r>
    </w:p>
    <w:p w14:paraId="08877111">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运行维护部分由甲方组织第三方开展检查、甲方不定期抽查，检查内容包括</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但不限于</w:t>
      </w:r>
      <w:r>
        <w:rPr>
          <w:rFonts w:hint="eastAsia" w:ascii="仿宋" w:hAnsi="仿宋" w:eastAsia="仿宋" w:cs="仿宋"/>
          <w:color w:val="000000" w:themeColor="text1"/>
          <w:sz w:val="28"/>
          <w:szCs w:val="28"/>
          <w:highlight w:val="none"/>
          <w:lang w:bidi="ar"/>
          <w14:textFill>
            <w14:solidFill>
              <w14:schemeClr w14:val="tx1"/>
            </w14:solidFill>
          </w14:textFill>
        </w:rPr>
        <w:t>日常运维任务完成情况、异常情况处理情况、站房环境保障效果、采样系统维护效果、仪器日常维护效果、质量控制效果、通讯系统维护效果（数据上传发布情况）、人员与档案记录管理情况等，共计30分。检查满分100分，考核时运行维护得分=检查得分×0.3分。</w:t>
      </w:r>
    </w:p>
    <w:p w14:paraId="7C177385">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7.3运维费核算方法</w:t>
      </w:r>
    </w:p>
    <w:p w14:paraId="7293975A">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根据数据有效性核查及第三方检查</w:t>
      </w:r>
      <w:r>
        <w:rPr>
          <w:rFonts w:hint="eastAsia" w:ascii="仿宋" w:hAnsi="仿宋" w:eastAsia="仿宋" w:cs="仿宋"/>
          <w:color w:val="000000" w:themeColor="text1"/>
          <w:sz w:val="28"/>
          <w:szCs w:val="28"/>
          <w:highlight w:val="none"/>
          <w:lang w:eastAsia="zh-CN" w:bidi="ar"/>
          <w14:textFill>
            <w14:solidFill>
              <w14:schemeClr w14:val="tx1"/>
            </w14:solidFill>
          </w14:textFill>
        </w:rPr>
        <w:t>（</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考核</w:t>
      </w:r>
      <w:r>
        <w:rPr>
          <w:rFonts w:hint="eastAsia" w:ascii="仿宋" w:hAnsi="仿宋" w:eastAsia="仿宋" w:cs="仿宋"/>
          <w:color w:val="000000" w:themeColor="text1"/>
          <w:sz w:val="28"/>
          <w:szCs w:val="28"/>
          <w:highlight w:val="none"/>
          <w:lang w:eastAsia="zh-CN" w:bidi="ar"/>
          <w14:textFill>
            <w14:solidFill>
              <w14:schemeClr w14:val="tx1"/>
            </w14:solidFill>
          </w14:textFill>
        </w:rPr>
        <w:t>）</w:t>
      </w:r>
      <w:r>
        <w:rPr>
          <w:rFonts w:hint="eastAsia" w:ascii="仿宋" w:hAnsi="仿宋" w:eastAsia="仿宋" w:cs="仿宋"/>
          <w:color w:val="000000" w:themeColor="text1"/>
          <w:sz w:val="28"/>
          <w:szCs w:val="28"/>
          <w:highlight w:val="none"/>
          <w:lang w:bidi="ar"/>
          <w14:textFill>
            <w14:solidFill>
              <w14:schemeClr w14:val="tx1"/>
            </w14:solidFill>
          </w14:textFill>
        </w:rPr>
        <w:t>结果，单站点考核总分低于80分的，不予支付该站点当期运维费，</w:t>
      </w:r>
      <w:bookmarkStart w:id="62" w:name="OLE_LINK6"/>
      <w:r>
        <w:rPr>
          <w:rFonts w:hint="eastAsia" w:ascii="仿宋" w:hAnsi="仿宋" w:eastAsia="仿宋" w:cs="仿宋"/>
          <w:color w:val="000000" w:themeColor="text1"/>
          <w:sz w:val="28"/>
          <w:szCs w:val="28"/>
          <w:highlight w:val="none"/>
          <w:lang w:bidi="ar"/>
          <w14:textFill>
            <w14:solidFill>
              <w14:schemeClr w14:val="tx1"/>
            </w14:solidFill>
          </w14:textFill>
        </w:rPr>
        <w:t>如已支付须在考核结果出具后15个工作日内退还；考核总分95（含）分以上的，支付该站点当期全额运维费；考核总分在80（含）-95分的，该站点当</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次考核期内</w:t>
      </w:r>
      <w:r>
        <w:rPr>
          <w:rFonts w:hint="eastAsia" w:ascii="仿宋" w:hAnsi="仿宋" w:eastAsia="仿宋" w:cs="仿宋"/>
          <w:color w:val="000000" w:themeColor="text1"/>
          <w:sz w:val="28"/>
          <w:szCs w:val="28"/>
          <w:highlight w:val="none"/>
          <w:lang w:bidi="ar"/>
          <w14:textFill>
            <w14:solidFill>
              <w14:schemeClr w14:val="tx1"/>
            </w14:solidFill>
          </w14:textFill>
        </w:rPr>
        <w:t>运维费= (实际考核总分/100)×单站点</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当期</w:t>
      </w:r>
      <w:r>
        <w:rPr>
          <w:rFonts w:hint="eastAsia" w:ascii="仿宋" w:hAnsi="仿宋" w:eastAsia="仿宋" w:cs="仿宋"/>
          <w:color w:val="000000" w:themeColor="text1"/>
          <w:sz w:val="28"/>
          <w:szCs w:val="28"/>
          <w:highlight w:val="none"/>
          <w:lang w:bidi="ar"/>
          <w14:textFill>
            <w14:solidFill>
              <w14:schemeClr w14:val="tx1"/>
            </w14:solidFill>
          </w14:textFill>
        </w:rPr>
        <w:t>全额运维费，</w:t>
      </w:r>
      <w:bookmarkEnd w:id="62"/>
      <w:r>
        <w:rPr>
          <w:rFonts w:hint="eastAsia" w:ascii="仿宋" w:hAnsi="仿宋" w:eastAsia="仿宋" w:cs="仿宋"/>
          <w:color w:val="000000" w:themeColor="text1"/>
          <w:sz w:val="28"/>
          <w:szCs w:val="28"/>
          <w:highlight w:val="none"/>
          <w:lang w:bidi="ar"/>
          <w14:textFill>
            <w14:solidFill>
              <w14:schemeClr w14:val="tx1"/>
            </w14:solidFill>
          </w14:textFill>
        </w:rPr>
        <w:t>如已全额支付须在考核结果出具后15个工作日内退还扣减部分。</w:t>
      </w:r>
    </w:p>
    <w:p w14:paraId="08F9F9C5">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根据省监测中心抽查</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或组织的验收检查</w:t>
      </w:r>
      <w:r>
        <w:rPr>
          <w:rFonts w:hint="eastAsia" w:ascii="仿宋" w:hAnsi="仿宋" w:eastAsia="仿宋" w:cs="仿宋"/>
          <w:color w:val="000000" w:themeColor="text1"/>
          <w:sz w:val="28"/>
          <w:szCs w:val="28"/>
          <w:highlight w:val="none"/>
          <w:lang w:bidi="ar"/>
          <w14:textFill>
            <w14:solidFill>
              <w14:schemeClr w14:val="tx1"/>
            </w14:solidFill>
          </w14:textFill>
        </w:rPr>
        <w:t>结果，</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得</w:t>
      </w:r>
      <w:r>
        <w:rPr>
          <w:rFonts w:hint="eastAsia" w:ascii="仿宋" w:hAnsi="仿宋" w:eastAsia="仿宋" w:cs="仿宋"/>
          <w:color w:val="000000" w:themeColor="text1"/>
          <w:sz w:val="28"/>
          <w:szCs w:val="28"/>
          <w:highlight w:val="none"/>
          <w:lang w:bidi="ar"/>
          <w14:textFill>
            <w14:solidFill>
              <w14:schemeClr w14:val="tx1"/>
            </w14:solidFill>
          </w14:textFill>
        </w:rPr>
        <w:t>分95（含）分以上的，支付该站点当</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月</w:t>
      </w:r>
      <w:r>
        <w:rPr>
          <w:rFonts w:hint="eastAsia" w:ascii="仿宋" w:hAnsi="仿宋" w:eastAsia="仿宋" w:cs="仿宋"/>
          <w:color w:val="000000" w:themeColor="text1"/>
          <w:sz w:val="28"/>
          <w:szCs w:val="28"/>
          <w:highlight w:val="none"/>
          <w:lang w:bidi="ar"/>
          <w14:textFill>
            <w14:solidFill>
              <w14:schemeClr w14:val="tx1"/>
            </w14:solidFill>
          </w14:textFill>
        </w:rPr>
        <w:t>全额运维费；</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得</w:t>
      </w:r>
      <w:r>
        <w:rPr>
          <w:rFonts w:hint="eastAsia" w:ascii="仿宋" w:hAnsi="仿宋" w:eastAsia="仿宋" w:cs="仿宋"/>
          <w:color w:val="000000" w:themeColor="text1"/>
          <w:sz w:val="28"/>
          <w:szCs w:val="28"/>
          <w:highlight w:val="none"/>
          <w:lang w:bidi="ar"/>
          <w14:textFill>
            <w14:solidFill>
              <w14:schemeClr w14:val="tx1"/>
            </w14:solidFill>
          </w14:textFill>
        </w:rPr>
        <w:t>分在80（含）-95分的，该站点当</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月</w:t>
      </w:r>
      <w:r>
        <w:rPr>
          <w:rFonts w:hint="eastAsia" w:ascii="仿宋" w:hAnsi="仿宋" w:eastAsia="仿宋" w:cs="仿宋"/>
          <w:color w:val="000000" w:themeColor="text1"/>
          <w:sz w:val="28"/>
          <w:szCs w:val="28"/>
          <w:highlight w:val="none"/>
          <w:lang w:bidi="ar"/>
          <w14:textFill>
            <w14:solidFill>
              <w14:schemeClr w14:val="tx1"/>
            </w14:solidFill>
          </w14:textFill>
        </w:rPr>
        <w:t>运维费= (实际考核总分/100)×单站点</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当月</w:t>
      </w:r>
      <w:r>
        <w:rPr>
          <w:rFonts w:hint="eastAsia" w:ascii="仿宋" w:hAnsi="仿宋" w:eastAsia="仿宋" w:cs="仿宋"/>
          <w:color w:val="000000" w:themeColor="text1"/>
          <w:sz w:val="28"/>
          <w:szCs w:val="28"/>
          <w:highlight w:val="none"/>
          <w:lang w:bidi="ar"/>
          <w14:textFill>
            <w14:solidFill>
              <w14:schemeClr w14:val="tx1"/>
            </w14:solidFill>
          </w14:textFill>
        </w:rPr>
        <w:t>全额运维费</w:t>
      </w:r>
      <w:r>
        <w:rPr>
          <w:rFonts w:hint="eastAsia" w:ascii="仿宋" w:hAnsi="仿宋" w:eastAsia="仿宋" w:cs="仿宋"/>
          <w:color w:val="000000" w:themeColor="text1"/>
          <w:sz w:val="28"/>
          <w:szCs w:val="28"/>
          <w:highlight w:val="none"/>
          <w:lang w:eastAsia="zh-CN" w:bidi="ar"/>
          <w14:textFill>
            <w14:solidFill>
              <w14:schemeClr w14:val="tx1"/>
            </w14:solidFill>
          </w14:textFill>
        </w:rPr>
        <w:t>；</w:t>
      </w:r>
      <w:r>
        <w:rPr>
          <w:rFonts w:hint="eastAsia" w:ascii="仿宋" w:hAnsi="仿宋" w:eastAsia="仿宋" w:cs="仿宋"/>
          <w:color w:val="000000" w:themeColor="text1"/>
          <w:sz w:val="28"/>
          <w:szCs w:val="28"/>
          <w:highlight w:val="none"/>
          <w:lang w:bidi="ar"/>
          <w14:textFill>
            <w14:solidFill>
              <w14:schemeClr w14:val="tx1"/>
            </w14:solidFill>
          </w14:textFill>
        </w:rPr>
        <w:t>单站点</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得分</w:t>
      </w:r>
      <w:r>
        <w:rPr>
          <w:rFonts w:hint="eastAsia" w:ascii="仿宋" w:hAnsi="仿宋" w:eastAsia="仿宋" w:cs="仿宋"/>
          <w:color w:val="000000" w:themeColor="text1"/>
          <w:sz w:val="28"/>
          <w:szCs w:val="28"/>
          <w:highlight w:val="none"/>
          <w:lang w:bidi="ar"/>
          <w14:textFill>
            <w14:solidFill>
              <w14:schemeClr w14:val="tx1"/>
            </w14:solidFill>
          </w14:textFill>
        </w:rPr>
        <w:t>低于80分的不予支付</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乙方</w:t>
      </w:r>
      <w:r>
        <w:rPr>
          <w:rFonts w:hint="eastAsia" w:ascii="仿宋" w:hAnsi="仿宋" w:eastAsia="仿宋" w:cs="仿宋"/>
          <w:color w:val="000000" w:themeColor="text1"/>
          <w:sz w:val="28"/>
          <w:szCs w:val="28"/>
          <w:highlight w:val="none"/>
          <w:lang w:bidi="ar"/>
          <w14:textFill>
            <w14:solidFill>
              <w14:schemeClr w14:val="tx1"/>
            </w14:solidFill>
          </w14:textFill>
        </w:rPr>
        <w:t>当月运维费；</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检查中发现的问题</w:t>
      </w:r>
      <w:r>
        <w:rPr>
          <w:rFonts w:hint="eastAsia" w:ascii="仿宋" w:hAnsi="仿宋" w:eastAsia="仿宋" w:cs="仿宋"/>
          <w:color w:val="000000" w:themeColor="text1"/>
          <w:sz w:val="28"/>
          <w:szCs w:val="28"/>
          <w:highlight w:val="none"/>
          <w:lang w:bidi="ar"/>
          <w14:textFill>
            <w14:solidFill>
              <w14:schemeClr w14:val="tx1"/>
            </w14:solidFill>
          </w14:textFill>
        </w:rPr>
        <w:t>如未</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在2周内</w:t>
      </w:r>
      <w:r>
        <w:rPr>
          <w:rFonts w:hint="eastAsia" w:ascii="仿宋" w:hAnsi="仿宋" w:eastAsia="仿宋" w:cs="仿宋"/>
          <w:color w:val="000000" w:themeColor="text1"/>
          <w:sz w:val="28"/>
          <w:szCs w:val="28"/>
          <w:highlight w:val="none"/>
          <w:lang w:bidi="ar"/>
          <w14:textFill>
            <w14:solidFill>
              <w14:schemeClr w14:val="tx1"/>
            </w14:solidFill>
          </w14:textFill>
        </w:rPr>
        <w:t>整改，加倍扣款。如已支付须在检查后15个工作日内退还。</w:t>
      </w:r>
    </w:p>
    <w:p w14:paraId="7A345127">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7.4其他规定</w:t>
      </w:r>
    </w:p>
    <w:p w14:paraId="02E92E41">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（1）乙方有下列情形之一的，将扣除相应站点当月运行经费，如已支付须在乙方收到甲方通知后的15个工作日内退还：</w:t>
      </w:r>
    </w:p>
    <w:p w14:paraId="26039A95">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迟报、漏报或不报审核数据的；</w:t>
      </w:r>
    </w:p>
    <w:p w14:paraId="7049B293">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拖延、阻碍、拒绝质量检查或随机检查的；</w:t>
      </w:r>
    </w:p>
    <w:p w14:paraId="01A22053">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发现采样、分析、数据采集和传输等过程人为干扰，未按要求及时向甲方报告的；</w:t>
      </w:r>
    </w:p>
    <w:p w14:paraId="01828775">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因工作疏漏，未发现采样、分析、数据采集和传输等过程人为干扰的；</w:t>
      </w:r>
    </w:p>
    <w:p w14:paraId="55863150">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其他不履行规定职责的情形。</w:t>
      </w:r>
    </w:p>
    <w:p w14:paraId="358386F6">
      <w:pPr>
        <w:widowControl/>
        <w:numPr>
          <w:ilvl w:val="0"/>
          <w:numId w:val="3"/>
        </w:numPr>
        <w:spacing w:line="520" w:lineRule="exact"/>
        <w:ind w:firstLine="560" w:firstLineChars="200"/>
        <w:rPr>
          <w:rFonts w:hint="eastAsia"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乙方在</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任意1个季度内</w:t>
      </w:r>
      <w:r>
        <w:rPr>
          <w:rFonts w:hint="eastAsia" w:ascii="仿宋" w:hAnsi="仿宋" w:eastAsia="仿宋" w:cs="仿宋"/>
          <w:color w:val="000000" w:themeColor="text1"/>
          <w:sz w:val="28"/>
          <w:szCs w:val="28"/>
          <w:highlight w:val="none"/>
          <w:lang w:bidi="ar"/>
          <w14:textFill>
            <w14:solidFill>
              <w14:schemeClr w14:val="tx1"/>
            </w14:solidFill>
          </w14:textFill>
        </w:rPr>
        <w:t>出现2个及以上站点未达到数据有效性要求的，给予警告；连续</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2个季度</w:t>
      </w:r>
      <w:r>
        <w:rPr>
          <w:rFonts w:hint="eastAsia" w:ascii="仿宋" w:hAnsi="仿宋" w:eastAsia="仿宋" w:cs="仿宋"/>
          <w:color w:val="000000" w:themeColor="text1"/>
          <w:sz w:val="28"/>
          <w:szCs w:val="28"/>
          <w:highlight w:val="none"/>
          <w:lang w:bidi="ar"/>
          <w14:textFill>
            <w14:solidFill>
              <w14:schemeClr w14:val="tx1"/>
            </w14:solidFill>
          </w14:textFill>
        </w:rPr>
        <w:t>出现2个及以上站点未达到或者</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任意1个季度内</w:t>
      </w:r>
      <w:r>
        <w:rPr>
          <w:rFonts w:hint="eastAsia" w:ascii="仿宋" w:hAnsi="仿宋" w:eastAsia="仿宋" w:cs="仿宋"/>
          <w:color w:val="000000" w:themeColor="text1"/>
          <w:sz w:val="28"/>
          <w:szCs w:val="28"/>
          <w:highlight w:val="none"/>
          <w:lang w:bidi="ar"/>
          <w14:textFill>
            <w14:solidFill>
              <w14:schemeClr w14:val="tx1"/>
            </w14:solidFill>
          </w14:textFill>
        </w:rPr>
        <w:t>4个及以上站点未达到数据有效性要求的，终止运维合同。同一站点连续2个月未达到数据有效性要求的，甲方有权解除运维合同。</w:t>
      </w:r>
    </w:p>
    <w:p w14:paraId="1B6D854D">
      <w:pPr>
        <w:widowControl/>
        <w:numPr>
          <w:ilvl w:val="0"/>
          <w:numId w:val="3"/>
        </w:numPr>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考核期</w:t>
      </w:r>
      <w:r>
        <w:rPr>
          <w:rFonts w:hint="eastAsia" w:ascii="仿宋" w:hAnsi="仿宋" w:eastAsia="仿宋" w:cs="仿宋"/>
          <w:color w:val="000000" w:themeColor="text1"/>
          <w:sz w:val="28"/>
          <w:szCs w:val="28"/>
          <w:highlight w:val="none"/>
          <w:lang w:bidi="ar"/>
          <w14:textFill>
            <w14:solidFill>
              <w14:schemeClr w14:val="tx1"/>
            </w14:solidFill>
          </w14:textFill>
        </w:rPr>
        <w:t>内单个站点任一监测项目有效数据量应满足《环境空气质量标准》（GB 3095-2012）中规定的污染物浓度数据有效性的最低要求，否则该站点考核为0分，不予支付该站点合同期内运维费用，如已支付须在考核结果出具后15个工作日内退还。</w:t>
      </w:r>
    </w:p>
    <w:p w14:paraId="74030933">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7.5监督管理</w:t>
      </w:r>
    </w:p>
    <w:p w14:paraId="1F001980">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1）乙方承担监测数据的保密责任（另行签订保密协议），不得使本项目的数据、档案或有关资料等对外泄露（无论乙方是否具有过错），不得利用本项目的数据、档案或有关资料对外开展技术交流、业务联系、数据交换等。否则，甲方有权终止合同。本项目</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服务期满后</w:t>
      </w:r>
      <w:r>
        <w:rPr>
          <w:rFonts w:hint="eastAsia" w:ascii="仿宋" w:hAnsi="仿宋" w:eastAsia="仿宋" w:cs="仿宋"/>
          <w:color w:val="000000" w:themeColor="text1"/>
          <w:sz w:val="28"/>
          <w:szCs w:val="28"/>
          <w:highlight w:val="none"/>
          <w:lang w:bidi="ar"/>
          <w14:textFill>
            <w14:solidFill>
              <w14:schemeClr w14:val="tx1"/>
            </w14:solidFill>
          </w14:textFill>
        </w:rPr>
        <w:t>，乙方将甲方交付及项目过程中形成的数据</w:t>
      </w:r>
      <w:r>
        <w:rPr>
          <w:rFonts w:hint="eastAsia" w:ascii="仿宋" w:hAnsi="仿宋" w:eastAsia="仿宋" w:cs="仿宋"/>
          <w:color w:val="000000" w:themeColor="text1"/>
          <w:sz w:val="28"/>
          <w:szCs w:val="28"/>
          <w:highlight w:val="none"/>
          <w:lang w:eastAsia="zh-CN" w:bidi="ar"/>
          <w14:textFill>
            <w14:solidFill>
              <w14:schemeClr w14:val="tx1"/>
            </w14:solidFill>
          </w14:textFill>
        </w:rPr>
        <w:t>、</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运维工作记录、站点交接记录、备机及质控设备使用记录等材料</w:t>
      </w:r>
      <w:r>
        <w:rPr>
          <w:rFonts w:hint="eastAsia" w:ascii="仿宋" w:hAnsi="仿宋" w:eastAsia="仿宋" w:cs="仿宋"/>
          <w:color w:val="000000" w:themeColor="text1"/>
          <w:sz w:val="28"/>
          <w:szCs w:val="28"/>
          <w:highlight w:val="none"/>
          <w:lang w:bidi="ar"/>
          <w14:textFill>
            <w14:solidFill>
              <w14:schemeClr w14:val="tx1"/>
            </w14:solidFill>
          </w14:textFill>
        </w:rPr>
        <w:t>交</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与</w:t>
      </w:r>
      <w:r>
        <w:rPr>
          <w:rFonts w:hint="eastAsia" w:ascii="仿宋" w:hAnsi="仿宋" w:eastAsia="仿宋" w:cs="仿宋"/>
          <w:color w:val="000000" w:themeColor="text1"/>
          <w:sz w:val="28"/>
          <w:szCs w:val="28"/>
          <w:highlight w:val="none"/>
          <w:lang w:bidi="ar"/>
          <w14:textFill>
            <w14:solidFill>
              <w14:schemeClr w14:val="tx1"/>
            </w14:solidFill>
          </w14:textFill>
        </w:rPr>
        <w:t>甲方，并配合甲方办理交接手续。未经甲方书面许可，乙方承诺不以任何形式就上述资料进行留存。</w:t>
      </w:r>
    </w:p>
    <w:p w14:paraId="2CDDAA83">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（2）运维期间出现调整数据、修改参数、改动设备、弄虚作假等违规行为的，甲方有权终止运维合同。</w:t>
      </w:r>
    </w:p>
    <w:p w14:paraId="73F43E43">
      <w:pPr>
        <w:widowControl/>
        <w:spacing w:line="50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（3）运维期间，乙方保证其工作人员</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数量及</w:t>
      </w:r>
      <w:r>
        <w:rPr>
          <w:rFonts w:hint="eastAsia" w:ascii="仿宋" w:hAnsi="仿宋" w:eastAsia="仿宋" w:cs="仿宋"/>
          <w:color w:val="000000" w:themeColor="text1"/>
          <w:sz w:val="28"/>
          <w:szCs w:val="28"/>
          <w:highlight w:val="none"/>
          <w:lang w:bidi="ar"/>
          <w14:textFill>
            <w14:solidFill>
              <w14:schemeClr w14:val="tx1"/>
            </w14:solidFill>
          </w14:textFill>
        </w:rPr>
        <w:t>具有</w:t>
      </w:r>
      <w:r>
        <w:rPr>
          <w:rFonts w:hint="eastAsia" w:ascii="仿宋" w:hAnsi="仿宋" w:eastAsia="仿宋" w:cs="仿宋"/>
          <w:b w:val="0"/>
          <w:bCs/>
          <w:color w:val="000000" w:themeColor="text1"/>
          <w:kern w:val="2"/>
          <w:sz w:val="28"/>
          <w:szCs w:val="28"/>
          <w:highlight w:val="none"/>
          <w:lang w:bidi="ar"/>
          <w14:textFill>
            <w14:solidFill>
              <w14:schemeClr w14:val="tx1"/>
            </w14:solidFill>
          </w14:textFill>
        </w:rPr>
        <w:t>中国环境监测总站颁发的</w:t>
      </w:r>
      <w:r>
        <w:rPr>
          <w:rFonts w:hint="eastAsia" w:ascii="仿宋" w:hAnsi="仿宋" w:eastAsia="仿宋" w:cs="仿宋"/>
          <w:b w:val="0"/>
          <w:bCs/>
          <w:color w:val="000000" w:themeColor="text1"/>
          <w:kern w:val="2"/>
          <w:sz w:val="28"/>
          <w:szCs w:val="28"/>
          <w:highlight w:val="none"/>
          <w:lang w:val="en-US" w:eastAsia="zh-CN" w:bidi="ar"/>
          <w14:textFill>
            <w14:solidFill>
              <w14:schemeClr w14:val="tx1"/>
            </w14:solidFill>
          </w14:textFill>
        </w:rPr>
        <w:t>在有效期内的</w:t>
      </w:r>
      <w:r>
        <w:rPr>
          <w:rFonts w:hint="eastAsia" w:ascii="仿宋" w:hAnsi="仿宋" w:eastAsia="仿宋" w:cs="仿宋"/>
          <w:b w:val="0"/>
          <w:bCs/>
          <w:color w:val="000000" w:themeColor="text1"/>
          <w:kern w:val="2"/>
          <w:sz w:val="28"/>
          <w:szCs w:val="28"/>
          <w:highlight w:val="none"/>
          <w:lang w:bidi="ar"/>
          <w14:textFill>
            <w14:solidFill>
              <w14:schemeClr w14:val="tx1"/>
            </w14:solidFill>
          </w14:textFill>
        </w:rPr>
        <w:t>环境空气质量自动监测运维与质控技术</w:t>
      </w:r>
      <w:bookmarkStart w:id="63" w:name="OLE_LINK5"/>
      <w:r>
        <w:rPr>
          <w:rFonts w:hint="eastAsia" w:ascii="仿宋" w:hAnsi="仿宋" w:eastAsia="仿宋" w:cs="仿宋"/>
          <w:b w:val="0"/>
          <w:bCs/>
          <w:color w:val="000000" w:themeColor="text1"/>
          <w:kern w:val="2"/>
          <w:sz w:val="28"/>
          <w:szCs w:val="28"/>
          <w:highlight w:val="none"/>
          <w:lang w:bidi="ar"/>
          <w14:textFill>
            <w14:solidFill>
              <w14:schemeClr w14:val="tx1"/>
            </w14:solidFill>
          </w14:textFill>
        </w:rPr>
        <w:t>培训合格证书</w:t>
      </w:r>
      <w:bookmarkEnd w:id="63"/>
      <w:r>
        <w:rPr>
          <w:rFonts w:hint="eastAsia" w:ascii="仿宋" w:hAnsi="仿宋" w:eastAsia="仿宋" w:cs="仿宋"/>
          <w:color w:val="000000" w:themeColor="text1"/>
          <w:sz w:val="28"/>
          <w:szCs w:val="28"/>
          <w:highlight w:val="none"/>
          <w:lang w:bidi="ar"/>
          <w14:textFill>
            <w14:solidFill>
              <w14:schemeClr w14:val="tx1"/>
            </w14:solidFill>
          </w14:textFill>
        </w:rPr>
        <w:t>，</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乙方在合同签订５个工作日内向甲方提供工作人员名单及人员配置方案（含人员</w:t>
      </w:r>
      <w:r>
        <w:rPr>
          <w:rFonts w:hint="eastAsia" w:ascii="仿宋" w:hAnsi="仿宋" w:eastAsia="仿宋" w:cs="仿宋"/>
          <w:b w:val="0"/>
          <w:bCs/>
          <w:color w:val="000000" w:themeColor="text1"/>
          <w:kern w:val="2"/>
          <w:sz w:val="28"/>
          <w:szCs w:val="28"/>
          <w:highlight w:val="none"/>
          <w:lang w:bidi="ar"/>
          <w14:textFill>
            <w14:solidFill>
              <w14:schemeClr w14:val="tx1"/>
            </w14:solidFill>
          </w14:textFill>
        </w:rPr>
        <w:t>培训合格证书</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复印件，方案须加盖公章），乙方</w:t>
      </w:r>
      <w:r>
        <w:rPr>
          <w:rFonts w:ascii="仿宋" w:hAnsi="仿宋" w:eastAsia="仿宋" w:cs="仿宋"/>
          <w:color w:val="000000" w:themeColor="text1"/>
          <w:sz w:val="28"/>
          <w:szCs w:val="28"/>
          <w:highlight w:val="none"/>
          <w:lang w:bidi="ar"/>
          <w14:textFill>
            <w14:solidFill>
              <w14:schemeClr w14:val="tx1"/>
            </w14:solidFill>
          </w14:textFill>
        </w:rPr>
        <w:t>必须保障人员的稳定性</w:t>
      </w:r>
      <w:r>
        <w:rPr>
          <w:rFonts w:hint="eastAsia" w:ascii="仿宋" w:hAnsi="仿宋" w:eastAsia="仿宋" w:cs="仿宋"/>
          <w:color w:val="000000" w:themeColor="text1"/>
          <w:sz w:val="28"/>
          <w:szCs w:val="28"/>
          <w:highlight w:val="none"/>
          <w:lang w:eastAsia="zh-CN" w:bidi="ar"/>
          <w14:textFill>
            <w14:solidFill>
              <w14:schemeClr w14:val="tx1"/>
            </w14:solidFill>
          </w14:textFill>
        </w:rPr>
        <w:t>，</w:t>
      </w:r>
      <w:r>
        <w:rPr>
          <w:rFonts w:ascii="仿宋" w:hAnsi="仿宋" w:eastAsia="仿宋" w:cs="仿宋"/>
          <w:color w:val="000000" w:themeColor="text1"/>
          <w:sz w:val="28"/>
          <w:szCs w:val="28"/>
          <w:highlight w:val="none"/>
          <w:lang w:bidi="ar"/>
          <w14:textFill>
            <w14:solidFill>
              <w14:schemeClr w14:val="tx1"/>
            </w14:solidFill>
          </w14:textFill>
        </w:rPr>
        <w:t>如在运维合同期内不得已发生人员变动，应提前向采购人提供情况说明及新变动人员的</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相关</w:t>
      </w:r>
      <w:r>
        <w:rPr>
          <w:rFonts w:ascii="仿宋" w:hAnsi="仿宋" w:eastAsia="仿宋" w:cs="仿宋"/>
          <w:color w:val="000000" w:themeColor="text1"/>
          <w:sz w:val="28"/>
          <w:szCs w:val="28"/>
          <w:highlight w:val="none"/>
          <w:lang w:bidi="ar"/>
          <w14:textFill>
            <w14:solidFill>
              <w14:schemeClr w14:val="tx1"/>
            </w14:solidFill>
          </w14:textFill>
        </w:rPr>
        <w:t>材料,</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新变动人员须满足招标文件要求，</w:t>
      </w:r>
      <w:r>
        <w:rPr>
          <w:rFonts w:ascii="仿宋" w:hAnsi="仿宋" w:eastAsia="仿宋" w:cs="仿宋"/>
          <w:color w:val="000000" w:themeColor="text1"/>
          <w:sz w:val="28"/>
          <w:szCs w:val="28"/>
          <w:highlight w:val="none"/>
          <w:lang w:bidi="ar"/>
          <w14:textFill>
            <w14:solidFill>
              <w14:schemeClr w14:val="tx1"/>
            </w14:solidFill>
          </w14:textFill>
        </w:rPr>
        <w:t>并获得采购人同意后方能上岗</w:t>
      </w:r>
      <w:r>
        <w:rPr>
          <w:rFonts w:hint="eastAsia" w:ascii="仿宋" w:hAnsi="仿宋" w:eastAsia="仿宋" w:cs="仿宋"/>
          <w:color w:val="000000" w:themeColor="text1"/>
          <w:sz w:val="28"/>
          <w:szCs w:val="28"/>
          <w:highlight w:val="none"/>
          <w:lang w:bidi="ar"/>
          <w14:textFill>
            <w14:solidFill>
              <w14:schemeClr w14:val="tx1"/>
            </w14:solidFill>
          </w14:textFill>
        </w:rPr>
        <w:t>。</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乙方</w:t>
      </w:r>
      <w:r>
        <w:rPr>
          <w:rFonts w:hint="eastAsia" w:ascii="仿宋" w:hAnsi="仿宋" w:eastAsia="仿宋" w:cs="仿宋"/>
          <w:color w:val="000000" w:themeColor="text1"/>
          <w:sz w:val="28"/>
          <w:szCs w:val="28"/>
          <w:highlight w:val="none"/>
          <w:lang w:bidi="ar"/>
          <w14:textFill>
            <w14:solidFill>
              <w14:schemeClr w14:val="tx1"/>
            </w14:solidFill>
          </w14:textFill>
        </w:rPr>
        <w:t>应按安全生产有关规定，建立安全生产制度，切实消除安全隐患。运维期间发生人员伤亡或财产损失等安全事故的，由乙方自行承担责任。确因法律规定或其他原因，甲方先行承担损失的，甲方有权向乙方进行追索。</w:t>
      </w:r>
    </w:p>
    <w:p w14:paraId="7B7D3092">
      <w:pPr>
        <w:widowControl/>
        <w:spacing w:line="50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（4）未经甲方同意，乙方不得将本合同约定的项目内容转包或</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以任何形式</w:t>
      </w:r>
      <w:r>
        <w:rPr>
          <w:rFonts w:hint="eastAsia" w:ascii="仿宋" w:hAnsi="仿宋" w:eastAsia="仿宋" w:cs="仿宋"/>
          <w:color w:val="000000" w:themeColor="text1"/>
          <w:sz w:val="28"/>
          <w:szCs w:val="28"/>
          <w:highlight w:val="none"/>
          <w:lang w:bidi="ar"/>
          <w14:textFill>
            <w14:solidFill>
              <w14:schemeClr w14:val="tx1"/>
            </w14:solidFill>
          </w14:textFill>
        </w:rPr>
        <w:t>分包给第三方，否则甲方有权解除本合同。</w:t>
      </w:r>
    </w:p>
    <w:p w14:paraId="5E315ED8">
      <w:pPr>
        <w:widowControl/>
        <w:spacing w:line="50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8违约责任与赔偿损失</w:t>
      </w:r>
    </w:p>
    <w:p w14:paraId="03093F82">
      <w:pPr>
        <w:widowControl/>
        <w:spacing w:line="50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8.1乙方</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应该在中标后一个月内配齐投标文件中承诺的</w:t>
      </w:r>
      <w:r>
        <w:rPr>
          <w:rFonts w:hint="eastAsia" w:ascii="仿宋" w:hAnsi="仿宋" w:eastAsia="仿宋" w:cs="仿宋"/>
          <w:color w:val="000000" w:themeColor="text1"/>
          <w:sz w:val="28"/>
          <w:szCs w:val="28"/>
          <w:highlight w:val="none"/>
          <w:lang w:bidi="ar"/>
          <w14:textFill>
            <w14:solidFill>
              <w14:schemeClr w14:val="tx1"/>
            </w14:solidFill>
          </w14:textFill>
        </w:rPr>
        <w:t>运维技术支持</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网点、车辆、质控实验室、仪器、耗材、备件、质控设备及运维工具等。乙方应该</w:t>
      </w:r>
      <w:r>
        <w:rPr>
          <w:rFonts w:hint="eastAsia" w:ascii="仿宋" w:hAnsi="仿宋" w:eastAsia="仿宋" w:cs="仿宋"/>
          <w:color w:val="000000" w:themeColor="text1"/>
          <w:sz w:val="28"/>
          <w:szCs w:val="28"/>
          <w:highlight w:val="none"/>
          <w:lang w:bidi="ar"/>
          <w14:textFill>
            <w14:solidFill>
              <w14:schemeClr w14:val="tx1"/>
            </w14:solidFill>
          </w14:textFill>
        </w:rPr>
        <w:t>提供的服务不符合采购文件、报价文件或本合同规定的，应在十五日内整改至符合以上文件的规定；若整改后的服务仍不满足以上文件规定的，甲方有权委托其他单位负责相应的工作以使服务能满足采购文件、报价文件和本合同的规定，其支付费用及由此产生的损失从乙方的合同款中扣除，不足部分，乙方应另行偿付。乙方收到甲方书面通知或已扣除后的款项</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15</w:t>
      </w:r>
      <w:r>
        <w:rPr>
          <w:rFonts w:hint="eastAsia" w:ascii="仿宋" w:hAnsi="仿宋" w:eastAsia="仿宋" w:cs="仿宋"/>
          <w:color w:val="000000" w:themeColor="text1"/>
          <w:sz w:val="28"/>
          <w:szCs w:val="28"/>
          <w:highlight w:val="none"/>
          <w:lang w:bidi="ar"/>
          <w14:textFill>
            <w14:solidFill>
              <w14:schemeClr w14:val="tx1"/>
            </w14:solidFill>
          </w14:textFill>
        </w:rPr>
        <w:t>日内未提出异议，视为认可甲方的扣除。</w:t>
      </w:r>
    </w:p>
    <w:p w14:paraId="35665DC4">
      <w:pPr>
        <w:widowControl/>
        <w:spacing w:line="50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8.2乙方存在下列情形的，构成根本违约，甲方有权解除合同，并另行要求乙方支付合同总价款的</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10</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lang w:bidi="ar"/>
          <w14:textFill>
            <w14:solidFill>
              <w14:schemeClr w14:val="tx1"/>
            </w14:solidFill>
          </w14:textFill>
        </w:rPr>
        <w:t>作为违约金：</w:t>
      </w:r>
    </w:p>
    <w:p w14:paraId="3038749D">
      <w:pPr>
        <w:widowControl/>
        <w:spacing w:line="50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8.2.1未经甲方</w:t>
      </w:r>
      <w:r>
        <w:rPr>
          <w:rFonts w:hint="eastAsia" w:ascii="仿宋" w:hAnsi="仿宋" w:eastAsia="仿宋" w:cs="仿宋"/>
          <w:color w:val="000000" w:themeColor="text1"/>
          <w:sz w:val="28"/>
          <w:szCs w:val="28"/>
          <w:highlight w:val="none"/>
          <w:u w:val="none"/>
          <w:lang w:val="en-US" w:eastAsia="zh-CN" w:bidi="ar"/>
          <w14:textFill>
            <w14:solidFill>
              <w14:schemeClr w14:val="tx1"/>
            </w14:solidFill>
          </w14:textFill>
        </w:rPr>
        <w:t>书面</w:t>
      </w:r>
      <w:r>
        <w:rPr>
          <w:rFonts w:hint="eastAsia" w:ascii="仿宋" w:hAnsi="仿宋" w:eastAsia="仿宋" w:cs="仿宋"/>
          <w:color w:val="000000" w:themeColor="text1"/>
          <w:sz w:val="28"/>
          <w:szCs w:val="28"/>
          <w:highlight w:val="none"/>
          <w:lang w:bidi="ar"/>
          <w14:textFill>
            <w14:solidFill>
              <w14:schemeClr w14:val="tx1"/>
            </w14:solidFill>
          </w14:textFill>
        </w:rPr>
        <w:t>同意，乙方将本合同义务转包或分包的。</w:t>
      </w:r>
    </w:p>
    <w:p w14:paraId="35F1ECF9">
      <w:pPr>
        <w:widowControl/>
        <w:spacing w:line="50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8.2.2乙方明确表示或者以其行为表明不履行合同主要义务的。</w:t>
      </w:r>
    </w:p>
    <w:p w14:paraId="16F4F0F2">
      <w:pPr>
        <w:widowControl/>
        <w:spacing w:line="50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8.2.3乙方或乙方指派履行合同义务人员不具备履行本合同所必须资质的。</w:t>
      </w:r>
    </w:p>
    <w:p w14:paraId="3C546DA1">
      <w:pPr>
        <w:widowControl/>
        <w:spacing w:line="50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8.2.4乙方履行合同义务或交付的工作成果，内容、形式违反法律法规规定，不被司法机关、行政机关等承认无法实现甲方合同目的的。</w:t>
      </w:r>
    </w:p>
    <w:p w14:paraId="23992BC7">
      <w:pPr>
        <w:widowControl/>
        <w:spacing w:line="50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8.2.5乙方与他人恶意串通或恶意履行合同损害甲方利益的。</w:t>
      </w:r>
    </w:p>
    <w:p w14:paraId="43D674CB">
      <w:pPr>
        <w:widowControl/>
        <w:spacing w:line="50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8.2.6乙方存在调整数据、修改参数、改动设备、弄虚作假等违规行为的。</w:t>
      </w:r>
    </w:p>
    <w:p w14:paraId="1453A8DD">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8.2.7合同或招投标文件中约定的其他甲方可予解除合同的情形。</w:t>
      </w:r>
    </w:p>
    <w:p w14:paraId="6CC11293">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9不可抗力</w:t>
      </w:r>
    </w:p>
    <w:p w14:paraId="4C60E612">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9.1因不可抗力造成违约的，遭受不可抗力一方应及时向对方通报不能履行或不能完全履行的理由，并在随后取得有关主管机关证明后的15日内向</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甲</w:t>
      </w:r>
      <w:r>
        <w:rPr>
          <w:rFonts w:hint="eastAsia" w:ascii="仿宋" w:hAnsi="仿宋" w:eastAsia="仿宋" w:cs="仿宋"/>
          <w:color w:val="000000" w:themeColor="text1"/>
          <w:sz w:val="28"/>
          <w:szCs w:val="28"/>
          <w:highlight w:val="none"/>
          <w:lang w:bidi="ar"/>
          <w14:textFill>
            <w14:solidFill>
              <w14:schemeClr w14:val="tx1"/>
            </w14:solidFill>
          </w14:textFill>
        </w:rPr>
        <w:t>方提供不可抗力发生及持续期间的充分证据。基于以上行为，经甲乙双方协商一致，允许遭受不可抗力一方延期履行、部分履行或不履行合同，并根据情况可部分或全部免于承担违约责任。</w:t>
      </w:r>
    </w:p>
    <w:p w14:paraId="0A496885">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9.2本合同中的不可抗力指不能预见、不能避免、不能克服的客观情况，包括但不限于：自然灾害如地震、台风、洪水、火灾及政府行为、法律规定或其适用的变化或其他任何无法预见、避免或控制的事件。</w:t>
      </w:r>
    </w:p>
    <w:p w14:paraId="5E6455E3">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10违反廉洁承诺的约定</w:t>
      </w:r>
    </w:p>
    <w:p w14:paraId="51837A46">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10.1乙方在履行合同过程中不得以任何形式与甲方相关人员不当往来，并同意将上述廉洁承诺的遵守情况纳入本合同，若乙方出现上述行为致使甲方形象受损或者相关人员被组织调查处理的，甲方有权从应支付的合同款项中进行扣除，若出现上述情况并确认属实，甲方发送书面扣款通知，上述款项直接从未支付合同款中扣除，不足部分，乙方应另行偿付。</w:t>
      </w:r>
    </w:p>
    <w:p w14:paraId="28359889">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10.2乙方违反廉洁承诺，受到刑事或者行政处罚的，甲方有权解除合同，合同自甲方发出书面通知之日起解除，乙方需承担相应的违约责任并赔偿由此造成的损失，包括但不限于：聘请其他公司代替乙方工作而产生的费用、聘请律师产生的费用、诉讼费、调查取证费、交通费、鉴定费、保全费、保全保险费等。</w:t>
      </w:r>
    </w:p>
    <w:p w14:paraId="2DD0AF8C">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11合同纠纷处理</w:t>
      </w:r>
    </w:p>
    <w:p w14:paraId="24FDCEBA">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本合同执行过程中如发生纠纷，按第（2）条处理：</w:t>
      </w:r>
    </w:p>
    <w:p w14:paraId="657E2ED4">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（1）申请仲裁。仲裁机构为海南仲裁院。</w:t>
      </w:r>
    </w:p>
    <w:p w14:paraId="5F5BCAA3">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（2）提起诉讼。诉讼管辖法院为甲方所在地法院。</w:t>
      </w:r>
    </w:p>
    <w:p w14:paraId="437FA079">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12其他约定</w:t>
      </w:r>
    </w:p>
    <w:p w14:paraId="25553E4E">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12.1本合同所有附件、采购文件、响应文件、中标通知书通知书均为合同的有效组成部分，与本合同具有同等法律效力。上述文件如有不一致的，以甲方解释为准。</w:t>
      </w:r>
    </w:p>
    <w:p w14:paraId="57DA8640">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12.2在执行本合同的过程中，所有经双方签署确认的文件（包括会议纪要、补充协议、往来信函）即成为本合同的有效组成部分。</w:t>
      </w:r>
    </w:p>
    <w:p w14:paraId="54931EEC">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12.3如一方地址、电话、传真号码有变更，应在变更当日内书面通知对方，否则，应承担相应责任。</w:t>
      </w:r>
    </w:p>
    <w:p w14:paraId="2076FEA7">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12.4本合同经甲乙双方签字和盖章后生效，一式8份，甲方执有4份、乙方和代理机构各执两份，均具有同等法律效力。</w:t>
      </w:r>
    </w:p>
    <w:p w14:paraId="37A9CED5">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2791"/>
        <w:gridCol w:w="1690"/>
        <w:gridCol w:w="3204"/>
      </w:tblGrid>
      <w:tr w14:paraId="5D1F7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jc w:val="center"/>
        </w:trPr>
        <w:tc>
          <w:tcPr>
            <w:tcW w:w="1705" w:type="dxa"/>
            <w:vAlign w:val="center"/>
          </w:tcPr>
          <w:p w14:paraId="0BBE5194">
            <w:pPr>
              <w:widowControl/>
              <w:spacing w:line="520" w:lineRule="exact"/>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甲方（盖章）</w:t>
            </w:r>
          </w:p>
        </w:tc>
        <w:tc>
          <w:tcPr>
            <w:tcW w:w="2791" w:type="dxa"/>
            <w:vAlign w:val="center"/>
          </w:tcPr>
          <w:p w14:paraId="47B3B65B">
            <w:pPr>
              <w:widowControl/>
              <w:spacing w:line="520" w:lineRule="exact"/>
              <w:rPr>
                <w:rFonts w:hint="eastAsia"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海南省生态环境监测中心</w:t>
            </w:r>
          </w:p>
        </w:tc>
        <w:tc>
          <w:tcPr>
            <w:tcW w:w="1690" w:type="dxa"/>
            <w:vAlign w:val="center"/>
          </w:tcPr>
          <w:p w14:paraId="772EBF66">
            <w:pPr>
              <w:widowControl/>
              <w:spacing w:line="520" w:lineRule="exact"/>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乙方（盖章）</w:t>
            </w:r>
          </w:p>
        </w:tc>
        <w:tc>
          <w:tcPr>
            <w:tcW w:w="3204" w:type="dxa"/>
            <w:vAlign w:val="center"/>
          </w:tcPr>
          <w:p w14:paraId="33ACBADD">
            <w:pPr>
              <w:widowControl/>
              <w:spacing w:line="520" w:lineRule="exact"/>
              <w:rPr>
                <w:rFonts w:ascii="仿宋" w:hAnsi="仿宋" w:eastAsia="仿宋" w:cs="仿宋"/>
                <w:color w:val="000000" w:themeColor="text1"/>
                <w:sz w:val="28"/>
                <w:szCs w:val="28"/>
                <w:highlight w:val="none"/>
                <w:lang w:bidi="ar"/>
                <w14:textFill>
                  <w14:solidFill>
                    <w14:schemeClr w14:val="tx1"/>
                  </w14:solidFill>
                </w14:textFill>
              </w:rPr>
            </w:pPr>
          </w:p>
        </w:tc>
      </w:tr>
      <w:tr w14:paraId="34490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705" w:type="dxa"/>
            <w:vAlign w:val="center"/>
          </w:tcPr>
          <w:p w14:paraId="403D4609">
            <w:pPr>
              <w:widowControl/>
              <w:spacing w:line="520" w:lineRule="exact"/>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地址</w:t>
            </w:r>
          </w:p>
        </w:tc>
        <w:tc>
          <w:tcPr>
            <w:tcW w:w="2791" w:type="dxa"/>
            <w:vAlign w:val="center"/>
          </w:tcPr>
          <w:p w14:paraId="77872C4E">
            <w:pPr>
              <w:widowControl/>
              <w:spacing w:line="520" w:lineRule="exact"/>
              <w:rPr>
                <w:rFonts w:hint="eastAsia"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海南省海口市美兰区白驹大道98号</w:t>
            </w:r>
          </w:p>
        </w:tc>
        <w:tc>
          <w:tcPr>
            <w:tcW w:w="1690" w:type="dxa"/>
            <w:vAlign w:val="center"/>
          </w:tcPr>
          <w:p w14:paraId="0BC4949A">
            <w:pPr>
              <w:widowControl/>
              <w:spacing w:line="520" w:lineRule="exact"/>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地址</w:t>
            </w:r>
          </w:p>
        </w:tc>
        <w:tc>
          <w:tcPr>
            <w:tcW w:w="3204" w:type="dxa"/>
            <w:vAlign w:val="center"/>
          </w:tcPr>
          <w:p w14:paraId="34B5DF31">
            <w:pPr>
              <w:widowControl/>
              <w:spacing w:line="520" w:lineRule="exact"/>
              <w:ind w:firstLine="0" w:firstLineChars="0"/>
              <w:rPr>
                <w:rFonts w:ascii="仿宋" w:hAnsi="仿宋" w:eastAsia="仿宋" w:cs="仿宋"/>
                <w:color w:val="000000" w:themeColor="text1"/>
                <w:sz w:val="28"/>
                <w:szCs w:val="28"/>
                <w:highlight w:val="none"/>
                <w:lang w:bidi="ar"/>
                <w14:textFill>
                  <w14:solidFill>
                    <w14:schemeClr w14:val="tx1"/>
                  </w14:solidFill>
                </w14:textFill>
              </w:rPr>
            </w:pPr>
          </w:p>
        </w:tc>
      </w:tr>
      <w:tr w14:paraId="2AEEC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705" w:type="dxa"/>
            <w:vAlign w:val="center"/>
          </w:tcPr>
          <w:p w14:paraId="3C093C10">
            <w:pPr>
              <w:widowControl/>
              <w:spacing w:line="520" w:lineRule="exact"/>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单位负责人</w:t>
            </w:r>
          </w:p>
        </w:tc>
        <w:tc>
          <w:tcPr>
            <w:tcW w:w="2791" w:type="dxa"/>
            <w:vAlign w:val="center"/>
          </w:tcPr>
          <w:p w14:paraId="63A77E98">
            <w:pPr>
              <w:widowControl/>
              <w:spacing w:line="520" w:lineRule="exact"/>
              <w:rPr>
                <w:rFonts w:hint="eastAsia"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颜为军</w:t>
            </w:r>
          </w:p>
        </w:tc>
        <w:tc>
          <w:tcPr>
            <w:tcW w:w="1690" w:type="dxa"/>
            <w:vAlign w:val="center"/>
          </w:tcPr>
          <w:p w14:paraId="49424B39">
            <w:pPr>
              <w:widowControl/>
              <w:spacing w:line="520" w:lineRule="exact"/>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单位负责人</w:t>
            </w:r>
          </w:p>
        </w:tc>
        <w:tc>
          <w:tcPr>
            <w:tcW w:w="3204" w:type="dxa"/>
            <w:vAlign w:val="center"/>
          </w:tcPr>
          <w:p w14:paraId="341ECD45">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p>
        </w:tc>
      </w:tr>
      <w:tr w14:paraId="74161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705" w:type="dxa"/>
            <w:vAlign w:val="center"/>
          </w:tcPr>
          <w:p w14:paraId="5CD611AE">
            <w:pPr>
              <w:widowControl/>
              <w:spacing w:line="520" w:lineRule="exact"/>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委托代理人</w:t>
            </w:r>
          </w:p>
        </w:tc>
        <w:tc>
          <w:tcPr>
            <w:tcW w:w="2791" w:type="dxa"/>
            <w:vAlign w:val="center"/>
          </w:tcPr>
          <w:p w14:paraId="0D36B8DC">
            <w:pPr>
              <w:widowControl/>
              <w:spacing w:line="520" w:lineRule="exact"/>
              <w:rPr>
                <w:rFonts w:hint="eastAsia" w:ascii="仿宋" w:hAnsi="仿宋" w:eastAsia="仿宋" w:cs="仿宋"/>
                <w:color w:val="000000" w:themeColor="text1"/>
                <w:sz w:val="28"/>
                <w:szCs w:val="28"/>
                <w:highlight w:val="none"/>
                <w:lang w:bidi="ar"/>
                <w14:textFill>
                  <w14:solidFill>
                    <w14:schemeClr w14:val="tx1"/>
                  </w14:solidFill>
                </w14:textFill>
              </w:rPr>
            </w:pPr>
          </w:p>
        </w:tc>
        <w:tc>
          <w:tcPr>
            <w:tcW w:w="1690" w:type="dxa"/>
            <w:vAlign w:val="center"/>
          </w:tcPr>
          <w:p w14:paraId="12D50065">
            <w:pPr>
              <w:widowControl/>
              <w:spacing w:line="520" w:lineRule="exact"/>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委托代理人</w:t>
            </w:r>
          </w:p>
        </w:tc>
        <w:tc>
          <w:tcPr>
            <w:tcW w:w="3204" w:type="dxa"/>
            <w:vAlign w:val="center"/>
          </w:tcPr>
          <w:p w14:paraId="63CC7DA0">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p>
        </w:tc>
      </w:tr>
      <w:tr w14:paraId="18990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705" w:type="dxa"/>
            <w:vAlign w:val="center"/>
          </w:tcPr>
          <w:p w14:paraId="63C91199">
            <w:pPr>
              <w:widowControl/>
              <w:spacing w:line="520" w:lineRule="exact"/>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联系方法</w:t>
            </w:r>
          </w:p>
        </w:tc>
        <w:tc>
          <w:tcPr>
            <w:tcW w:w="2791" w:type="dxa"/>
            <w:vAlign w:val="center"/>
          </w:tcPr>
          <w:p w14:paraId="28C4BBB3">
            <w:pPr>
              <w:widowControl/>
              <w:spacing w:line="520" w:lineRule="exact"/>
              <w:rPr>
                <w:rFonts w:hint="eastAsia"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0898-66711241</w:t>
            </w:r>
          </w:p>
        </w:tc>
        <w:tc>
          <w:tcPr>
            <w:tcW w:w="1690" w:type="dxa"/>
            <w:vAlign w:val="center"/>
          </w:tcPr>
          <w:p w14:paraId="4AB96E32">
            <w:pPr>
              <w:widowControl/>
              <w:spacing w:line="520" w:lineRule="exact"/>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联系方法</w:t>
            </w:r>
          </w:p>
        </w:tc>
        <w:tc>
          <w:tcPr>
            <w:tcW w:w="3204" w:type="dxa"/>
            <w:vAlign w:val="center"/>
          </w:tcPr>
          <w:p w14:paraId="4A182A40">
            <w:pPr>
              <w:widowControl/>
              <w:spacing w:line="520" w:lineRule="exact"/>
              <w:ind w:firstLine="0" w:firstLineChars="0"/>
              <w:rPr>
                <w:rFonts w:ascii="仿宋" w:hAnsi="仿宋" w:eastAsia="仿宋" w:cs="仿宋"/>
                <w:color w:val="000000" w:themeColor="text1"/>
                <w:sz w:val="28"/>
                <w:szCs w:val="28"/>
                <w:highlight w:val="none"/>
                <w:lang w:bidi="ar"/>
                <w14:textFill>
                  <w14:solidFill>
                    <w14:schemeClr w14:val="tx1"/>
                  </w14:solidFill>
                </w14:textFill>
              </w:rPr>
            </w:pPr>
          </w:p>
        </w:tc>
      </w:tr>
      <w:tr w14:paraId="4B6AD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705" w:type="dxa"/>
            <w:vAlign w:val="center"/>
          </w:tcPr>
          <w:p w14:paraId="6A54CBDF">
            <w:pPr>
              <w:widowControl/>
              <w:spacing w:line="520" w:lineRule="exact"/>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开户银行</w:t>
            </w:r>
          </w:p>
        </w:tc>
        <w:tc>
          <w:tcPr>
            <w:tcW w:w="2791" w:type="dxa"/>
            <w:vAlign w:val="center"/>
          </w:tcPr>
          <w:p w14:paraId="1414725F">
            <w:pPr>
              <w:widowControl/>
              <w:spacing w:line="520" w:lineRule="exact"/>
              <w:rPr>
                <w:rFonts w:hint="eastAsia"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农行海口省府大院支行</w:t>
            </w:r>
          </w:p>
        </w:tc>
        <w:tc>
          <w:tcPr>
            <w:tcW w:w="1690" w:type="dxa"/>
            <w:vAlign w:val="center"/>
          </w:tcPr>
          <w:p w14:paraId="6FFB83C5">
            <w:pPr>
              <w:widowControl/>
              <w:spacing w:line="520" w:lineRule="exact"/>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开户银行</w:t>
            </w:r>
          </w:p>
        </w:tc>
        <w:tc>
          <w:tcPr>
            <w:tcW w:w="3204" w:type="dxa"/>
            <w:vAlign w:val="center"/>
          </w:tcPr>
          <w:p w14:paraId="622FD66A">
            <w:pPr>
              <w:widowControl/>
              <w:spacing w:line="520" w:lineRule="exact"/>
              <w:ind w:firstLine="0" w:firstLineChars="0"/>
              <w:rPr>
                <w:rFonts w:hint="default" w:ascii="仿宋" w:hAnsi="仿宋" w:eastAsia="仿宋" w:cs="仿宋"/>
                <w:color w:val="000000" w:themeColor="text1"/>
                <w:sz w:val="28"/>
                <w:szCs w:val="28"/>
                <w:highlight w:val="none"/>
                <w:lang w:val="en-US" w:eastAsia="zh-CN" w:bidi="ar"/>
                <w14:textFill>
                  <w14:solidFill>
                    <w14:schemeClr w14:val="tx1"/>
                  </w14:solidFill>
                </w14:textFill>
              </w:rPr>
            </w:pPr>
          </w:p>
        </w:tc>
      </w:tr>
      <w:tr w14:paraId="1F07E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1705" w:type="dxa"/>
            <w:vAlign w:val="center"/>
          </w:tcPr>
          <w:p w14:paraId="748CCD36">
            <w:pPr>
              <w:widowControl/>
              <w:spacing w:line="520" w:lineRule="exact"/>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账号</w:t>
            </w:r>
          </w:p>
        </w:tc>
        <w:tc>
          <w:tcPr>
            <w:tcW w:w="2791" w:type="dxa"/>
            <w:vAlign w:val="center"/>
          </w:tcPr>
          <w:p w14:paraId="14672A71">
            <w:pPr>
              <w:widowControl/>
              <w:spacing w:line="520" w:lineRule="exact"/>
              <w:rPr>
                <w:rFonts w:hint="eastAsia"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21105001040006753</w:t>
            </w:r>
          </w:p>
        </w:tc>
        <w:tc>
          <w:tcPr>
            <w:tcW w:w="1690" w:type="dxa"/>
            <w:vAlign w:val="center"/>
          </w:tcPr>
          <w:p w14:paraId="6E5B9B4A">
            <w:pPr>
              <w:widowControl/>
              <w:spacing w:line="520" w:lineRule="exact"/>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账号</w:t>
            </w:r>
          </w:p>
        </w:tc>
        <w:tc>
          <w:tcPr>
            <w:tcW w:w="3204" w:type="dxa"/>
            <w:vAlign w:val="center"/>
          </w:tcPr>
          <w:p w14:paraId="3352365C">
            <w:pPr>
              <w:widowControl/>
              <w:spacing w:line="520" w:lineRule="exact"/>
              <w:ind w:firstLine="0" w:firstLineChars="0"/>
              <w:rPr>
                <w:rFonts w:hint="default" w:ascii="仿宋" w:hAnsi="仿宋" w:eastAsia="仿宋" w:cs="仿宋"/>
                <w:color w:val="000000" w:themeColor="text1"/>
                <w:sz w:val="28"/>
                <w:szCs w:val="28"/>
                <w:highlight w:val="none"/>
                <w:lang w:val="en-US" w:eastAsia="zh-CN" w:bidi="ar"/>
                <w14:textFill>
                  <w14:solidFill>
                    <w14:schemeClr w14:val="tx1"/>
                  </w14:solidFill>
                </w14:textFill>
              </w:rPr>
            </w:pPr>
          </w:p>
        </w:tc>
      </w:tr>
    </w:tbl>
    <w:p w14:paraId="223177DF">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p>
    <w:p w14:paraId="6577F400">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签订日期：202</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5</w:t>
      </w:r>
      <w:r>
        <w:rPr>
          <w:rFonts w:hint="eastAsia" w:ascii="仿宋" w:hAnsi="仿宋" w:eastAsia="仿宋" w:cs="仿宋"/>
          <w:color w:val="000000" w:themeColor="text1"/>
          <w:sz w:val="28"/>
          <w:szCs w:val="28"/>
          <w:highlight w:val="none"/>
          <w:lang w:bidi="ar"/>
          <w14:textFill>
            <w14:solidFill>
              <w14:schemeClr w14:val="tx1"/>
            </w14:solidFill>
          </w14:textFill>
        </w:rPr>
        <w:t>年     月     日</w:t>
      </w:r>
    </w:p>
    <w:p w14:paraId="0B6B912C">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招标代理机构声明：本合同标的经      代理有限公司依法定程序采购，合同主要条款内容与招标文件及投标文件的内容一致。</w:t>
      </w:r>
    </w:p>
    <w:p w14:paraId="6E369466">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p>
    <w:p w14:paraId="399BED3C">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ab/>
      </w:r>
      <w:r>
        <w:rPr>
          <w:rFonts w:hint="eastAsia" w:ascii="仿宋" w:hAnsi="仿宋" w:eastAsia="仿宋" w:cs="仿宋"/>
          <w:color w:val="000000" w:themeColor="text1"/>
          <w:sz w:val="28"/>
          <w:szCs w:val="28"/>
          <w:highlight w:val="none"/>
          <w:lang w:bidi="ar"/>
          <w14:textFill>
            <w14:solidFill>
              <w14:schemeClr w14:val="tx1"/>
            </w14:solidFill>
          </w14:textFill>
        </w:rPr>
        <w:t>采购代理机构：                        （盖章）</w:t>
      </w:r>
    </w:p>
    <w:p w14:paraId="4C0BCC75">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法定（授权）代表人：                  (签字或盖章）</w:t>
      </w:r>
    </w:p>
    <w:p w14:paraId="37368C57">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签订日期：     年   月  日</w:t>
      </w:r>
    </w:p>
    <w:p w14:paraId="552E90E2">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br w:type="page"/>
      </w:r>
    </w:p>
    <w:p w14:paraId="4334E856">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附件1：中标</w:t>
      </w:r>
      <w:r>
        <w:rPr>
          <w:rFonts w:hint="eastAsia" w:ascii="仿宋" w:hAnsi="仿宋" w:eastAsia="仿宋" w:cs="仿宋"/>
          <w:color w:val="000000" w:themeColor="text1"/>
          <w:sz w:val="28"/>
          <w:szCs w:val="28"/>
          <w:highlight w:val="none"/>
          <w:lang w:eastAsia="zh-CN" w:bidi="ar"/>
          <w14:textFill>
            <w14:solidFill>
              <w14:schemeClr w14:val="tx1"/>
            </w14:solidFill>
          </w14:textFill>
        </w:rPr>
        <w:t>通知</w:t>
      </w:r>
      <w:r>
        <w:rPr>
          <w:rFonts w:hint="eastAsia" w:ascii="仿宋" w:hAnsi="仿宋" w:eastAsia="仿宋" w:cs="仿宋"/>
          <w:color w:val="000000" w:themeColor="text1"/>
          <w:sz w:val="28"/>
          <w:szCs w:val="28"/>
          <w:highlight w:val="none"/>
          <w:lang w:bidi="ar"/>
          <w14:textFill>
            <w14:solidFill>
              <w14:schemeClr w14:val="tx1"/>
            </w14:solidFill>
          </w14:textFill>
        </w:rPr>
        <w:t>书</w:t>
      </w:r>
    </w:p>
    <w:p w14:paraId="3D72204A">
      <w:pPr>
        <w:widowControl/>
        <w:spacing w:line="520" w:lineRule="exact"/>
        <w:ind w:firstLine="560" w:firstLineChars="200"/>
        <w:rPr>
          <w:rFonts w:hint="eastAsia" w:ascii="仿宋" w:hAnsi="仿宋" w:eastAsia="仿宋" w:cs="仿宋"/>
          <w:color w:val="000000" w:themeColor="text1"/>
          <w:sz w:val="28"/>
          <w:szCs w:val="28"/>
          <w:highlight w:val="none"/>
          <w:lang w:bidi="ar"/>
          <w14:textFill>
            <w14:solidFill>
              <w14:schemeClr w14:val="tx1"/>
            </w14:solidFill>
          </w14:textFill>
        </w:rPr>
      </w:pPr>
    </w:p>
    <w:p w14:paraId="539F54B8">
      <w:pPr>
        <w:pStyle w:val="12"/>
        <w:ind w:firstLine="0" w:firstLineChars="0"/>
        <w:rPr>
          <w:rFonts w:hint="eastAsia"/>
          <w:color w:val="000000" w:themeColor="text1"/>
          <w:highlight w:val="none"/>
          <w14:textFill>
            <w14:solidFill>
              <w14:schemeClr w14:val="tx1"/>
            </w14:solidFill>
          </w14:textFill>
        </w:rPr>
        <w:sectPr>
          <w:pgSz w:w="11906" w:h="16838"/>
          <w:pgMar w:top="1440" w:right="1800" w:bottom="1440" w:left="1800" w:header="851" w:footer="992" w:gutter="0"/>
          <w:cols w:space="425" w:num="1"/>
          <w:docGrid w:type="lines" w:linePitch="312" w:charSpace="0"/>
        </w:sectPr>
      </w:pPr>
    </w:p>
    <w:p w14:paraId="11CAF504">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附件2：保密协议</w:t>
      </w:r>
    </w:p>
    <w:p w14:paraId="30ABC9C6">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保密协议</w:t>
      </w:r>
    </w:p>
    <w:p w14:paraId="01F555E4">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甲方:海南省生态环境监测中心</w:t>
      </w:r>
    </w:p>
    <w:p w14:paraId="5A83265F">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乙方:</w:t>
      </w:r>
    </w:p>
    <w:p w14:paraId="5861D790">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鉴于:</w:t>
      </w:r>
    </w:p>
    <w:p w14:paraId="71D78011">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甲方的“202</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5</w:t>
      </w:r>
      <w:r>
        <w:rPr>
          <w:rFonts w:hint="eastAsia" w:ascii="仿宋" w:hAnsi="仿宋" w:eastAsia="仿宋" w:cs="仿宋"/>
          <w:color w:val="000000" w:themeColor="text1"/>
          <w:sz w:val="28"/>
          <w:szCs w:val="28"/>
          <w:highlight w:val="none"/>
          <w:lang w:bidi="ar"/>
          <w14:textFill>
            <w14:solidFill>
              <w14:schemeClr w14:val="tx1"/>
            </w14:solidFill>
          </w14:textFill>
        </w:rPr>
        <w:t>年度</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海南省省控</w:t>
      </w:r>
      <w:r>
        <w:rPr>
          <w:rFonts w:hint="eastAsia" w:ascii="仿宋" w:hAnsi="仿宋" w:eastAsia="仿宋" w:cs="仿宋"/>
          <w:color w:val="000000" w:themeColor="text1"/>
          <w:sz w:val="28"/>
          <w:szCs w:val="28"/>
          <w:highlight w:val="none"/>
          <w:lang w:bidi="ar"/>
          <w14:textFill>
            <w14:solidFill>
              <w14:schemeClr w14:val="tx1"/>
            </w14:solidFill>
          </w14:textFill>
        </w:rPr>
        <w:t>环境空气质量监测自动站运行维护项目”，乙方在实施的过程，获知了甲方的相关保密信息，为了保证甲方的保密信息及利益，经甲、乙双方协商--致，签订本保密协议。</w:t>
      </w:r>
    </w:p>
    <w:p w14:paraId="5AE6011A">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一、本协议所称保密信息指甲方为本项目向乙方提供的有关甲方确认应该保密的书面及口头的信息，乙方在履行本协议期间知悉的信息以及法律、法规规定的应保密信息;上述保密信息包括但不限于所有的为本项目而准备的通过公共渠道无法获得的信息、报告、分析、研究文件或其他形式的信息。</w:t>
      </w:r>
    </w:p>
    <w:p w14:paraId="1EC1B9DD">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二、保密信息只能被用于为实现本项目的有关事宜所进行的工作，不能被用于任何其他用途。除去因项目实施需要在经甲方书面同意的范围内可以向有关人员提供相关保密信息并切实保证保密信息的安全，乙方在没有甲方书面批准的情况下不得向任何第三方，包括但不限于政府、新闻媒介、非盈利性质组织、公司、个人披露或提供该保密消息。并且应当采取一切法律或其他手段避免该保密信息的披露。本协议所称甲方书面批准是指经甲方法定代表人签署或其书面授权代表签署并加盖公章的书面许可。</w:t>
      </w:r>
    </w:p>
    <w:p w14:paraId="0BBC96EF">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三、乙方在经甲方书面批准向下列人员披露或提供保密信息时应严格遵循“为项日工作所必须”的原则，并仅在必要的范围内披露。</w:t>
      </w:r>
    </w:p>
    <w:p w14:paraId="65EBF7CD">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(一)乙方内部为参与本项目而必须获得该信息以便进行有关工作和提供有关意见的经理、管理人员、技术人员以及雇员。</w:t>
      </w:r>
    </w:p>
    <w:p w14:paraId="557C4036">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(二)当甲方因工作需要而必须向所属人员披露信息时，有义务告知乙方所属人员对有关信息进行严格的保密，并告知所属人员对保密信息的任何其他非本协议所允许的使用将具有重大损害性，因此务必杜绝。</w:t>
      </w:r>
    </w:p>
    <w:p w14:paraId="5360C9AC">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四、在乙方或其他任何通过乙方而获知保密信息的人员和机构依照法律被迫披露此保密信息的情况下，乙方必须在此保密信息被披露之前，以急件通知甲方，以便甲方通知有关各方采取保护措施或其他相应对策，并且以书面形式通知甲方其依照法律而被迫披露的保密信息。此外，披露方人员只得就所问及的问题进行答复，不得超过问题的探询范围。</w:t>
      </w:r>
    </w:p>
    <w:p w14:paraId="1DE888C1">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五、未经甲方书面同意，乙方应切实保证其任何人不得向外界透露本项目的任何内容，除非法律有特别要求。未经甲方书面同意，乙方保证其任何人不得通过新闻媒体、广告或其他任何形式作任何有关本项目的公开声明。</w:t>
      </w:r>
    </w:p>
    <w:p w14:paraId="6EB2E826">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六、未经甲方的书面许可，乙方的任何人不得将甲方提供的保密信息以任何方式(包括但不限于邮寄、传真、携带、电子邮件等方式)送出与本项目无关的任何机构和个人，包括但不限于政府、新闻媒介、非盈利性组织、公司、个人。一经甲方要求，所有的书面保密信息包括复印件应立即归还甲方。</w:t>
      </w:r>
    </w:p>
    <w:p w14:paraId="1AD01B9B">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七、如果乙方或通过乙方知晓保密信息的有关人员或机构因故意或过失违反上述的协议，给甲方造成直接或间接的损失，甲方有权向乙方要求赔偿，赔偿额为所造成损失金额的双倍，如无法计算损失金额，应按相应合同额的双倍进行赔偿。</w:t>
      </w:r>
    </w:p>
    <w:p w14:paraId="74A46C9B">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八、作为本协议组成部分的各项附件及双方在协议执行的过程中签署的补充协议均与本协议具有同等法律效力;对全协议的任何变更，仅限以书面形式经各方签字方为有效，任何一方无权单方面修改或终止本协议的执行，经甲乙双方协商致同意签署正式文件宣布本协议终止时，本协议才能被终止。</w:t>
      </w:r>
    </w:p>
    <w:p w14:paraId="58CE4917">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九、本协议适用中国法律，如产生纠纷应充分友好协商解决，协商不成，任何一方均可向甲方所在地有管辖权的人民法院提起诉讼。</w:t>
      </w:r>
    </w:p>
    <w:p w14:paraId="1AE84C99">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十、本协议为项目合同的重要组成部分，与项目合同一并签订。自合同签署之日起生效。</w:t>
      </w:r>
    </w:p>
    <w:p w14:paraId="76B1BC0D">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p>
    <w:p w14:paraId="59266EF9">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p>
    <w:p w14:paraId="7EE04E0C">
      <w:pPr>
        <w:pStyle w:val="12"/>
        <w:ind w:firstLine="560"/>
        <w:rPr>
          <w:rFonts w:ascii="仿宋" w:hAnsi="仿宋" w:eastAsia="仿宋" w:cs="仿宋"/>
          <w:color w:val="000000" w:themeColor="text1"/>
          <w:sz w:val="28"/>
          <w:szCs w:val="28"/>
          <w:highlight w:val="none"/>
          <w:lang w:bidi="ar"/>
          <w14:textFill>
            <w14:solidFill>
              <w14:schemeClr w14:val="tx1"/>
            </w14:solidFill>
          </w14:textFill>
        </w:rPr>
      </w:pPr>
    </w:p>
    <w:p w14:paraId="534DAB06">
      <w:pPr>
        <w:pStyle w:val="12"/>
        <w:ind w:firstLine="560"/>
        <w:rPr>
          <w:rFonts w:hint="default" w:ascii="仿宋" w:hAnsi="仿宋" w:eastAsia="仿宋" w:cs="仿宋"/>
          <w:color w:val="000000" w:themeColor="text1"/>
          <w:sz w:val="28"/>
          <w:szCs w:val="28"/>
          <w:highlight w:val="none"/>
          <w:lang w:val="en-US" w:eastAsia="zh-CN" w:bidi="ar"/>
          <w14:textFill>
            <w14:solidFill>
              <w14:schemeClr w14:val="tx1"/>
            </w14:solidFill>
          </w14:textFill>
        </w:rPr>
      </w:pPr>
      <w:r>
        <w:rPr>
          <w:rFonts w:ascii="仿宋" w:hAnsi="仿宋" w:eastAsia="仿宋" w:cs="仿宋"/>
          <w:color w:val="000000" w:themeColor="text1"/>
          <w:sz w:val="28"/>
          <w:szCs w:val="28"/>
          <w:highlight w:val="none"/>
          <w:lang w:bidi="ar"/>
          <w14:textFill>
            <w14:solidFill>
              <w14:schemeClr w14:val="tx1"/>
            </w14:solidFill>
          </w14:textFill>
        </w:rPr>
        <w:t>甲方:</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海南省生态环境监测中心</w:t>
      </w:r>
    </w:p>
    <w:p w14:paraId="5B9988F5">
      <w:pPr>
        <w:pStyle w:val="12"/>
        <w:ind w:firstLine="560"/>
        <w:rPr>
          <w:rFonts w:ascii="仿宋" w:hAnsi="仿宋" w:eastAsia="仿宋" w:cs="仿宋"/>
          <w:color w:val="000000" w:themeColor="text1"/>
          <w:sz w:val="28"/>
          <w:szCs w:val="28"/>
          <w:highlight w:val="none"/>
          <w:lang w:bidi="ar"/>
          <w14:textFill>
            <w14:solidFill>
              <w14:schemeClr w14:val="tx1"/>
            </w14:solidFill>
          </w14:textFill>
        </w:rPr>
      </w:pPr>
      <w:r>
        <w:rPr>
          <w:rFonts w:ascii="仿宋" w:hAnsi="仿宋" w:eastAsia="仿宋" w:cs="仿宋"/>
          <w:color w:val="000000" w:themeColor="text1"/>
          <w:sz w:val="28"/>
          <w:szCs w:val="28"/>
          <w:highlight w:val="none"/>
          <w:lang w:bidi="ar"/>
          <w14:textFill>
            <w14:solidFill>
              <w14:schemeClr w14:val="tx1"/>
            </w14:solidFill>
          </w14:textFill>
        </w:rPr>
        <w:t>授权代表</w:t>
      </w:r>
      <w:r>
        <w:rPr>
          <w:rFonts w:hint="eastAsia" w:ascii="仿宋" w:hAnsi="仿宋" w:eastAsia="仿宋" w:cs="仿宋"/>
          <w:color w:val="000000" w:themeColor="text1"/>
          <w:sz w:val="28"/>
          <w:szCs w:val="28"/>
          <w:highlight w:val="none"/>
          <w:lang w:bidi="ar"/>
          <w14:textFill>
            <w14:solidFill>
              <w14:schemeClr w14:val="tx1"/>
            </w14:solidFill>
          </w14:textFill>
        </w:rPr>
        <w:t>：</w:t>
      </w:r>
    </w:p>
    <w:p w14:paraId="4D17669D">
      <w:pPr>
        <w:widowControl/>
        <w:spacing w:line="520" w:lineRule="exact"/>
        <w:ind w:firstLine="560" w:firstLineChars="200"/>
        <w:rPr>
          <w:rFonts w:hint="default" w:ascii="仿宋" w:hAnsi="仿宋" w:eastAsia="仿宋" w:cs="仿宋"/>
          <w:color w:val="000000" w:themeColor="text1"/>
          <w:sz w:val="28"/>
          <w:szCs w:val="28"/>
          <w:highlight w:val="none"/>
          <w:lang w:val="en-US" w:eastAsia="zh-CN"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地址：</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海南省海口市美兰区白驹大道98号</w:t>
      </w:r>
    </w:p>
    <w:p w14:paraId="7833B8CD">
      <w:pPr>
        <w:pStyle w:val="12"/>
        <w:ind w:firstLine="560"/>
        <w:rPr>
          <w:rFonts w:hint="default" w:ascii="仿宋" w:hAnsi="仿宋" w:eastAsia="仿宋" w:cs="仿宋"/>
          <w:color w:val="000000" w:themeColor="text1"/>
          <w:sz w:val="28"/>
          <w:szCs w:val="28"/>
          <w:highlight w:val="none"/>
          <w:lang w:val="en-US" w:eastAsia="zh-CN"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电话：</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0898-66711241</w:t>
      </w:r>
    </w:p>
    <w:p w14:paraId="700B04C1">
      <w:pPr>
        <w:pStyle w:val="12"/>
        <w:ind w:firstLine="560"/>
        <w:rPr>
          <w:rFonts w:ascii="仿宋" w:hAnsi="仿宋" w:eastAsia="仿宋" w:cs="仿宋"/>
          <w:color w:val="000000" w:themeColor="text1"/>
          <w:sz w:val="28"/>
          <w:szCs w:val="28"/>
          <w:highlight w:val="none"/>
          <w:lang w:bidi="ar"/>
          <w14:textFill>
            <w14:solidFill>
              <w14:schemeClr w14:val="tx1"/>
            </w14:solidFill>
          </w14:textFill>
        </w:rPr>
      </w:pPr>
    </w:p>
    <w:p w14:paraId="3A7365BF">
      <w:pPr>
        <w:pStyle w:val="12"/>
        <w:ind w:firstLine="56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乙</w:t>
      </w:r>
      <w:r>
        <w:rPr>
          <w:rFonts w:ascii="仿宋" w:hAnsi="仿宋" w:eastAsia="仿宋" w:cs="仿宋"/>
          <w:color w:val="000000" w:themeColor="text1"/>
          <w:sz w:val="28"/>
          <w:szCs w:val="28"/>
          <w:highlight w:val="none"/>
          <w:lang w:bidi="ar"/>
          <w14:textFill>
            <w14:solidFill>
              <w14:schemeClr w14:val="tx1"/>
            </w14:solidFill>
          </w14:textFill>
        </w:rPr>
        <w:t>方:</w:t>
      </w:r>
    </w:p>
    <w:p w14:paraId="723506D3">
      <w:pPr>
        <w:pStyle w:val="12"/>
        <w:ind w:firstLine="560"/>
        <w:rPr>
          <w:rFonts w:ascii="仿宋" w:hAnsi="仿宋" w:eastAsia="仿宋" w:cs="仿宋"/>
          <w:color w:val="000000" w:themeColor="text1"/>
          <w:sz w:val="28"/>
          <w:szCs w:val="28"/>
          <w:highlight w:val="none"/>
          <w:lang w:bidi="ar"/>
          <w14:textFill>
            <w14:solidFill>
              <w14:schemeClr w14:val="tx1"/>
            </w14:solidFill>
          </w14:textFill>
        </w:rPr>
      </w:pPr>
      <w:r>
        <w:rPr>
          <w:rFonts w:ascii="仿宋" w:hAnsi="仿宋" w:eastAsia="仿宋" w:cs="仿宋"/>
          <w:color w:val="000000" w:themeColor="text1"/>
          <w:sz w:val="28"/>
          <w:szCs w:val="28"/>
          <w:highlight w:val="none"/>
          <w:lang w:bidi="ar"/>
          <w14:textFill>
            <w14:solidFill>
              <w14:schemeClr w14:val="tx1"/>
            </w14:solidFill>
          </w14:textFill>
        </w:rPr>
        <w:t>授权代表</w:t>
      </w:r>
      <w:r>
        <w:rPr>
          <w:rFonts w:hint="eastAsia" w:ascii="仿宋" w:hAnsi="仿宋" w:eastAsia="仿宋" w:cs="仿宋"/>
          <w:color w:val="000000" w:themeColor="text1"/>
          <w:sz w:val="28"/>
          <w:szCs w:val="28"/>
          <w:highlight w:val="none"/>
          <w:lang w:bidi="ar"/>
          <w14:textFill>
            <w14:solidFill>
              <w14:schemeClr w14:val="tx1"/>
            </w14:solidFill>
          </w14:textFill>
        </w:rPr>
        <w:t>：</w:t>
      </w:r>
    </w:p>
    <w:p w14:paraId="4B0E5B94">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地址：</w:t>
      </w:r>
    </w:p>
    <w:p w14:paraId="7DA127AB">
      <w:pPr>
        <w:pStyle w:val="12"/>
        <w:ind w:firstLine="56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电话：</w:t>
      </w:r>
    </w:p>
    <w:p w14:paraId="0A59A341">
      <w:pPr>
        <w:pStyle w:val="12"/>
        <w:ind w:firstLine="560"/>
        <w:rPr>
          <w:rFonts w:ascii="仿宋" w:hAnsi="仿宋" w:eastAsia="仿宋" w:cs="仿宋"/>
          <w:color w:val="000000" w:themeColor="text1"/>
          <w:sz w:val="28"/>
          <w:szCs w:val="28"/>
          <w:highlight w:val="none"/>
          <w:lang w:bidi="ar"/>
          <w14:textFill>
            <w14:solidFill>
              <w14:schemeClr w14:val="tx1"/>
            </w14:solidFill>
          </w14:textFill>
        </w:rPr>
        <w:sectPr>
          <w:pgSz w:w="11906" w:h="16838"/>
          <w:pgMar w:top="1440" w:right="1800" w:bottom="1440" w:left="1800" w:header="851" w:footer="992" w:gutter="0"/>
          <w:cols w:space="425" w:num="1"/>
          <w:docGrid w:type="lines" w:linePitch="312" w:charSpace="0"/>
        </w:sectPr>
      </w:pPr>
    </w:p>
    <w:p w14:paraId="291F3A29">
      <w:pPr>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t>附件3 履约验收办法</w:t>
      </w:r>
    </w:p>
    <w:p w14:paraId="5957F92D">
      <w:pPr>
        <w:pStyle w:val="12"/>
        <w:rPr>
          <w:rFonts w:hint="eastAsia"/>
          <w:color w:val="000000" w:themeColor="text1"/>
          <w:highlight w:val="none"/>
          <w:lang w:val="en-US" w:eastAsia="zh-CN"/>
          <w14:textFill>
            <w14:solidFill>
              <w14:schemeClr w14:val="tx1"/>
            </w14:solidFill>
          </w14:textFill>
        </w:rPr>
      </w:pPr>
    </w:p>
    <w:p w14:paraId="7C62F5BB">
      <w:pPr>
        <w:keepNext w:val="0"/>
        <w:keepLines w:val="0"/>
        <w:pageBreakBefore w:val="0"/>
        <w:widowControl/>
        <w:kinsoku/>
        <w:wordWrap/>
        <w:overflowPunct/>
        <w:topLinePunct w:val="0"/>
        <w:autoSpaceDE/>
        <w:autoSpaceDN/>
        <w:bidi w:val="0"/>
        <w:adjustRightInd/>
        <w:snapToGrid/>
        <w:spacing w:line="520" w:lineRule="exact"/>
        <w:ind w:firstLine="560" w:firstLineChars="200"/>
        <w:jc w:val="center"/>
        <w:textAlignment w:val="auto"/>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pPr>
      <w:bookmarkStart w:id="64" w:name="OLE_LINK10"/>
      <w:r>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t>2025年度海南省省控环境空气质量监测自动站运行维护项目</w:t>
      </w:r>
      <w:bookmarkEnd w:id="64"/>
      <w:r>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t>（采购包5）履约验收办法</w:t>
      </w:r>
    </w:p>
    <w:p w14:paraId="44E8995E">
      <w:pPr>
        <w:pStyle w:val="12"/>
        <w:rPr>
          <w:rFonts w:hint="default"/>
          <w:color w:val="000000" w:themeColor="text1"/>
          <w:highlight w:val="none"/>
          <w:lang w:val="en-US" w:eastAsia="zh-CN"/>
          <w14:textFill>
            <w14:solidFill>
              <w14:schemeClr w14:val="tx1"/>
            </w14:solidFill>
          </w14:textFill>
        </w:rPr>
      </w:pPr>
    </w:p>
    <w:p w14:paraId="207B45B3">
      <w:pPr>
        <w:keepNext w:val="0"/>
        <w:keepLines w:val="0"/>
        <w:pageBreakBefore w:val="0"/>
        <w:widowControl/>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t>为确保2025年度海南省省控环境空气质量监测自动站运行维护项目（采购包5）项目顺利开展，制订本履约验收办法。</w:t>
      </w:r>
    </w:p>
    <w:p w14:paraId="2105897E">
      <w:pPr>
        <w:keepNext w:val="0"/>
        <w:keepLines w:val="0"/>
        <w:pageBreakBefore w:val="0"/>
        <w:widowControl/>
        <w:kinsoku/>
        <w:wordWrap/>
        <w:overflowPunct/>
        <w:topLinePunct w:val="0"/>
        <w:autoSpaceDE/>
        <w:autoSpaceDN/>
        <w:bidi w:val="0"/>
        <w:adjustRightInd/>
        <w:snapToGrid/>
        <w:spacing w:line="520" w:lineRule="exact"/>
        <w:ind w:firstLine="562" w:firstLineChars="200"/>
        <w:jc w:val="both"/>
        <w:textAlignment w:val="auto"/>
        <w:rPr>
          <w:rFonts w:hint="eastAsia" w:ascii="仿宋" w:hAnsi="仿宋" w:eastAsia="仿宋" w:cs="仿宋"/>
          <w:b/>
          <w:bCs/>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b/>
          <w:bCs/>
          <w:color w:val="000000" w:themeColor="text1"/>
          <w:kern w:val="2"/>
          <w:sz w:val="28"/>
          <w:szCs w:val="28"/>
          <w:highlight w:val="none"/>
          <w:lang w:val="en-US" w:eastAsia="zh-CN" w:bidi="ar"/>
          <w14:textFill>
            <w14:solidFill>
              <w14:schemeClr w14:val="tx1"/>
            </w14:solidFill>
          </w14:textFill>
        </w:rPr>
        <w:t>一、验收主体</w:t>
      </w:r>
    </w:p>
    <w:p w14:paraId="505795C5">
      <w:pPr>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t>1.验收对象（乙方）:</w:t>
      </w:r>
    </w:p>
    <w:p w14:paraId="16DFEB3C">
      <w:pPr>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auto"/>
        <w:rPr>
          <w:rFonts w:hint="default" w:ascii="仿宋" w:hAnsi="仿宋" w:eastAsia="仿宋" w:cs="仿宋"/>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t>2.履约验收组织机构（甲方）:海南省生态环境监测中心</w:t>
      </w:r>
    </w:p>
    <w:p w14:paraId="7A62AE17">
      <w:pPr>
        <w:keepNext w:val="0"/>
        <w:keepLines w:val="0"/>
        <w:pageBreakBefore w:val="0"/>
        <w:widowControl/>
        <w:kinsoku/>
        <w:wordWrap/>
        <w:overflowPunct/>
        <w:topLinePunct w:val="0"/>
        <w:autoSpaceDE/>
        <w:autoSpaceDN/>
        <w:bidi w:val="0"/>
        <w:adjustRightInd/>
        <w:snapToGrid/>
        <w:spacing w:line="520" w:lineRule="exact"/>
        <w:ind w:firstLine="562" w:firstLineChars="200"/>
        <w:textAlignment w:val="auto"/>
        <w:rPr>
          <w:rFonts w:hint="default" w:ascii="仿宋" w:hAnsi="仿宋" w:eastAsia="仿宋" w:cs="仿宋"/>
          <w:b/>
          <w:bCs/>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b/>
          <w:bCs/>
          <w:color w:val="000000" w:themeColor="text1"/>
          <w:kern w:val="2"/>
          <w:sz w:val="28"/>
          <w:szCs w:val="28"/>
          <w:highlight w:val="none"/>
          <w:lang w:val="en-US" w:eastAsia="zh-CN" w:bidi="ar"/>
          <w14:textFill>
            <w14:solidFill>
              <w14:schemeClr w14:val="tx1"/>
            </w14:solidFill>
          </w14:textFill>
        </w:rPr>
        <w:t>二、验收时间</w:t>
      </w:r>
    </w:p>
    <w:p w14:paraId="55760D15">
      <w:pPr>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t>执行合同要求。</w:t>
      </w:r>
    </w:p>
    <w:p w14:paraId="495B8915">
      <w:pPr>
        <w:keepNext w:val="0"/>
        <w:keepLines w:val="0"/>
        <w:pageBreakBefore w:val="0"/>
        <w:widowControl/>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bCs/>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b/>
          <w:bCs/>
          <w:color w:val="000000" w:themeColor="text1"/>
          <w:kern w:val="2"/>
          <w:sz w:val="28"/>
          <w:szCs w:val="28"/>
          <w:highlight w:val="none"/>
          <w:lang w:val="en-US" w:eastAsia="zh-CN" w:bidi="ar"/>
          <w14:textFill>
            <w14:solidFill>
              <w14:schemeClr w14:val="tx1"/>
            </w14:solidFill>
          </w14:textFill>
        </w:rPr>
        <w:t>三、验收方式</w:t>
      </w:r>
    </w:p>
    <w:p w14:paraId="302E3A55">
      <w:pPr>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t>甲方组织专家验收，对照招标文件、合同规定等，判断服务内容的符合情况，得出结论。</w:t>
      </w:r>
    </w:p>
    <w:p w14:paraId="46BAFAC3">
      <w:pPr>
        <w:keepNext w:val="0"/>
        <w:keepLines w:val="0"/>
        <w:pageBreakBefore w:val="0"/>
        <w:widowControl/>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bCs/>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b/>
          <w:bCs/>
          <w:color w:val="000000" w:themeColor="text1"/>
          <w:kern w:val="2"/>
          <w:sz w:val="28"/>
          <w:szCs w:val="28"/>
          <w:highlight w:val="none"/>
          <w:lang w:val="en-US" w:eastAsia="zh-CN" w:bidi="ar"/>
          <w14:textFill>
            <w14:solidFill>
              <w14:schemeClr w14:val="tx1"/>
            </w14:solidFill>
          </w14:textFill>
        </w:rPr>
        <w:t>四、验收程序</w:t>
      </w:r>
    </w:p>
    <w:p w14:paraId="77F9208C">
      <w:pPr>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t>由甲方组织验收，按照验收内容和标准开展；乙方提交验收报告，并汇报项目年度履约情况；验收项目组成员提问、质询，形成验收意见；将项目验收报告、验收意见整理归档。</w:t>
      </w:r>
    </w:p>
    <w:p w14:paraId="20442BBD">
      <w:pPr>
        <w:keepNext w:val="0"/>
        <w:keepLines w:val="0"/>
        <w:pageBreakBefore w:val="0"/>
        <w:widowControl/>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bCs/>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b/>
          <w:bCs/>
          <w:color w:val="000000" w:themeColor="text1"/>
          <w:kern w:val="2"/>
          <w:sz w:val="28"/>
          <w:szCs w:val="28"/>
          <w:highlight w:val="none"/>
          <w:lang w:val="en-US" w:eastAsia="zh-CN" w:bidi="ar"/>
          <w14:textFill>
            <w14:solidFill>
              <w14:schemeClr w14:val="tx1"/>
            </w14:solidFill>
          </w14:textFill>
        </w:rPr>
        <w:t>五、验收内容及标准</w:t>
      </w:r>
    </w:p>
    <w:p w14:paraId="1F64B356">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t>根据采购文件和合同为基本依据制定了以下验收内容及标准，具体验收指标如下:</w:t>
      </w:r>
    </w:p>
    <w:p w14:paraId="6A0534C0">
      <w:pPr>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t>1.数据有效率，运维单位要确保运维考核周期内数据有效率在 90%以上。</w:t>
      </w:r>
    </w:p>
    <w:p w14:paraId="76BCCC10">
      <w:pPr>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pPr>
    </w:p>
    <w:p w14:paraId="19DB146B">
      <w:pPr>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t>2.质控合格率，运维单位要确保运维考核周期内质控合格率在 80%以上。</w:t>
      </w:r>
    </w:p>
    <w:p w14:paraId="71B0A765">
      <w:pPr>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t>3.备机、备品备件、耗材、质控设备等应按项目要求配备与使用，未发生严重影响城市数据质量的事件，对城市环境质量客观、公正的考核产生严重影响。人员、车辆应按项目要求配备，保证人员完整性 和人员能力的符合性。</w:t>
      </w:r>
    </w:p>
    <w:p w14:paraId="407DD9CE">
      <w:pPr>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t>4.招标文件、合同的其他内容响应情况。</w:t>
      </w:r>
    </w:p>
    <w:p w14:paraId="3220D41E">
      <w:pPr>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br w:type="page"/>
      </w:r>
    </w:p>
    <w:p w14:paraId="1614256F">
      <w:pPr>
        <w:pStyle w:val="2"/>
        <w:numPr>
          <w:ilvl w:val="1"/>
          <w:numId w:val="0"/>
        </w:numPr>
        <w:bidi w:val="0"/>
        <w:ind w:leftChars="0"/>
        <w:jc w:val="cente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采购包6采购合同</w:t>
      </w:r>
    </w:p>
    <w:p w14:paraId="2303047A">
      <w:pPr>
        <w:spacing w:line="288" w:lineRule="auto"/>
        <w:jc w:val="center"/>
        <w:rPr>
          <w:b/>
          <w:bCs/>
          <w:color w:val="000000" w:themeColor="text1"/>
          <w:sz w:val="44"/>
          <w:szCs w:val="44"/>
          <w:highlight w:val="none"/>
          <w14:textFill>
            <w14:solidFill>
              <w14:schemeClr w14:val="tx1"/>
            </w14:solidFill>
          </w14:textFill>
        </w:rPr>
      </w:pPr>
      <w:r>
        <w:rPr>
          <w:rFonts w:hint="eastAsia"/>
          <w:b/>
          <w:bCs/>
          <w:color w:val="000000" w:themeColor="text1"/>
          <w:sz w:val="44"/>
          <w:szCs w:val="44"/>
          <w:highlight w:val="none"/>
          <w:lang w:val="en-US" w:eastAsia="zh-CN"/>
          <w14:textFill>
            <w14:solidFill>
              <w14:schemeClr w14:val="tx1"/>
            </w14:solidFill>
          </w14:textFill>
        </w:rPr>
        <w:t>2025年度海南省省控环境空气质量监测自动站运行维护项目</w:t>
      </w:r>
      <w:r>
        <w:rPr>
          <w:rFonts w:hint="eastAsia"/>
          <w:b/>
          <w:bCs/>
          <w:color w:val="000000" w:themeColor="text1"/>
          <w:sz w:val="44"/>
          <w:szCs w:val="44"/>
          <w:highlight w:val="none"/>
          <w14:textFill>
            <w14:solidFill>
              <w14:schemeClr w14:val="tx1"/>
            </w14:solidFill>
          </w14:textFill>
        </w:rPr>
        <w:t>（</w:t>
      </w:r>
      <w:r>
        <w:rPr>
          <w:rFonts w:hint="eastAsia"/>
          <w:b/>
          <w:bCs/>
          <w:color w:val="000000" w:themeColor="text1"/>
          <w:sz w:val="44"/>
          <w:szCs w:val="44"/>
          <w:highlight w:val="none"/>
          <w:lang w:val="en-US" w:eastAsia="zh-CN"/>
          <w14:textFill>
            <w14:solidFill>
              <w14:schemeClr w14:val="tx1"/>
            </w14:solidFill>
          </w14:textFill>
        </w:rPr>
        <w:t>采购包6</w:t>
      </w:r>
      <w:r>
        <w:rPr>
          <w:rFonts w:hint="eastAsia"/>
          <w:b/>
          <w:bCs/>
          <w:color w:val="000000" w:themeColor="text1"/>
          <w:sz w:val="44"/>
          <w:szCs w:val="44"/>
          <w:highlight w:val="none"/>
          <w14:textFill>
            <w14:solidFill>
              <w14:schemeClr w14:val="tx1"/>
            </w14:solidFill>
          </w14:textFill>
        </w:rPr>
        <w:t>）</w:t>
      </w:r>
    </w:p>
    <w:p w14:paraId="2BFC06E3">
      <w:pPr>
        <w:pStyle w:val="3"/>
        <w:ind w:firstLine="0" w:firstLineChars="0"/>
        <w:jc w:val="center"/>
        <w:rPr>
          <w:color w:val="000000" w:themeColor="text1"/>
          <w:sz w:val="30"/>
          <w:szCs w:val="30"/>
          <w:highlight w:val="none"/>
          <w14:textFill>
            <w14:solidFill>
              <w14:schemeClr w14:val="tx1"/>
            </w14:solidFill>
          </w14:textFill>
        </w:rPr>
      </w:pPr>
    </w:p>
    <w:p w14:paraId="37A33A55">
      <w:pPr>
        <w:spacing w:line="288" w:lineRule="auto"/>
        <w:jc w:val="center"/>
        <w:outlineLvl w:val="9"/>
        <w:rPr>
          <w:b/>
          <w:bCs/>
          <w:color w:val="000000" w:themeColor="text1"/>
          <w:sz w:val="72"/>
          <w:szCs w:val="72"/>
          <w:highlight w:val="none"/>
          <w14:textFill>
            <w14:solidFill>
              <w14:schemeClr w14:val="tx1"/>
            </w14:solidFill>
          </w14:textFill>
        </w:rPr>
      </w:pPr>
      <w:r>
        <w:rPr>
          <w:b/>
          <w:bCs/>
          <w:color w:val="000000" w:themeColor="text1"/>
          <w:sz w:val="72"/>
          <w:szCs w:val="72"/>
          <w:highlight w:val="none"/>
          <w14:textFill>
            <w14:solidFill>
              <w14:schemeClr w14:val="tx1"/>
            </w14:solidFill>
          </w14:textFill>
        </w:rPr>
        <w:t>合</w:t>
      </w:r>
    </w:p>
    <w:p w14:paraId="766021E7">
      <w:pPr>
        <w:spacing w:line="288" w:lineRule="auto"/>
        <w:jc w:val="center"/>
        <w:rPr>
          <w:b/>
          <w:bCs/>
          <w:color w:val="000000" w:themeColor="text1"/>
          <w:sz w:val="44"/>
          <w:szCs w:val="44"/>
          <w:highlight w:val="none"/>
          <w14:textFill>
            <w14:solidFill>
              <w14:schemeClr w14:val="tx1"/>
            </w14:solidFill>
          </w14:textFill>
        </w:rPr>
      </w:pPr>
    </w:p>
    <w:p w14:paraId="254FADA8">
      <w:pPr>
        <w:spacing w:line="288" w:lineRule="auto"/>
        <w:jc w:val="center"/>
        <w:outlineLvl w:val="9"/>
        <w:rPr>
          <w:b/>
          <w:bCs/>
          <w:color w:val="000000" w:themeColor="text1"/>
          <w:sz w:val="72"/>
          <w:szCs w:val="72"/>
          <w:highlight w:val="none"/>
          <w14:textFill>
            <w14:solidFill>
              <w14:schemeClr w14:val="tx1"/>
            </w14:solidFill>
          </w14:textFill>
        </w:rPr>
      </w:pPr>
      <w:r>
        <w:rPr>
          <w:b/>
          <w:bCs/>
          <w:color w:val="000000" w:themeColor="text1"/>
          <w:sz w:val="72"/>
          <w:szCs w:val="72"/>
          <w:highlight w:val="none"/>
          <w14:textFill>
            <w14:solidFill>
              <w14:schemeClr w14:val="tx1"/>
            </w14:solidFill>
          </w14:textFill>
        </w:rPr>
        <w:t>同</w:t>
      </w:r>
    </w:p>
    <w:p w14:paraId="042FC3DE">
      <w:pPr>
        <w:spacing w:line="288" w:lineRule="auto"/>
        <w:jc w:val="center"/>
        <w:rPr>
          <w:b/>
          <w:bCs/>
          <w:color w:val="000000" w:themeColor="text1"/>
          <w:sz w:val="44"/>
          <w:szCs w:val="44"/>
          <w:highlight w:val="none"/>
          <w14:textFill>
            <w14:solidFill>
              <w14:schemeClr w14:val="tx1"/>
            </w14:solidFill>
          </w14:textFill>
        </w:rPr>
      </w:pPr>
    </w:p>
    <w:p w14:paraId="6047B1C1">
      <w:pPr>
        <w:spacing w:line="288" w:lineRule="auto"/>
        <w:jc w:val="center"/>
        <w:outlineLvl w:val="9"/>
        <w:rPr>
          <w:b/>
          <w:bCs/>
          <w:color w:val="000000" w:themeColor="text1"/>
          <w:sz w:val="72"/>
          <w:szCs w:val="72"/>
          <w:highlight w:val="none"/>
          <w14:textFill>
            <w14:solidFill>
              <w14:schemeClr w14:val="tx1"/>
            </w14:solidFill>
          </w14:textFill>
        </w:rPr>
      </w:pPr>
      <w:r>
        <w:rPr>
          <w:b/>
          <w:bCs/>
          <w:color w:val="000000" w:themeColor="text1"/>
          <w:sz w:val="72"/>
          <w:szCs w:val="72"/>
          <w:highlight w:val="none"/>
          <w14:textFill>
            <w14:solidFill>
              <w14:schemeClr w14:val="tx1"/>
            </w14:solidFill>
          </w14:textFill>
        </w:rPr>
        <w:t>书</w:t>
      </w:r>
    </w:p>
    <w:p w14:paraId="1AAEF8C1">
      <w:pPr>
        <w:pStyle w:val="3"/>
        <w:ind w:firstLine="0" w:firstLineChars="0"/>
        <w:jc w:val="center"/>
        <w:rPr>
          <w:color w:val="000000" w:themeColor="text1"/>
          <w:sz w:val="30"/>
          <w:szCs w:val="30"/>
          <w:highlight w:val="none"/>
          <w14:textFill>
            <w14:solidFill>
              <w14:schemeClr w14:val="tx1"/>
            </w14:solidFill>
          </w14:textFill>
        </w:rPr>
      </w:pPr>
    </w:p>
    <w:p w14:paraId="4140B81A">
      <w:pPr>
        <w:pStyle w:val="3"/>
        <w:ind w:firstLine="0" w:firstLineChars="0"/>
        <w:jc w:val="center"/>
        <w:rPr>
          <w:rFonts w:hint="eastAsia"/>
          <w:color w:val="000000" w:themeColor="text1"/>
          <w:sz w:val="30"/>
          <w:szCs w:val="30"/>
          <w:highlight w:val="none"/>
          <w14:textFill>
            <w14:solidFill>
              <w14:schemeClr w14:val="tx1"/>
            </w14:solidFill>
          </w14:textFill>
        </w:rPr>
      </w:pPr>
    </w:p>
    <w:p w14:paraId="3D17C225">
      <w:pPr>
        <w:spacing w:line="288" w:lineRule="auto"/>
        <w:ind w:firstLine="1968" w:firstLineChars="700"/>
        <w:rPr>
          <w:b/>
          <w:bCs/>
          <w:color w:val="000000" w:themeColor="text1"/>
          <w:sz w:val="28"/>
          <w:szCs w:val="28"/>
          <w:highlight w:val="none"/>
          <w14:textFill>
            <w14:solidFill>
              <w14:schemeClr w14:val="tx1"/>
            </w14:solidFill>
          </w14:textFill>
        </w:rPr>
      </w:pPr>
      <w:r>
        <w:rPr>
          <w:b/>
          <w:bCs/>
          <w:color w:val="000000" w:themeColor="text1"/>
          <w:sz w:val="28"/>
          <w:szCs w:val="28"/>
          <w:highlight w:val="none"/>
          <w14:textFill>
            <w14:solidFill>
              <w14:schemeClr w14:val="tx1"/>
            </w14:solidFill>
          </w14:textFill>
        </w:rPr>
        <w:t>甲    方：</w:t>
      </w:r>
      <w:r>
        <w:rPr>
          <w:b/>
          <w:bCs/>
          <w:color w:val="000000" w:themeColor="text1"/>
          <w:sz w:val="28"/>
          <w:szCs w:val="28"/>
          <w:highlight w:val="none"/>
          <w:u w:val="single"/>
          <w14:textFill>
            <w14:solidFill>
              <w14:schemeClr w14:val="tx1"/>
            </w14:solidFill>
          </w14:textFill>
        </w:rPr>
        <w:t xml:space="preserve">    </w:t>
      </w:r>
      <w:r>
        <w:rPr>
          <w:rFonts w:hint="eastAsia"/>
          <w:b/>
          <w:bCs/>
          <w:color w:val="000000" w:themeColor="text1"/>
          <w:sz w:val="28"/>
          <w:szCs w:val="28"/>
          <w:highlight w:val="none"/>
          <w:u w:val="single"/>
          <w:lang w:val="en-US" w:eastAsia="zh-CN"/>
          <w14:textFill>
            <w14:solidFill>
              <w14:schemeClr w14:val="tx1"/>
            </w14:solidFill>
          </w14:textFill>
        </w:rPr>
        <w:t xml:space="preserve">                      </w:t>
      </w:r>
      <w:r>
        <w:rPr>
          <w:b/>
          <w:bCs/>
          <w:color w:val="000000" w:themeColor="text1"/>
          <w:sz w:val="28"/>
          <w:szCs w:val="28"/>
          <w:highlight w:val="none"/>
          <w:u w:val="single"/>
          <w14:textFill>
            <w14:solidFill>
              <w14:schemeClr w14:val="tx1"/>
            </w14:solidFill>
          </w14:textFill>
        </w:rPr>
        <w:t xml:space="preserve">     </w:t>
      </w:r>
    </w:p>
    <w:p w14:paraId="1F7723D3">
      <w:pPr>
        <w:spacing w:line="288" w:lineRule="auto"/>
        <w:ind w:firstLine="1968" w:firstLineChars="700"/>
        <w:rPr>
          <w:rFonts w:hint="eastAsia"/>
          <w:b/>
          <w:bCs/>
          <w:color w:val="000000" w:themeColor="text1"/>
          <w:sz w:val="28"/>
          <w:szCs w:val="28"/>
          <w:highlight w:val="none"/>
          <w:u w:val="single"/>
          <w14:textFill>
            <w14:solidFill>
              <w14:schemeClr w14:val="tx1"/>
            </w14:solidFill>
          </w14:textFill>
        </w:rPr>
      </w:pPr>
      <w:r>
        <w:rPr>
          <w:b/>
          <w:bCs/>
          <w:color w:val="000000" w:themeColor="text1"/>
          <w:sz w:val="28"/>
          <w:szCs w:val="28"/>
          <w:highlight w:val="none"/>
          <w14:textFill>
            <w14:solidFill>
              <w14:schemeClr w14:val="tx1"/>
            </w14:solidFill>
          </w14:textFill>
        </w:rPr>
        <w:t>乙    方：</w:t>
      </w:r>
      <w:r>
        <w:rPr>
          <w:b/>
          <w:bCs/>
          <w:color w:val="000000" w:themeColor="text1"/>
          <w:sz w:val="28"/>
          <w:szCs w:val="28"/>
          <w:highlight w:val="none"/>
          <w:u w:val="single"/>
          <w14:textFill>
            <w14:solidFill>
              <w14:schemeClr w14:val="tx1"/>
            </w14:solidFill>
          </w14:textFill>
        </w:rPr>
        <w:t xml:space="preserve">    </w:t>
      </w:r>
      <w:r>
        <w:rPr>
          <w:rFonts w:hint="eastAsia"/>
          <w:b/>
          <w:bCs/>
          <w:color w:val="000000" w:themeColor="text1"/>
          <w:sz w:val="28"/>
          <w:szCs w:val="28"/>
          <w:highlight w:val="none"/>
          <w:u w:val="single"/>
          <w:lang w:val="en-US" w:eastAsia="zh-CN"/>
          <w14:textFill>
            <w14:solidFill>
              <w14:schemeClr w14:val="tx1"/>
            </w14:solidFill>
          </w14:textFill>
        </w:rPr>
        <w:t xml:space="preserve">                      </w:t>
      </w:r>
      <w:r>
        <w:rPr>
          <w:b/>
          <w:bCs/>
          <w:color w:val="000000" w:themeColor="text1"/>
          <w:sz w:val="28"/>
          <w:szCs w:val="28"/>
          <w:highlight w:val="none"/>
          <w:u w:val="single"/>
          <w14:textFill>
            <w14:solidFill>
              <w14:schemeClr w14:val="tx1"/>
            </w14:solidFill>
          </w14:textFill>
        </w:rPr>
        <w:t xml:space="preserve">     </w:t>
      </w:r>
    </w:p>
    <w:p w14:paraId="592B2D76">
      <w:pPr>
        <w:keepNext w:val="0"/>
        <w:keepLines w:val="0"/>
        <w:pageBreakBefore w:val="0"/>
        <w:widowControl w:val="0"/>
        <w:kinsoku/>
        <w:wordWrap/>
        <w:overflowPunct/>
        <w:topLinePunct w:val="0"/>
        <w:autoSpaceDE/>
        <w:autoSpaceDN/>
        <w:bidi w:val="0"/>
        <w:adjustRightInd/>
        <w:snapToGrid/>
        <w:spacing w:line="360" w:lineRule="auto"/>
        <w:ind w:firstLine="1968" w:firstLineChars="700"/>
        <w:textAlignment w:val="auto"/>
        <w:rPr>
          <w:b/>
          <w:bCs/>
          <w:color w:val="000000" w:themeColor="text1"/>
          <w:sz w:val="28"/>
          <w:szCs w:val="28"/>
          <w:highlight w:val="none"/>
          <w:u w:val="single"/>
          <w14:textFill>
            <w14:solidFill>
              <w14:schemeClr w14:val="tx1"/>
            </w14:solidFill>
          </w14:textFill>
        </w:rPr>
      </w:pPr>
      <w:r>
        <w:rPr>
          <w:rFonts w:hint="eastAsia"/>
          <w:b/>
          <w:bCs/>
          <w:color w:val="000000" w:themeColor="text1"/>
          <w:sz w:val="28"/>
          <w:szCs w:val="28"/>
          <w:highlight w:val="none"/>
          <w14:textFill>
            <w14:solidFill>
              <w14:schemeClr w14:val="tx1"/>
            </w14:solidFill>
          </w14:textFill>
        </w:rPr>
        <w:t>项目</w:t>
      </w:r>
      <w:r>
        <w:rPr>
          <w:b/>
          <w:bCs/>
          <w:color w:val="000000" w:themeColor="text1"/>
          <w:sz w:val="28"/>
          <w:szCs w:val="28"/>
          <w:highlight w:val="none"/>
          <w14:textFill>
            <w14:solidFill>
              <w14:schemeClr w14:val="tx1"/>
            </w14:solidFill>
          </w14:textFill>
        </w:rPr>
        <w:t>编号：</w:t>
      </w:r>
      <w:r>
        <w:rPr>
          <w:b/>
          <w:bCs/>
          <w:color w:val="000000" w:themeColor="text1"/>
          <w:sz w:val="28"/>
          <w:szCs w:val="28"/>
          <w:highlight w:val="none"/>
          <w:u w:val="single"/>
          <w14:textFill>
            <w14:solidFill>
              <w14:schemeClr w14:val="tx1"/>
            </w14:solidFill>
          </w14:textFill>
        </w:rPr>
        <w:t xml:space="preserve">    </w:t>
      </w:r>
      <w:r>
        <w:rPr>
          <w:rFonts w:hint="eastAsia"/>
          <w:b/>
          <w:bCs/>
          <w:color w:val="000000" w:themeColor="text1"/>
          <w:sz w:val="28"/>
          <w:szCs w:val="28"/>
          <w:highlight w:val="none"/>
          <w:u w:val="single"/>
          <w:lang w:val="en-US" w:eastAsia="zh-CN"/>
          <w14:textFill>
            <w14:solidFill>
              <w14:schemeClr w14:val="tx1"/>
            </w14:solidFill>
          </w14:textFill>
        </w:rPr>
        <w:t xml:space="preserve">                      </w:t>
      </w:r>
      <w:r>
        <w:rPr>
          <w:b/>
          <w:bCs/>
          <w:color w:val="000000" w:themeColor="text1"/>
          <w:sz w:val="28"/>
          <w:szCs w:val="28"/>
          <w:highlight w:val="none"/>
          <w:u w:val="single"/>
          <w14:textFill>
            <w14:solidFill>
              <w14:schemeClr w14:val="tx1"/>
            </w14:solidFill>
          </w14:textFill>
        </w:rPr>
        <w:t xml:space="preserve">     </w:t>
      </w:r>
    </w:p>
    <w:p w14:paraId="4438845E">
      <w:pPr>
        <w:widowControl/>
        <w:spacing w:line="240" w:lineRule="auto"/>
        <w:ind w:firstLine="1968" w:firstLineChars="700"/>
        <w:jc w:val="left"/>
        <w:rPr>
          <w:b/>
          <w:bCs/>
          <w:color w:val="000000" w:themeColor="text1"/>
          <w:sz w:val="28"/>
          <w:szCs w:val="28"/>
          <w:highlight w:val="none"/>
          <w:u w:val="single"/>
          <w14:textFill>
            <w14:solidFill>
              <w14:schemeClr w14:val="tx1"/>
            </w14:solidFill>
          </w14:textFill>
        </w:rPr>
      </w:pPr>
      <w:r>
        <w:rPr>
          <w:b/>
          <w:bCs/>
          <w:color w:val="000000" w:themeColor="text1"/>
          <w:sz w:val="28"/>
          <w:szCs w:val="28"/>
          <w:highlight w:val="none"/>
          <w14:textFill>
            <w14:solidFill>
              <w14:schemeClr w14:val="tx1"/>
            </w14:solidFill>
          </w14:textFill>
        </w:rPr>
        <w:t>合同编号：</w:t>
      </w:r>
      <w:r>
        <w:rPr>
          <w:b/>
          <w:bCs/>
          <w:color w:val="000000" w:themeColor="text1"/>
          <w:sz w:val="28"/>
          <w:szCs w:val="28"/>
          <w:highlight w:val="none"/>
          <w:u w:val="single"/>
          <w14:textFill>
            <w14:solidFill>
              <w14:schemeClr w14:val="tx1"/>
            </w14:solidFill>
          </w14:textFill>
        </w:rPr>
        <w:t xml:space="preserve">    </w:t>
      </w:r>
      <w:r>
        <w:rPr>
          <w:rFonts w:hint="eastAsia"/>
          <w:b/>
          <w:bCs/>
          <w:color w:val="000000" w:themeColor="text1"/>
          <w:sz w:val="28"/>
          <w:szCs w:val="28"/>
          <w:highlight w:val="none"/>
          <w:u w:val="single"/>
          <w:lang w:val="en-US" w:eastAsia="zh-CN"/>
          <w14:textFill>
            <w14:solidFill>
              <w14:schemeClr w14:val="tx1"/>
            </w14:solidFill>
          </w14:textFill>
        </w:rPr>
        <w:t xml:space="preserve">                      </w:t>
      </w:r>
      <w:r>
        <w:rPr>
          <w:b/>
          <w:bCs/>
          <w:color w:val="000000" w:themeColor="text1"/>
          <w:sz w:val="28"/>
          <w:szCs w:val="28"/>
          <w:highlight w:val="none"/>
          <w:u w:val="single"/>
          <w14:textFill>
            <w14:solidFill>
              <w14:schemeClr w14:val="tx1"/>
            </w14:solidFill>
          </w14:textFill>
        </w:rPr>
        <w:t xml:space="preserve">     </w:t>
      </w:r>
    </w:p>
    <w:p w14:paraId="213F20E0">
      <w:pPr>
        <w:spacing w:line="288" w:lineRule="auto"/>
        <w:ind w:firstLine="1968" w:firstLineChars="700"/>
        <w:rPr>
          <w:b/>
          <w:bCs/>
          <w:color w:val="000000" w:themeColor="text1"/>
          <w:sz w:val="28"/>
          <w:szCs w:val="28"/>
          <w:highlight w:val="none"/>
          <w:u w:val="single"/>
          <w14:textFill>
            <w14:solidFill>
              <w14:schemeClr w14:val="tx1"/>
            </w14:solidFill>
          </w14:textFill>
        </w:rPr>
      </w:pPr>
      <w:r>
        <w:rPr>
          <w:b/>
          <w:bCs/>
          <w:color w:val="000000" w:themeColor="text1"/>
          <w:sz w:val="28"/>
          <w:szCs w:val="28"/>
          <w:highlight w:val="none"/>
          <w14:textFill>
            <w14:solidFill>
              <w14:schemeClr w14:val="tx1"/>
            </w14:solidFill>
          </w14:textFill>
        </w:rPr>
        <w:t>签署时间：</w:t>
      </w:r>
      <w:r>
        <w:rPr>
          <w:b/>
          <w:bCs/>
          <w:color w:val="000000" w:themeColor="text1"/>
          <w:sz w:val="28"/>
          <w:szCs w:val="28"/>
          <w:highlight w:val="none"/>
          <w:u w:val="single"/>
          <w14:textFill>
            <w14:solidFill>
              <w14:schemeClr w14:val="tx1"/>
            </w14:solidFill>
          </w14:textFill>
        </w:rPr>
        <w:t xml:space="preserve">       年    月    日          </w:t>
      </w:r>
    </w:p>
    <w:p w14:paraId="0C985964">
      <w:pPr>
        <w:jc w:val="center"/>
        <w:rPr>
          <w:rFonts w:hint="eastAsia" w:ascii="宋体" w:hAnsi="宋体"/>
          <w:b/>
          <w:bCs/>
          <w:color w:val="000000" w:themeColor="text1"/>
          <w:sz w:val="32"/>
          <w:szCs w:val="36"/>
          <w:highlight w:val="none"/>
          <w:u w:val="single"/>
          <w14:textFill>
            <w14:solidFill>
              <w14:schemeClr w14:val="tx1"/>
            </w14:solidFill>
          </w14:textFill>
        </w:rPr>
        <w:sectPr>
          <w:pgSz w:w="11906" w:h="16838"/>
          <w:pgMar w:top="1440" w:right="1800" w:bottom="1440" w:left="1800" w:header="851" w:footer="992" w:gutter="0"/>
          <w:cols w:space="425" w:num="1"/>
          <w:docGrid w:type="lines" w:linePitch="312" w:charSpace="0"/>
        </w:sectPr>
      </w:pPr>
    </w:p>
    <w:p w14:paraId="392592A7">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甲方：海南省生态环境监测中心</w:t>
      </w:r>
    </w:p>
    <w:p w14:paraId="309356EF">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 xml:space="preserve">乙方：                      </w:t>
      </w:r>
    </w:p>
    <w:p w14:paraId="2B2E8080">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根据海南省生态环境监测中心对202</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5</w:t>
      </w:r>
      <w:r>
        <w:rPr>
          <w:rFonts w:hint="eastAsia" w:ascii="仿宋" w:hAnsi="仿宋" w:eastAsia="仿宋" w:cs="仿宋"/>
          <w:color w:val="000000" w:themeColor="text1"/>
          <w:sz w:val="28"/>
          <w:szCs w:val="28"/>
          <w:highlight w:val="none"/>
          <w:lang w:bidi="ar"/>
          <w14:textFill>
            <w14:solidFill>
              <w14:schemeClr w14:val="tx1"/>
            </w14:solidFill>
          </w14:textFill>
        </w:rPr>
        <w:t>年度</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海南省省控</w:t>
      </w:r>
      <w:r>
        <w:rPr>
          <w:rFonts w:hint="eastAsia" w:ascii="仿宋" w:hAnsi="仿宋" w:eastAsia="仿宋" w:cs="仿宋"/>
          <w:color w:val="000000" w:themeColor="text1"/>
          <w:sz w:val="28"/>
          <w:szCs w:val="28"/>
          <w:highlight w:val="none"/>
          <w:lang w:bidi="ar"/>
          <w14:textFill>
            <w14:solidFill>
              <w14:schemeClr w14:val="tx1"/>
            </w14:solidFill>
          </w14:textFill>
        </w:rPr>
        <w:t>环境空气质量监测自动站运行维护项目进行采购的招标结果，</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 xml:space="preserve">         </w:t>
      </w:r>
      <w:r>
        <w:rPr>
          <w:rFonts w:hint="eastAsia" w:ascii="仿宋" w:hAnsi="仿宋" w:eastAsia="仿宋" w:cs="仿宋"/>
          <w:color w:val="000000" w:themeColor="text1"/>
          <w:sz w:val="28"/>
          <w:szCs w:val="28"/>
          <w:highlight w:val="none"/>
          <w:lang w:bidi="ar"/>
          <w14:textFill>
            <w14:solidFill>
              <w14:schemeClr w14:val="tx1"/>
            </w14:solidFill>
          </w14:textFill>
        </w:rPr>
        <w:t>为</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项目</w:t>
      </w:r>
      <w:r>
        <w:rPr>
          <w:rFonts w:hint="eastAsia" w:ascii="仿宋" w:hAnsi="仿宋" w:eastAsia="仿宋" w:cs="仿宋"/>
          <w:color w:val="000000" w:themeColor="text1"/>
          <w:sz w:val="28"/>
          <w:szCs w:val="28"/>
          <w:highlight w:val="none"/>
          <w:lang w:bidi="ar"/>
          <w14:textFill>
            <w14:solidFill>
              <w14:schemeClr w14:val="tx1"/>
            </w14:solidFill>
          </w14:textFill>
        </w:rPr>
        <w:t>中</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 xml:space="preserve"> 采购包6</w:t>
      </w:r>
      <w:r>
        <w:rPr>
          <w:rFonts w:hint="eastAsia" w:ascii="仿宋" w:hAnsi="仿宋" w:eastAsia="仿宋" w:cs="仿宋"/>
          <w:color w:val="000000" w:themeColor="text1"/>
          <w:sz w:val="28"/>
          <w:szCs w:val="28"/>
          <w:highlight w:val="none"/>
          <w:u w:val="none"/>
          <w:lang w:val="en-US" w:eastAsia="zh-CN" w:bidi="ar"/>
          <w14:textFill>
            <w14:solidFill>
              <w14:schemeClr w14:val="tx1"/>
            </w14:solidFill>
          </w14:textFill>
        </w:rPr>
        <w:t>中</w:t>
      </w:r>
      <w:r>
        <w:rPr>
          <w:rFonts w:hint="eastAsia" w:ascii="仿宋" w:hAnsi="仿宋" w:eastAsia="仿宋" w:cs="仿宋"/>
          <w:color w:val="000000" w:themeColor="text1"/>
          <w:sz w:val="28"/>
          <w:szCs w:val="28"/>
          <w:highlight w:val="none"/>
          <w:lang w:bidi="ar"/>
          <w14:textFill>
            <w14:solidFill>
              <w14:schemeClr w14:val="tx1"/>
            </w14:solidFill>
          </w14:textFill>
        </w:rPr>
        <w:t>标人。现经甲乙双方友好协商，就以下事项达成一致并签订本合同：</w:t>
      </w:r>
    </w:p>
    <w:p w14:paraId="25527556">
      <w:pPr>
        <w:bidi w:val="0"/>
        <w:rPr>
          <w:color w:val="000000" w:themeColor="text1"/>
          <w:sz w:val="28"/>
          <w:szCs w:val="22"/>
          <w14:textFill>
            <w14:solidFill>
              <w14:schemeClr w14:val="tx1"/>
            </w14:solidFill>
          </w14:textFill>
        </w:rPr>
      </w:pPr>
      <w:r>
        <w:rPr>
          <w:rFonts w:hint="eastAsia"/>
          <w:color w:val="000000" w:themeColor="text1"/>
          <w:sz w:val="28"/>
          <w:szCs w:val="22"/>
          <w14:textFill>
            <w14:solidFill>
              <w14:schemeClr w14:val="tx1"/>
            </w14:solidFill>
          </w14:textFill>
        </w:rPr>
        <w:t>1下列合同文件是构成本合同不可分割的部分：</w:t>
      </w:r>
    </w:p>
    <w:p w14:paraId="04844301">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1.1合同条款；</w:t>
      </w:r>
    </w:p>
    <w:p w14:paraId="02BB3EE2">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1.2采购文件、乙方的响应文件；</w:t>
      </w:r>
    </w:p>
    <w:p w14:paraId="05007768">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 xml:space="preserve">1.3其他文件或材料：□有 </w:t>
      </w:r>
      <w:r>
        <w:rPr>
          <w:rFonts w:hint="eastAsia" w:ascii="仿宋" w:hAnsi="仿宋" w:eastAsia="仿宋" w:cs="仿宋"/>
          <w:color w:val="000000" w:themeColor="text1"/>
          <w:sz w:val="28"/>
          <w:szCs w:val="28"/>
          <w:highlight w:val="none"/>
          <w:lang w:eastAsia="zh-CN" w:bidi="ar"/>
          <w14:textFill>
            <w14:solidFill>
              <w14:schemeClr w14:val="tx1"/>
            </w14:solidFill>
          </w14:textFill>
        </w:rPr>
        <w:t>☑</w:t>
      </w:r>
      <w:r>
        <w:rPr>
          <w:rFonts w:hint="eastAsia" w:ascii="仿宋" w:hAnsi="仿宋" w:eastAsia="仿宋" w:cs="仿宋"/>
          <w:color w:val="000000" w:themeColor="text1"/>
          <w:sz w:val="28"/>
          <w:szCs w:val="28"/>
          <w:highlight w:val="none"/>
          <w:lang w:bidi="ar"/>
          <w14:textFill>
            <w14:solidFill>
              <w14:schemeClr w14:val="tx1"/>
            </w14:solidFill>
          </w14:textFill>
        </w:rPr>
        <w:t>无。</w:t>
      </w:r>
    </w:p>
    <w:p w14:paraId="6DB74D95">
      <w:pPr>
        <w:bidi w:val="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2服务内容</w:t>
      </w:r>
    </w:p>
    <w:p w14:paraId="7A2FFEDE">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eastAsia="zh-CN" w:bidi="ar"/>
          <w14:textFill>
            <w14:solidFill>
              <w14:schemeClr w14:val="tx1"/>
            </w14:solidFill>
          </w14:textFill>
        </w:rPr>
        <w:t>（</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1</w:t>
      </w:r>
      <w:r>
        <w:rPr>
          <w:rFonts w:hint="eastAsia" w:ascii="仿宋" w:hAnsi="仿宋" w:eastAsia="仿宋" w:cs="仿宋"/>
          <w:color w:val="000000" w:themeColor="text1"/>
          <w:sz w:val="28"/>
          <w:szCs w:val="28"/>
          <w:highlight w:val="none"/>
          <w:lang w:eastAsia="zh-CN" w:bidi="ar"/>
          <w14:textFill>
            <w14:solidFill>
              <w14:schemeClr w14:val="tx1"/>
            </w14:solidFill>
          </w14:textFill>
        </w:rPr>
        <w:t>）</w:t>
      </w:r>
      <w:r>
        <w:rPr>
          <w:rFonts w:hint="eastAsia" w:ascii="仿宋" w:hAnsi="仿宋" w:eastAsia="仿宋" w:cs="仿宋"/>
          <w:color w:val="000000" w:themeColor="text1"/>
          <w:sz w:val="28"/>
          <w:szCs w:val="28"/>
          <w:highlight w:val="none"/>
          <w:lang w:bidi="ar"/>
          <w14:textFill>
            <w14:solidFill>
              <w14:schemeClr w14:val="tx1"/>
            </w14:solidFill>
          </w14:textFill>
        </w:rPr>
        <w:t>乙方承担</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13</w:t>
      </w:r>
      <w:r>
        <w:rPr>
          <w:rFonts w:hint="eastAsia" w:ascii="仿宋" w:hAnsi="仿宋" w:eastAsia="仿宋" w:cs="仿宋"/>
          <w:color w:val="000000" w:themeColor="text1"/>
          <w:sz w:val="28"/>
          <w:szCs w:val="28"/>
          <w:highlight w:val="none"/>
          <w:lang w:bidi="ar"/>
          <w14:textFill>
            <w14:solidFill>
              <w14:schemeClr w14:val="tx1"/>
            </w14:solidFill>
          </w14:textFill>
        </w:rPr>
        <w:t>个</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现有</w:t>
      </w:r>
      <w:r>
        <w:rPr>
          <w:rFonts w:hint="eastAsia" w:ascii="仿宋" w:hAnsi="仿宋" w:eastAsia="仿宋" w:cs="仿宋"/>
          <w:color w:val="000000" w:themeColor="text1"/>
          <w:sz w:val="28"/>
          <w:szCs w:val="28"/>
          <w:highlight w:val="none"/>
          <w:lang w:bidi="ar"/>
          <w14:textFill>
            <w14:solidFill>
              <w14:schemeClr w14:val="tx1"/>
            </w14:solidFill>
          </w14:textFill>
        </w:rPr>
        <w:t>海南省省控环境空气质量监测自动站（以下简称“省控站”）运行维护工作，</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运维期内所负责运维的市县如有新增的省控站，将一并纳入服务范围，</w:t>
      </w:r>
      <w:r>
        <w:rPr>
          <w:rFonts w:hint="eastAsia" w:ascii="仿宋" w:hAnsi="仿宋" w:eastAsia="仿宋" w:cs="仿宋"/>
          <w:color w:val="000000" w:themeColor="text1"/>
          <w:sz w:val="28"/>
          <w:szCs w:val="28"/>
          <w:highlight w:val="none"/>
          <w:lang w:bidi="ar"/>
          <w14:textFill>
            <w14:solidFill>
              <w14:schemeClr w14:val="tx1"/>
            </w14:solidFill>
          </w14:textFill>
        </w:rPr>
        <w:t>运维期限为一年。省控站信息具体见下表：</w:t>
      </w:r>
    </w:p>
    <w:p w14:paraId="24FEA8F1">
      <w:pPr>
        <w:bidi w:val="0"/>
        <w:jc w:val="center"/>
        <w:rPr>
          <w:rFonts w:hint="eastAsia"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省控站信息表</w:t>
      </w:r>
    </w:p>
    <w:tbl>
      <w:tblPr>
        <w:tblStyle w:val="7"/>
        <w:tblW w:w="4392" w:type="pct"/>
        <w:tblInd w:w="52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04"/>
        <w:gridCol w:w="1676"/>
        <w:gridCol w:w="4706"/>
      </w:tblGrid>
      <w:tr w14:paraId="04C2B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blHeader/>
        </w:trPr>
        <w:tc>
          <w:tcPr>
            <w:tcW w:w="737" w:type="pct"/>
            <w:tcBorders>
              <w:top w:val="single" w:color="auto" w:sz="4" w:space="0"/>
              <w:left w:val="single" w:color="auto" w:sz="4" w:space="0"/>
              <w:bottom w:val="single" w:color="auto" w:sz="4" w:space="0"/>
              <w:right w:val="single" w:color="auto" w:sz="4" w:space="0"/>
            </w:tcBorders>
            <w:shd w:val="clear" w:color="auto" w:fill="auto"/>
            <w:vAlign w:val="center"/>
          </w:tcPr>
          <w:p w14:paraId="19E4B7D4">
            <w:pPr>
              <w:keepNext w:val="0"/>
              <w:keepLines w:val="0"/>
              <w:widowControl/>
              <w:suppressLineNumbers w:val="0"/>
              <w:jc w:val="center"/>
              <w:textAlignment w:val="center"/>
              <w:rPr>
                <w:rFonts w:hint="eastAsia" w:ascii="宋体" w:hAnsi="宋体" w:eastAsia="宋体" w:cs="宋体"/>
                <w:b/>
                <w:bCs/>
                <w:i w:val="0"/>
                <w:iCs w:val="0"/>
                <w:color w:val="000000" w:themeColor="text1"/>
                <w:sz w:val="22"/>
                <w:szCs w:val="22"/>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22"/>
                <w:szCs w:val="22"/>
                <w:highlight w:val="none"/>
                <w:u w:val="none"/>
                <w:lang w:val="en-US" w:eastAsia="zh-CN" w:bidi="ar"/>
                <w14:textFill>
                  <w14:solidFill>
                    <w14:schemeClr w14:val="tx1"/>
                  </w14:solidFill>
                </w14:textFill>
              </w:rPr>
              <w:t>序号</w:t>
            </w:r>
          </w:p>
        </w:tc>
        <w:tc>
          <w:tcPr>
            <w:tcW w:w="1119" w:type="pct"/>
            <w:tcBorders>
              <w:top w:val="single" w:color="auto" w:sz="4" w:space="0"/>
              <w:left w:val="single" w:color="auto" w:sz="4" w:space="0"/>
              <w:bottom w:val="single" w:color="auto" w:sz="4" w:space="0"/>
              <w:right w:val="single" w:color="auto" w:sz="4" w:space="0"/>
            </w:tcBorders>
            <w:shd w:val="clear" w:color="auto" w:fill="auto"/>
            <w:vAlign w:val="center"/>
          </w:tcPr>
          <w:p w14:paraId="2C7182FC">
            <w:pPr>
              <w:keepNext w:val="0"/>
              <w:keepLines w:val="0"/>
              <w:widowControl/>
              <w:suppressLineNumbers w:val="0"/>
              <w:jc w:val="center"/>
              <w:textAlignment w:val="center"/>
              <w:rPr>
                <w:rFonts w:hint="eastAsia" w:ascii="宋体" w:hAnsi="宋体" w:eastAsia="宋体" w:cs="宋体"/>
                <w:b/>
                <w:bCs/>
                <w:i w:val="0"/>
                <w:iCs w:val="0"/>
                <w:color w:val="000000" w:themeColor="text1"/>
                <w:sz w:val="22"/>
                <w:szCs w:val="22"/>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22"/>
                <w:szCs w:val="22"/>
                <w:highlight w:val="none"/>
                <w:u w:val="none"/>
                <w:lang w:val="en-US" w:eastAsia="zh-CN" w:bidi="ar"/>
                <w14:textFill>
                  <w14:solidFill>
                    <w14:schemeClr w14:val="tx1"/>
                  </w14:solidFill>
                </w14:textFill>
              </w:rPr>
              <w:t>所在市县</w:t>
            </w:r>
          </w:p>
        </w:tc>
        <w:tc>
          <w:tcPr>
            <w:tcW w:w="3142" w:type="pct"/>
            <w:tcBorders>
              <w:top w:val="single" w:color="auto" w:sz="4" w:space="0"/>
              <w:left w:val="single" w:color="auto" w:sz="4" w:space="0"/>
              <w:bottom w:val="single" w:color="auto" w:sz="4" w:space="0"/>
              <w:right w:val="single" w:color="auto" w:sz="4" w:space="0"/>
            </w:tcBorders>
            <w:shd w:val="clear" w:color="auto" w:fill="auto"/>
            <w:vAlign w:val="center"/>
          </w:tcPr>
          <w:p w14:paraId="63971709">
            <w:pPr>
              <w:keepNext w:val="0"/>
              <w:keepLines w:val="0"/>
              <w:widowControl/>
              <w:suppressLineNumbers w:val="0"/>
              <w:ind w:firstLineChars="0"/>
              <w:jc w:val="center"/>
              <w:textAlignment w:val="center"/>
              <w:rPr>
                <w:rFonts w:hint="eastAsia" w:ascii="宋体" w:hAnsi="宋体" w:eastAsia="宋体" w:cs="宋体"/>
                <w:b/>
                <w:bCs/>
                <w:i w:val="0"/>
                <w:iCs w:val="0"/>
                <w:color w:val="000000" w:themeColor="text1"/>
                <w:sz w:val="22"/>
                <w:szCs w:val="22"/>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22"/>
                <w:szCs w:val="22"/>
                <w:highlight w:val="none"/>
                <w:u w:val="none"/>
                <w:lang w:val="en-US" w:eastAsia="zh-CN" w:bidi="ar"/>
                <w14:textFill>
                  <w14:solidFill>
                    <w14:schemeClr w14:val="tx1"/>
                  </w14:solidFill>
                </w14:textFill>
              </w:rPr>
              <w:t>省控站名称</w:t>
            </w:r>
          </w:p>
        </w:tc>
      </w:tr>
      <w:tr w14:paraId="4D1DB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37" w:type="pct"/>
            <w:tcBorders>
              <w:top w:val="single" w:color="auto" w:sz="4" w:space="0"/>
              <w:left w:val="single" w:color="auto" w:sz="4" w:space="0"/>
              <w:bottom w:val="single" w:color="auto" w:sz="4" w:space="0"/>
              <w:right w:val="single" w:color="auto" w:sz="4" w:space="0"/>
            </w:tcBorders>
            <w:shd w:val="clear" w:color="auto" w:fill="auto"/>
            <w:vAlign w:val="center"/>
          </w:tcPr>
          <w:p w14:paraId="0A17DF93">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1</w:t>
            </w:r>
          </w:p>
        </w:tc>
        <w:tc>
          <w:tcPr>
            <w:tcW w:w="1119" w:type="pct"/>
            <w:tcBorders>
              <w:top w:val="single" w:color="auto" w:sz="4" w:space="0"/>
              <w:left w:val="single" w:color="auto" w:sz="4" w:space="0"/>
              <w:bottom w:val="single" w:color="auto" w:sz="4" w:space="0"/>
              <w:right w:val="single" w:color="auto" w:sz="4" w:space="0"/>
            </w:tcBorders>
            <w:shd w:val="clear" w:color="auto" w:fill="auto"/>
            <w:vAlign w:val="center"/>
          </w:tcPr>
          <w:p w14:paraId="601EED2A">
            <w:pPr>
              <w:keepNext w:val="0"/>
              <w:keepLines w:val="0"/>
              <w:widowControl/>
              <w:suppressLineNumbers w:val="0"/>
              <w:jc w:val="center"/>
              <w:textAlignment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highlight w:val="none"/>
                <w:u w:val="none"/>
                <w:lang w:val="en-US" w:eastAsia="zh-CN" w:bidi="ar"/>
                <w14:textFill>
                  <w14:solidFill>
                    <w14:schemeClr w14:val="tx1"/>
                  </w14:solidFill>
                </w14:textFill>
              </w:rPr>
              <w:t>屯昌</w:t>
            </w:r>
          </w:p>
        </w:tc>
        <w:tc>
          <w:tcPr>
            <w:tcW w:w="3142" w:type="pct"/>
            <w:tcBorders>
              <w:top w:val="single" w:color="auto" w:sz="4" w:space="0"/>
              <w:left w:val="single" w:color="auto" w:sz="4" w:space="0"/>
              <w:bottom w:val="single" w:color="auto" w:sz="4" w:space="0"/>
              <w:right w:val="single" w:color="auto" w:sz="4" w:space="0"/>
            </w:tcBorders>
            <w:shd w:val="clear" w:color="auto" w:fill="auto"/>
            <w:vAlign w:val="center"/>
          </w:tcPr>
          <w:p w14:paraId="6E6A9ECA">
            <w:pPr>
              <w:keepNext w:val="0"/>
              <w:keepLines w:val="0"/>
              <w:widowControl/>
              <w:suppressLineNumbers w:val="0"/>
              <w:jc w:val="center"/>
              <w:textAlignment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highlight w:val="none"/>
                <w:u w:val="none"/>
                <w:lang w:val="en-US" w:eastAsia="zh-CN" w:bidi="ar"/>
                <w14:textFill>
                  <w14:solidFill>
                    <w14:schemeClr w14:val="tx1"/>
                  </w14:solidFill>
                </w14:textFill>
              </w:rPr>
              <w:t>红旗中学站</w:t>
            </w:r>
          </w:p>
        </w:tc>
      </w:tr>
      <w:tr w14:paraId="3490F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37" w:type="pct"/>
            <w:tcBorders>
              <w:top w:val="single" w:color="auto" w:sz="4" w:space="0"/>
              <w:left w:val="single" w:color="auto" w:sz="4" w:space="0"/>
              <w:bottom w:val="single" w:color="auto" w:sz="4" w:space="0"/>
              <w:right w:val="single" w:color="auto" w:sz="4" w:space="0"/>
            </w:tcBorders>
            <w:shd w:val="clear" w:color="auto" w:fill="auto"/>
            <w:vAlign w:val="center"/>
          </w:tcPr>
          <w:p w14:paraId="31A6A859">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2</w:t>
            </w:r>
          </w:p>
        </w:tc>
        <w:tc>
          <w:tcPr>
            <w:tcW w:w="111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C11556">
            <w:pPr>
              <w:keepNext w:val="0"/>
              <w:keepLines w:val="0"/>
              <w:widowControl/>
              <w:suppressLineNumbers w:val="0"/>
              <w:jc w:val="center"/>
              <w:textAlignment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highlight w:val="none"/>
                <w:u w:val="none"/>
                <w:lang w:val="en-US" w:eastAsia="zh-CN" w:bidi="ar"/>
                <w14:textFill>
                  <w14:solidFill>
                    <w14:schemeClr w14:val="tx1"/>
                  </w14:solidFill>
                </w14:textFill>
              </w:rPr>
              <w:t>五指山</w:t>
            </w:r>
          </w:p>
        </w:tc>
        <w:tc>
          <w:tcPr>
            <w:tcW w:w="3142" w:type="pct"/>
            <w:tcBorders>
              <w:top w:val="single" w:color="auto" w:sz="4" w:space="0"/>
              <w:left w:val="single" w:color="auto" w:sz="4" w:space="0"/>
              <w:bottom w:val="single" w:color="auto" w:sz="4" w:space="0"/>
              <w:right w:val="single" w:color="auto" w:sz="4" w:space="0"/>
            </w:tcBorders>
            <w:shd w:val="clear" w:color="auto" w:fill="auto"/>
            <w:vAlign w:val="center"/>
          </w:tcPr>
          <w:p w14:paraId="2976F87C">
            <w:pPr>
              <w:keepNext w:val="0"/>
              <w:keepLines w:val="0"/>
              <w:widowControl/>
              <w:suppressLineNumbers w:val="0"/>
              <w:jc w:val="center"/>
              <w:textAlignment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highlight w:val="none"/>
                <w:u w:val="none"/>
                <w:lang w:val="en-US" w:eastAsia="zh-CN" w:bidi="ar"/>
                <w14:textFill>
                  <w14:solidFill>
                    <w14:schemeClr w14:val="tx1"/>
                  </w14:solidFill>
                </w14:textFill>
              </w:rPr>
              <w:t>林科所站</w:t>
            </w:r>
          </w:p>
        </w:tc>
      </w:tr>
      <w:tr w14:paraId="3D347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37" w:type="pct"/>
            <w:tcBorders>
              <w:top w:val="single" w:color="auto" w:sz="4" w:space="0"/>
              <w:left w:val="single" w:color="auto" w:sz="4" w:space="0"/>
              <w:bottom w:val="single" w:color="auto" w:sz="4" w:space="0"/>
              <w:right w:val="single" w:color="auto" w:sz="4" w:space="0"/>
            </w:tcBorders>
            <w:shd w:val="clear" w:color="auto" w:fill="auto"/>
            <w:vAlign w:val="center"/>
          </w:tcPr>
          <w:p w14:paraId="5C06154E">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3</w:t>
            </w:r>
          </w:p>
        </w:tc>
        <w:tc>
          <w:tcPr>
            <w:tcW w:w="111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85241EE">
            <w:pPr>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p>
        </w:tc>
        <w:tc>
          <w:tcPr>
            <w:tcW w:w="3142" w:type="pct"/>
            <w:tcBorders>
              <w:top w:val="single" w:color="auto" w:sz="4" w:space="0"/>
              <w:left w:val="single" w:color="auto" w:sz="4" w:space="0"/>
              <w:bottom w:val="single" w:color="auto" w:sz="4" w:space="0"/>
              <w:right w:val="single" w:color="auto" w:sz="4" w:space="0"/>
            </w:tcBorders>
            <w:shd w:val="clear" w:color="auto" w:fill="auto"/>
            <w:vAlign w:val="center"/>
          </w:tcPr>
          <w:p w14:paraId="679B785E">
            <w:pPr>
              <w:keepNext w:val="0"/>
              <w:keepLines w:val="0"/>
              <w:widowControl/>
              <w:suppressLineNumbers w:val="0"/>
              <w:jc w:val="center"/>
              <w:textAlignment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highlight w:val="none"/>
                <w:u w:val="none"/>
                <w:lang w:val="en-US" w:eastAsia="zh-CN" w:bidi="ar"/>
                <w14:textFill>
                  <w14:solidFill>
                    <w14:schemeClr w14:val="tx1"/>
                  </w14:solidFill>
                </w14:textFill>
              </w:rPr>
              <w:t>五指山中学站</w:t>
            </w:r>
          </w:p>
        </w:tc>
      </w:tr>
      <w:tr w14:paraId="4E55D2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37" w:type="pct"/>
            <w:tcBorders>
              <w:top w:val="single" w:color="auto" w:sz="4" w:space="0"/>
              <w:left w:val="single" w:color="auto" w:sz="4" w:space="0"/>
              <w:bottom w:val="single" w:color="auto" w:sz="4" w:space="0"/>
              <w:right w:val="single" w:color="auto" w:sz="4" w:space="0"/>
            </w:tcBorders>
            <w:shd w:val="clear" w:color="auto" w:fill="auto"/>
            <w:vAlign w:val="center"/>
          </w:tcPr>
          <w:p w14:paraId="55DB017B">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4</w:t>
            </w:r>
          </w:p>
        </w:tc>
        <w:tc>
          <w:tcPr>
            <w:tcW w:w="111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12BF60">
            <w:pPr>
              <w:keepNext w:val="0"/>
              <w:keepLines w:val="0"/>
              <w:widowControl/>
              <w:suppressLineNumbers w:val="0"/>
              <w:jc w:val="center"/>
              <w:textAlignment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highlight w:val="none"/>
                <w:u w:val="none"/>
                <w:lang w:val="en-US" w:eastAsia="zh-CN" w:bidi="ar"/>
                <w14:textFill>
                  <w14:solidFill>
                    <w14:schemeClr w14:val="tx1"/>
                  </w14:solidFill>
                </w14:textFill>
              </w:rPr>
              <w:t>定安</w:t>
            </w:r>
          </w:p>
        </w:tc>
        <w:tc>
          <w:tcPr>
            <w:tcW w:w="3142" w:type="pct"/>
            <w:tcBorders>
              <w:top w:val="single" w:color="auto" w:sz="4" w:space="0"/>
              <w:left w:val="single" w:color="auto" w:sz="4" w:space="0"/>
              <w:bottom w:val="single" w:color="auto" w:sz="4" w:space="0"/>
              <w:right w:val="single" w:color="auto" w:sz="4" w:space="0"/>
            </w:tcBorders>
            <w:shd w:val="clear" w:color="auto" w:fill="auto"/>
            <w:vAlign w:val="center"/>
          </w:tcPr>
          <w:p w14:paraId="63E8CF87">
            <w:pPr>
              <w:keepNext w:val="0"/>
              <w:keepLines w:val="0"/>
              <w:widowControl/>
              <w:suppressLineNumbers w:val="0"/>
              <w:jc w:val="center"/>
              <w:textAlignment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highlight w:val="none"/>
                <w:u w:val="none"/>
                <w:lang w:val="en-US" w:eastAsia="zh-CN" w:bidi="ar"/>
                <w14:textFill>
                  <w14:solidFill>
                    <w14:schemeClr w14:val="tx1"/>
                  </w14:solidFill>
                </w14:textFill>
              </w:rPr>
              <w:t>定城镇中心小学站</w:t>
            </w:r>
          </w:p>
        </w:tc>
      </w:tr>
      <w:tr w14:paraId="25B57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37" w:type="pct"/>
            <w:tcBorders>
              <w:top w:val="single" w:color="auto" w:sz="4" w:space="0"/>
              <w:left w:val="single" w:color="auto" w:sz="4" w:space="0"/>
              <w:bottom w:val="single" w:color="auto" w:sz="4" w:space="0"/>
              <w:right w:val="single" w:color="auto" w:sz="4" w:space="0"/>
            </w:tcBorders>
            <w:shd w:val="clear" w:color="auto" w:fill="auto"/>
            <w:vAlign w:val="center"/>
          </w:tcPr>
          <w:p w14:paraId="3E574400">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5</w:t>
            </w:r>
          </w:p>
        </w:tc>
        <w:tc>
          <w:tcPr>
            <w:tcW w:w="111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A7C9611">
            <w:pPr>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p>
        </w:tc>
        <w:tc>
          <w:tcPr>
            <w:tcW w:w="3142" w:type="pct"/>
            <w:tcBorders>
              <w:top w:val="single" w:color="auto" w:sz="4" w:space="0"/>
              <w:left w:val="single" w:color="auto" w:sz="4" w:space="0"/>
              <w:bottom w:val="single" w:color="auto" w:sz="4" w:space="0"/>
              <w:right w:val="single" w:color="auto" w:sz="4" w:space="0"/>
            </w:tcBorders>
            <w:shd w:val="clear" w:color="auto" w:fill="auto"/>
            <w:vAlign w:val="center"/>
          </w:tcPr>
          <w:p w14:paraId="42966156">
            <w:pPr>
              <w:keepNext w:val="0"/>
              <w:keepLines w:val="0"/>
              <w:widowControl/>
              <w:suppressLineNumbers w:val="0"/>
              <w:jc w:val="center"/>
              <w:textAlignment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highlight w:val="none"/>
                <w:u w:val="none"/>
                <w:lang w:val="en-US" w:eastAsia="zh-CN" w:bidi="ar"/>
                <w14:textFill>
                  <w14:solidFill>
                    <w14:schemeClr w14:val="tx1"/>
                  </w14:solidFill>
                </w14:textFill>
              </w:rPr>
              <w:t>县自来水公司站（无站房无设备）</w:t>
            </w:r>
          </w:p>
        </w:tc>
      </w:tr>
      <w:tr w14:paraId="0F169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37" w:type="pct"/>
            <w:tcBorders>
              <w:top w:val="single" w:color="auto" w:sz="4" w:space="0"/>
              <w:left w:val="single" w:color="auto" w:sz="4" w:space="0"/>
              <w:bottom w:val="single" w:color="auto" w:sz="4" w:space="0"/>
              <w:right w:val="single" w:color="auto" w:sz="4" w:space="0"/>
            </w:tcBorders>
            <w:shd w:val="clear" w:color="auto" w:fill="auto"/>
            <w:vAlign w:val="center"/>
          </w:tcPr>
          <w:p w14:paraId="3365C80A">
            <w:pPr>
              <w:snapToGrid w:val="0"/>
              <w:spacing w:line="300" w:lineRule="auto"/>
              <w:jc w:val="cente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6</w:t>
            </w:r>
          </w:p>
        </w:tc>
        <w:tc>
          <w:tcPr>
            <w:tcW w:w="111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D54E39">
            <w:pPr>
              <w:keepNext w:val="0"/>
              <w:keepLines w:val="0"/>
              <w:widowControl/>
              <w:suppressLineNumbers w:val="0"/>
              <w:jc w:val="center"/>
              <w:textAlignment w:val="cente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highlight w:val="none"/>
                <w:u w:val="none"/>
                <w:lang w:val="en-US" w:eastAsia="zh-CN" w:bidi="ar"/>
                <w14:textFill>
                  <w14:solidFill>
                    <w14:schemeClr w14:val="tx1"/>
                  </w14:solidFill>
                </w14:textFill>
              </w:rPr>
              <w:t>琼海</w:t>
            </w:r>
          </w:p>
        </w:tc>
        <w:tc>
          <w:tcPr>
            <w:tcW w:w="3142" w:type="pct"/>
            <w:tcBorders>
              <w:top w:val="single" w:color="auto" w:sz="4" w:space="0"/>
              <w:left w:val="single" w:color="auto" w:sz="4" w:space="0"/>
              <w:bottom w:val="single" w:color="auto" w:sz="4" w:space="0"/>
              <w:right w:val="single" w:color="auto" w:sz="4" w:space="0"/>
            </w:tcBorders>
            <w:shd w:val="clear" w:color="auto" w:fill="auto"/>
            <w:vAlign w:val="center"/>
          </w:tcPr>
          <w:p w14:paraId="498E9BDA">
            <w:pPr>
              <w:keepNext w:val="0"/>
              <w:keepLines w:val="0"/>
              <w:widowControl/>
              <w:suppressLineNumbers w:val="0"/>
              <w:jc w:val="center"/>
              <w:textAlignment w:val="cente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highlight w:val="none"/>
                <w:u w:val="none"/>
                <w:lang w:val="en-US" w:eastAsia="zh-CN" w:bidi="ar"/>
                <w14:textFill>
                  <w14:solidFill>
                    <w14:schemeClr w14:val="tx1"/>
                  </w14:solidFill>
                </w14:textFill>
              </w:rPr>
              <w:t>市人民医院</w:t>
            </w:r>
          </w:p>
        </w:tc>
      </w:tr>
      <w:tr w14:paraId="69EEA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37" w:type="pct"/>
            <w:tcBorders>
              <w:top w:val="single" w:color="auto" w:sz="4" w:space="0"/>
              <w:left w:val="single" w:color="auto" w:sz="4" w:space="0"/>
              <w:bottom w:val="single" w:color="auto" w:sz="4" w:space="0"/>
              <w:right w:val="single" w:color="auto" w:sz="4" w:space="0"/>
            </w:tcBorders>
            <w:shd w:val="clear" w:color="auto" w:fill="auto"/>
            <w:vAlign w:val="center"/>
          </w:tcPr>
          <w:p w14:paraId="1CB961D8">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7</w:t>
            </w:r>
          </w:p>
        </w:tc>
        <w:tc>
          <w:tcPr>
            <w:tcW w:w="111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02F53E9">
            <w:pPr>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p>
        </w:tc>
        <w:tc>
          <w:tcPr>
            <w:tcW w:w="3142" w:type="pct"/>
            <w:tcBorders>
              <w:top w:val="single" w:color="auto" w:sz="4" w:space="0"/>
              <w:left w:val="single" w:color="auto" w:sz="4" w:space="0"/>
              <w:bottom w:val="single" w:color="auto" w:sz="4" w:space="0"/>
              <w:right w:val="single" w:color="auto" w:sz="4" w:space="0"/>
            </w:tcBorders>
            <w:shd w:val="clear" w:color="auto" w:fill="auto"/>
            <w:vAlign w:val="center"/>
          </w:tcPr>
          <w:p w14:paraId="27B23AAA">
            <w:pPr>
              <w:keepNext w:val="0"/>
              <w:keepLines w:val="0"/>
              <w:widowControl/>
              <w:suppressLineNumbers w:val="0"/>
              <w:jc w:val="center"/>
              <w:textAlignment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highlight w:val="none"/>
                <w:u w:val="none"/>
                <w:lang w:val="en-US" w:eastAsia="zh-CN" w:bidi="ar"/>
                <w14:textFill>
                  <w14:solidFill>
                    <w14:schemeClr w14:val="tx1"/>
                  </w14:solidFill>
                </w14:textFill>
              </w:rPr>
              <w:t>海桂学校站</w:t>
            </w:r>
          </w:p>
        </w:tc>
      </w:tr>
      <w:tr w14:paraId="5FD4F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37" w:type="pct"/>
            <w:tcBorders>
              <w:top w:val="single" w:color="auto" w:sz="4" w:space="0"/>
              <w:left w:val="single" w:color="auto" w:sz="4" w:space="0"/>
              <w:bottom w:val="single" w:color="auto" w:sz="4" w:space="0"/>
              <w:right w:val="single" w:color="auto" w:sz="4" w:space="0"/>
            </w:tcBorders>
            <w:shd w:val="clear" w:color="auto" w:fill="auto"/>
            <w:vAlign w:val="center"/>
          </w:tcPr>
          <w:p w14:paraId="24442E4E">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8</w:t>
            </w:r>
          </w:p>
        </w:tc>
        <w:tc>
          <w:tcPr>
            <w:tcW w:w="111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6087753">
            <w:pPr>
              <w:keepNext w:val="0"/>
              <w:keepLines w:val="0"/>
              <w:widowControl/>
              <w:suppressLineNumbers w:val="0"/>
              <w:jc w:val="center"/>
              <w:textAlignment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highlight w:val="none"/>
                <w:u w:val="none"/>
                <w:lang w:val="en-US" w:eastAsia="zh-CN" w:bidi="ar"/>
                <w14:textFill>
                  <w14:solidFill>
                    <w14:schemeClr w14:val="tx1"/>
                  </w14:solidFill>
                </w14:textFill>
              </w:rPr>
              <w:t>万宁</w:t>
            </w:r>
          </w:p>
        </w:tc>
        <w:tc>
          <w:tcPr>
            <w:tcW w:w="3142" w:type="pct"/>
            <w:tcBorders>
              <w:top w:val="single" w:color="auto" w:sz="4" w:space="0"/>
              <w:left w:val="single" w:color="auto" w:sz="4" w:space="0"/>
              <w:bottom w:val="single" w:color="auto" w:sz="4" w:space="0"/>
              <w:right w:val="single" w:color="auto" w:sz="4" w:space="0"/>
            </w:tcBorders>
            <w:shd w:val="clear" w:color="auto" w:fill="auto"/>
            <w:vAlign w:val="center"/>
          </w:tcPr>
          <w:p w14:paraId="2F62C3F2">
            <w:pPr>
              <w:keepNext w:val="0"/>
              <w:keepLines w:val="0"/>
              <w:widowControl/>
              <w:suppressLineNumbers w:val="0"/>
              <w:jc w:val="center"/>
              <w:textAlignment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highlight w:val="none"/>
                <w:u w:val="none"/>
                <w:lang w:val="en-US" w:eastAsia="zh-CN" w:bidi="ar"/>
                <w14:textFill>
                  <w14:solidFill>
                    <w14:schemeClr w14:val="tx1"/>
                  </w14:solidFill>
                </w14:textFill>
              </w:rPr>
              <w:t>北师大万宁附中站</w:t>
            </w:r>
          </w:p>
        </w:tc>
      </w:tr>
      <w:tr w14:paraId="3DE9F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37" w:type="pct"/>
            <w:tcBorders>
              <w:top w:val="single" w:color="auto" w:sz="4" w:space="0"/>
              <w:left w:val="single" w:color="auto" w:sz="4" w:space="0"/>
              <w:bottom w:val="single" w:color="auto" w:sz="4" w:space="0"/>
              <w:right w:val="single" w:color="auto" w:sz="4" w:space="0"/>
            </w:tcBorders>
            <w:shd w:val="clear" w:color="auto" w:fill="auto"/>
            <w:vAlign w:val="center"/>
          </w:tcPr>
          <w:p w14:paraId="59F9E741">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9</w:t>
            </w:r>
          </w:p>
        </w:tc>
        <w:tc>
          <w:tcPr>
            <w:tcW w:w="111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441CE2">
            <w:pPr>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p>
        </w:tc>
        <w:tc>
          <w:tcPr>
            <w:tcW w:w="3142" w:type="pct"/>
            <w:tcBorders>
              <w:top w:val="single" w:color="auto" w:sz="4" w:space="0"/>
              <w:left w:val="single" w:color="auto" w:sz="4" w:space="0"/>
              <w:bottom w:val="single" w:color="auto" w:sz="4" w:space="0"/>
              <w:right w:val="single" w:color="auto" w:sz="4" w:space="0"/>
            </w:tcBorders>
            <w:shd w:val="clear" w:color="auto" w:fill="auto"/>
            <w:vAlign w:val="center"/>
          </w:tcPr>
          <w:p w14:paraId="6B25E1CF">
            <w:pPr>
              <w:keepNext w:val="0"/>
              <w:keepLines w:val="0"/>
              <w:widowControl/>
              <w:suppressLineNumbers w:val="0"/>
              <w:jc w:val="center"/>
              <w:textAlignment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highlight w:val="none"/>
                <w:u w:val="none"/>
                <w:lang w:val="en-US" w:eastAsia="zh-CN" w:bidi="ar"/>
                <w14:textFill>
                  <w14:solidFill>
                    <w14:schemeClr w14:val="tx1"/>
                  </w14:solidFill>
                </w14:textFill>
              </w:rPr>
              <w:t>万宁中学站</w:t>
            </w:r>
          </w:p>
        </w:tc>
      </w:tr>
      <w:tr w14:paraId="6D219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37" w:type="pct"/>
            <w:tcBorders>
              <w:top w:val="single" w:color="auto" w:sz="4" w:space="0"/>
              <w:left w:val="single" w:color="auto" w:sz="4" w:space="0"/>
              <w:bottom w:val="single" w:color="auto" w:sz="4" w:space="0"/>
              <w:right w:val="single" w:color="auto" w:sz="4" w:space="0"/>
            </w:tcBorders>
            <w:shd w:val="clear" w:color="auto" w:fill="auto"/>
            <w:vAlign w:val="center"/>
          </w:tcPr>
          <w:p w14:paraId="1AA81E71">
            <w:pPr>
              <w:snapToGrid w:val="0"/>
              <w:spacing w:line="300" w:lineRule="auto"/>
              <w:jc w:val="center"/>
              <w:rPr>
                <w:rFonts w:hint="default" w:ascii="Times New Roman" w:hAnsi="Times New Roman" w:eastAsia="宋体" w:cs="Times New Roman"/>
                <w:color w:val="000000" w:themeColor="text1"/>
                <w:sz w:val="21"/>
                <w:szCs w:val="21"/>
                <w:highlight w:val="none"/>
                <w:lang w:val="en-US"/>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10</w:t>
            </w:r>
          </w:p>
        </w:tc>
        <w:tc>
          <w:tcPr>
            <w:tcW w:w="111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26EEFB">
            <w:pPr>
              <w:keepNext w:val="0"/>
              <w:keepLines w:val="0"/>
              <w:widowControl/>
              <w:suppressLineNumbers w:val="0"/>
              <w:jc w:val="center"/>
              <w:textAlignment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highlight w:val="none"/>
                <w:u w:val="none"/>
                <w:lang w:val="en-US" w:eastAsia="zh-CN" w:bidi="ar"/>
                <w14:textFill>
                  <w14:solidFill>
                    <w14:schemeClr w14:val="tx1"/>
                  </w14:solidFill>
                </w14:textFill>
              </w:rPr>
              <w:t>陵水</w:t>
            </w:r>
          </w:p>
        </w:tc>
        <w:tc>
          <w:tcPr>
            <w:tcW w:w="3142" w:type="pct"/>
            <w:tcBorders>
              <w:top w:val="single" w:color="auto" w:sz="4" w:space="0"/>
              <w:left w:val="single" w:color="auto" w:sz="4" w:space="0"/>
              <w:bottom w:val="single" w:color="auto" w:sz="4" w:space="0"/>
              <w:right w:val="single" w:color="auto" w:sz="4" w:space="0"/>
            </w:tcBorders>
            <w:shd w:val="clear" w:color="auto" w:fill="auto"/>
            <w:vAlign w:val="center"/>
          </w:tcPr>
          <w:p w14:paraId="65C21C26">
            <w:pPr>
              <w:keepNext w:val="0"/>
              <w:keepLines w:val="0"/>
              <w:widowControl/>
              <w:suppressLineNumbers w:val="0"/>
              <w:jc w:val="center"/>
              <w:textAlignment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highlight w:val="none"/>
                <w:u w:val="none"/>
                <w:lang w:val="en-US" w:eastAsia="zh-CN" w:bidi="ar"/>
                <w14:textFill>
                  <w14:solidFill>
                    <w14:schemeClr w14:val="tx1"/>
                  </w14:solidFill>
                </w14:textFill>
              </w:rPr>
              <w:t>中山小学站</w:t>
            </w:r>
          </w:p>
        </w:tc>
      </w:tr>
      <w:tr w14:paraId="2BCCF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37" w:type="pct"/>
            <w:tcBorders>
              <w:top w:val="single" w:color="auto" w:sz="4" w:space="0"/>
              <w:left w:val="single" w:color="auto" w:sz="4" w:space="0"/>
              <w:bottom w:val="single" w:color="auto" w:sz="4" w:space="0"/>
              <w:right w:val="single" w:color="auto" w:sz="4" w:space="0"/>
            </w:tcBorders>
            <w:shd w:val="clear" w:color="auto" w:fill="auto"/>
            <w:vAlign w:val="center"/>
          </w:tcPr>
          <w:p w14:paraId="3848A573">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11</w:t>
            </w:r>
          </w:p>
        </w:tc>
        <w:tc>
          <w:tcPr>
            <w:tcW w:w="111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B5B415">
            <w:pPr>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p>
        </w:tc>
        <w:tc>
          <w:tcPr>
            <w:tcW w:w="3142" w:type="pct"/>
            <w:tcBorders>
              <w:top w:val="single" w:color="auto" w:sz="4" w:space="0"/>
              <w:left w:val="single" w:color="auto" w:sz="4" w:space="0"/>
              <w:bottom w:val="single" w:color="auto" w:sz="4" w:space="0"/>
              <w:right w:val="single" w:color="auto" w:sz="4" w:space="0"/>
            </w:tcBorders>
            <w:shd w:val="clear" w:color="auto" w:fill="auto"/>
            <w:vAlign w:val="center"/>
          </w:tcPr>
          <w:p w14:paraId="3A20E8AA">
            <w:pPr>
              <w:keepNext w:val="0"/>
              <w:keepLines w:val="0"/>
              <w:widowControl/>
              <w:suppressLineNumbers w:val="0"/>
              <w:jc w:val="center"/>
              <w:textAlignment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highlight w:val="none"/>
                <w:u w:val="none"/>
                <w:lang w:val="en-US" w:eastAsia="zh-CN" w:bidi="ar"/>
                <w14:textFill>
                  <w14:solidFill>
                    <w14:schemeClr w14:val="tx1"/>
                  </w14:solidFill>
                </w14:textFill>
              </w:rPr>
              <w:t>廉政公园站</w:t>
            </w:r>
          </w:p>
        </w:tc>
      </w:tr>
      <w:tr w14:paraId="49CD1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37" w:type="pct"/>
            <w:tcBorders>
              <w:top w:val="single" w:color="auto" w:sz="4" w:space="0"/>
              <w:left w:val="single" w:color="auto" w:sz="4" w:space="0"/>
              <w:bottom w:val="single" w:color="auto" w:sz="4" w:space="0"/>
              <w:right w:val="single" w:color="auto" w:sz="4" w:space="0"/>
            </w:tcBorders>
            <w:shd w:val="clear" w:color="auto" w:fill="auto"/>
            <w:vAlign w:val="center"/>
          </w:tcPr>
          <w:p w14:paraId="34E9D033">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12</w:t>
            </w:r>
          </w:p>
        </w:tc>
        <w:tc>
          <w:tcPr>
            <w:tcW w:w="111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5F8029">
            <w:pPr>
              <w:keepNext w:val="0"/>
              <w:keepLines w:val="0"/>
              <w:widowControl/>
              <w:suppressLineNumbers w:val="0"/>
              <w:jc w:val="center"/>
              <w:textAlignment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highlight w:val="none"/>
                <w:u w:val="none"/>
                <w:lang w:val="en-US" w:eastAsia="zh-CN" w:bidi="ar"/>
                <w14:textFill>
                  <w14:solidFill>
                    <w14:schemeClr w14:val="tx1"/>
                  </w14:solidFill>
                </w14:textFill>
              </w:rPr>
              <w:t>保亭</w:t>
            </w:r>
          </w:p>
        </w:tc>
        <w:tc>
          <w:tcPr>
            <w:tcW w:w="3142" w:type="pct"/>
            <w:tcBorders>
              <w:top w:val="single" w:color="auto" w:sz="4" w:space="0"/>
              <w:left w:val="single" w:color="auto" w:sz="4" w:space="0"/>
              <w:bottom w:val="single" w:color="auto" w:sz="4" w:space="0"/>
              <w:right w:val="single" w:color="auto" w:sz="4" w:space="0"/>
            </w:tcBorders>
            <w:shd w:val="clear" w:color="auto" w:fill="auto"/>
            <w:vAlign w:val="center"/>
          </w:tcPr>
          <w:p w14:paraId="6C6A041B">
            <w:pPr>
              <w:keepNext w:val="0"/>
              <w:keepLines w:val="0"/>
              <w:widowControl/>
              <w:suppressLineNumbers w:val="0"/>
              <w:jc w:val="center"/>
              <w:textAlignment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highlight w:val="none"/>
                <w:u w:val="none"/>
                <w:lang w:val="en-US" w:eastAsia="zh-CN" w:bidi="ar"/>
                <w14:textFill>
                  <w14:solidFill>
                    <w14:schemeClr w14:val="tx1"/>
                  </w14:solidFill>
                </w14:textFill>
              </w:rPr>
              <w:t>保亭中学站</w:t>
            </w:r>
          </w:p>
        </w:tc>
      </w:tr>
      <w:tr w14:paraId="483C0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37" w:type="pct"/>
            <w:tcBorders>
              <w:top w:val="single" w:color="auto" w:sz="4" w:space="0"/>
              <w:left w:val="single" w:color="auto" w:sz="4" w:space="0"/>
              <w:bottom w:val="single" w:color="auto" w:sz="4" w:space="0"/>
              <w:right w:val="single" w:color="auto" w:sz="4" w:space="0"/>
            </w:tcBorders>
            <w:shd w:val="clear" w:color="auto" w:fill="auto"/>
            <w:vAlign w:val="center"/>
          </w:tcPr>
          <w:p w14:paraId="7ADC340A">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13</w:t>
            </w:r>
          </w:p>
        </w:tc>
        <w:tc>
          <w:tcPr>
            <w:tcW w:w="111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03B5A88">
            <w:pPr>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p>
        </w:tc>
        <w:tc>
          <w:tcPr>
            <w:tcW w:w="3142" w:type="pct"/>
            <w:tcBorders>
              <w:top w:val="single" w:color="auto" w:sz="4" w:space="0"/>
              <w:left w:val="single" w:color="auto" w:sz="4" w:space="0"/>
              <w:bottom w:val="single" w:color="auto" w:sz="4" w:space="0"/>
              <w:right w:val="single" w:color="auto" w:sz="4" w:space="0"/>
            </w:tcBorders>
            <w:shd w:val="clear" w:color="auto" w:fill="auto"/>
            <w:vAlign w:val="center"/>
          </w:tcPr>
          <w:p w14:paraId="0B756DAA">
            <w:pPr>
              <w:keepNext w:val="0"/>
              <w:keepLines w:val="0"/>
              <w:widowControl/>
              <w:suppressLineNumbers w:val="0"/>
              <w:jc w:val="center"/>
              <w:textAlignment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highlight w:val="none"/>
                <w:u w:val="none"/>
                <w:lang w:val="en-US" w:eastAsia="zh-CN" w:bidi="ar"/>
                <w14:textFill>
                  <w14:solidFill>
                    <w14:schemeClr w14:val="tx1"/>
                  </w14:solidFill>
                </w14:textFill>
              </w:rPr>
              <w:t>思源实验学校站</w:t>
            </w:r>
          </w:p>
        </w:tc>
      </w:tr>
      <w:tr w14:paraId="0D07B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37" w:type="pct"/>
            <w:tcBorders>
              <w:top w:val="single" w:color="auto" w:sz="4" w:space="0"/>
              <w:left w:val="single" w:color="auto" w:sz="4" w:space="0"/>
              <w:bottom w:val="single" w:color="auto" w:sz="4" w:space="0"/>
              <w:right w:val="single" w:color="auto" w:sz="4" w:space="0"/>
            </w:tcBorders>
            <w:shd w:val="clear" w:color="auto" w:fill="auto"/>
            <w:vAlign w:val="center"/>
          </w:tcPr>
          <w:p w14:paraId="4EB67992">
            <w:pPr>
              <w:snapToGrid w:val="0"/>
              <w:spacing w:line="300" w:lineRule="auto"/>
              <w:jc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14</w:t>
            </w:r>
          </w:p>
        </w:tc>
        <w:tc>
          <w:tcPr>
            <w:tcW w:w="1119" w:type="pct"/>
            <w:tcBorders>
              <w:top w:val="single" w:color="auto" w:sz="4" w:space="0"/>
              <w:left w:val="single" w:color="auto" w:sz="4" w:space="0"/>
              <w:bottom w:val="single" w:color="auto" w:sz="4" w:space="0"/>
              <w:right w:val="single" w:color="auto" w:sz="4" w:space="0"/>
            </w:tcBorders>
            <w:shd w:val="clear" w:color="auto" w:fill="auto"/>
            <w:vAlign w:val="center"/>
          </w:tcPr>
          <w:p w14:paraId="2EEEC98D">
            <w:pPr>
              <w:keepNext w:val="0"/>
              <w:keepLines w:val="0"/>
              <w:widowControl/>
              <w:suppressLineNumbers w:val="0"/>
              <w:jc w:val="center"/>
              <w:textAlignment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highlight w:val="none"/>
                <w:u w:val="none"/>
                <w:lang w:val="en-US" w:eastAsia="zh-CN" w:bidi="ar"/>
                <w14:textFill>
                  <w14:solidFill>
                    <w14:schemeClr w14:val="tx1"/>
                  </w14:solidFill>
                </w14:textFill>
              </w:rPr>
              <w:t>乐东</w:t>
            </w:r>
          </w:p>
        </w:tc>
        <w:tc>
          <w:tcPr>
            <w:tcW w:w="3142" w:type="pct"/>
            <w:tcBorders>
              <w:top w:val="single" w:color="auto" w:sz="4" w:space="0"/>
              <w:left w:val="single" w:color="auto" w:sz="4" w:space="0"/>
              <w:bottom w:val="single" w:color="auto" w:sz="4" w:space="0"/>
              <w:right w:val="single" w:color="auto" w:sz="4" w:space="0"/>
            </w:tcBorders>
            <w:shd w:val="clear" w:color="auto" w:fill="auto"/>
            <w:vAlign w:val="center"/>
          </w:tcPr>
          <w:p w14:paraId="7620D07F">
            <w:pPr>
              <w:keepNext w:val="0"/>
              <w:keepLines w:val="0"/>
              <w:widowControl/>
              <w:suppressLineNumbers w:val="0"/>
              <w:jc w:val="center"/>
              <w:textAlignment w:val="center"/>
              <w:rPr>
                <w:rFonts w:hint="default" w:ascii="Times New Roman" w:hAnsi="Times New Roman" w:eastAsia="宋体" w:cs="Times New Roman"/>
                <w:color w:val="000000" w:themeColor="text1"/>
                <w:sz w:val="21"/>
                <w:szCs w:val="21"/>
                <w:highlight w:val="none"/>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highlight w:val="none"/>
                <w:u w:val="none"/>
                <w:lang w:val="en-US" w:eastAsia="zh-CN" w:bidi="ar"/>
                <w14:textFill>
                  <w14:solidFill>
                    <w14:schemeClr w14:val="tx1"/>
                  </w14:solidFill>
                </w14:textFill>
              </w:rPr>
              <w:t>国土环境资源局站</w:t>
            </w:r>
          </w:p>
        </w:tc>
      </w:tr>
    </w:tbl>
    <w:p w14:paraId="7DE78ACC">
      <w:pPr>
        <w:widowControl/>
        <w:spacing w:line="520" w:lineRule="exact"/>
        <w:ind w:firstLine="560" w:firstLineChars="200"/>
        <w:rPr>
          <w:rFonts w:hint="eastAsia"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运维服务范围包括：各市县省控站所有监测仪器、气象仪器、质控设备、数据采集与传输设备、辅助设备、防雷等基础设施的日常维护、质量控制、故障维修、年度检修和检定等工作，以及承担各站点资产安全、站房防雷和防火、电力供应、网络通讯、安防保障，接受海南省生态环境监测中心（以下简称“省监测中心”）组织的核查和抽查，配合省监测中心做好站点搬迁</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/调整</w:t>
      </w:r>
      <w:r>
        <w:rPr>
          <w:rFonts w:hint="eastAsia" w:ascii="仿宋" w:hAnsi="仿宋" w:eastAsia="仿宋" w:cs="仿宋"/>
          <w:color w:val="000000" w:themeColor="text1"/>
          <w:sz w:val="28"/>
          <w:szCs w:val="28"/>
          <w:highlight w:val="none"/>
          <w:lang w:bidi="ar"/>
          <w14:textFill>
            <w14:solidFill>
              <w14:schemeClr w14:val="tx1"/>
            </w14:solidFill>
          </w14:textFill>
        </w:rPr>
        <w:t>、站点上收、设备更新、资产盘点、项目验收等工作，确保省控站各项监测仪器正常稳定运行并与省、市、县环保部门联网正常。</w:t>
      </w:r>
    </w:p>
    <w:p w14:paraId="22714346">
      <w:pPr>
        <w:pStyle w:val="12"/>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中标人应在运维合同签订之日起60天内向定安定县自来水公司站点提供符合国家及地方要求的环境空气监测条件，如未建成，则从合同签订之日起扣除该站点运维费用。（响应文件中如对应条款为正响应）</w:t>
      </w:r>
    </w:p>
    <w:p w14:paraId="5A73AFA2">
      <w:pPr>
        <w:bidi w:val="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3合同总金额</w:t>
      </w:r>
    </w:p>
    <w:p w14:paraId="67E4E907">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合同总金额为</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 xml:space="preserve">        </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元，</w:t>
      </w:r>
      <w:r>
        <w:rPr>
          <w:rFonts w:hint="eastAsia" w:ascii="仿宋" w:hAnsi="仿宋" w:eastAsia="仿宋" w:cs="仿宋"/>
          <w:color w:val="000000" w:themeColor="text1"/>
          <w:sz w:val="28"/>
          <w:szCs w:val="28"/>
          <w:highlight w:val="none"/>
          <w:lang w:bidi="ar"/>
          <w14:textFill>
            <w14:solidFill>
              <w14:schemeClr w14:val="tx1"/>
            </w14:solidFill>
          </w14:textFill>
        </w:rPr>
        <w:t>人民币大写：</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 xml:space="preserve">           </w:t>
      </w:r>
      <w:r>
        <w:rPr>
          <w:rFonts w:hint="eastAsia" w:ascii="仿宋" w:hAnsi="仿宋" w:eastAsia="仿宋" w:cs="仿宋"/>
          <w:color w:val="000000" w:themeColor="text1"/>
          <w:sz w:val="28"/>
          <w:szCs w:val="28"/>
          <w:highlight w:val="none"/>
          <w:lang w:bidi="ar"/>
          <w14:textFill>
            <w14:solidFill>
              <w14:schemeClr w14:val="tx1"/>
            </w14:solidFill>
          </w14:textFill>
        </w:rPr>
        <w:t>。</w:t>
      </w:r>
    </w:p>
    <w:p w14:paraId="4EB78305">
      <w:pPr>
        <w:widowControl/>
        <w:ind w:firstLine="560" w:firstLineChars="200"/>
        <w:jc w:val="left"/>
        <w:rPr>
          <w:rFonts w:hint="eastAsia"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上述委托费用为包干费用，已涵盖</w:t>
      </w:r>
      <w:r>
        <w:rPr>
          <w:rFonts w:hint="default" w:ascii="仿宋" w:hAnsi="仿宋" w:eastAsia="仿宋" w:cs="仿宋"/>
          <w:color w:val="000000" w:themeColor="text1"/>
          <w:kern w:val="0"/>
          <w:sz w:val="28"/>
          <w:szCs w:val="28"/>
          <w:highlight w:val="none"/>
          <w:lang w:bidi="ar"/>
          <w14:textFill>
            <w14:solidFill>
              <w14:schemeClr w14:val="tx1"/>
            </w14:solidFill>
          </w14:textFill>
        </w:rPr>
        <w:t>向</w:t>
      </w:r>
      <w:r>
        <w:rPr>
          <w:rFonts w:hint="eastAsia" w:ascii="仿宋" w:hAnsi="仿宋" w:eastAsia="仿宋" w:cs="仿宋"/>
          <w:color w:val="000000" w:themeColor="text1"/>
          <w:kern w:val="0"/>
          <w:sz w:val="28"/>
          <w:szCs w:val="28"/>
          <w:highlight w:val="none"/>
          <w:lang w:val="en-US" w:eastAsia="zh-CN" w:bidi="ar"/>
          <w14:textFill>
            <w14:solidFill>
              <w14:schemeClr w14:val="tx1"/>
            </w14:solidFill>
          </w14:textFill>
        </w:rPr>
        <w:t>省控站</w:t>
      </w:r>
      <w:r>
        <w:rPr>
          <w:rFonts w:hint="default" w:ascii="仿宋" w:hAnsi="仿宋" w:eastAsia="仿宋" w:cs="仿宋"/>
          <w:color w:val="000000" w:themeColor="text1"/>
          <w:kern w:val="0"/>
          <w:sz w:val="28"/>
          <w:szCs w:val="28"/>
          <w:highlight w:val="none"/>
          <w:lang w:bidi="ar"/>
          <w14:textFill>
            <w14:solidFill>
              <w14:schemeClr w14:val="tx1"/>
            </w14:solidFill>
          </w14:textFill>
        </w:rPr>
        <w:t>上一年度运维服务商支付交接期运维费用</w:t>
      </w:r>
      <w:r>
        <w:rPr>
          <w:rFonts w:hint="eastAsia" w:ascii="仿宋" w:hAnsi="仿宋" w:eastAsia="仿宋" w:cs="仿宋"/>
          <w:color w:val="000000" w:themeColor="text1"/>
          <w:kern w:val="0"/>
          <w:sz w:val="28"/>
          <w:szCs w:val="28"/>
          <w:highlight w:val="none"/>
          <w:lang w:eastAsia="zh-CN" w:bidi="ar"/>
          <w14:textFill>
            <w14:solidFill>
              <w14:schemeClr w14:val="tx1"/>
            </w14:solidFill>
          </w14:textFill>
        </w:rPr>
        <w:t>（</w:t>
      </w:r>
      <w:r>
        <w:rPr>
          <w:rFonts w:hint="default" w:ascii="仿宋" w:hAnsi="仿宋" w:eastAsia="仿宋" w:cs="仿宋"/>
          <w:color w:val="000000" w:themeColor="text1"/>
          <w:kern w:val="0"/>
          <w:sz w:val="28"/>
          <w:szCs w:val="28"/>
          <w:highlight w:val="none"/>
          <w:lang w:bidi="ar"/>
          <w14:textFill>
            <w14:solidFill>
              <w14:schemeClr w14:val="tx1"/>
            </w14:solidFill>
          </w14:textFill>
        </w:rPr>
        <w:t>交接期运维费用</w:t>
      </w:r>
      <w:r>
        <w:rPr>
          <w:rFonts w:hint="eastAsia" w:ascii="仿宋" w:hAnsi="仿宋" w:eastAsia="仿宋" w:cs="仿宋"/>
          <w:color w:val="000000" w:themeColor="text1"/>
          <w:kern w:val="0"/>
          <w:sz w:val="28"/>
          <w:szCs w:val="28"/>
          <w:highlight w:val="none"/>
          <w:lang w:val="en-US" w:eastAsia="zh-CN" w:bidi="ar"/>
          <w14:textFill>
            <w14:solidFill>
              <w14:schemeClr w14:val="tx1"/>
            </w14:solidFill>
          </w14:textFill>
        </w:rPr>
        <w:t>=</w:t>
      </w:r>
      <w:r>
        <w:rPr>
          <w:rFonts w:hint="default" w:ascii="仿宋" w:hAnsi="仿宋" w:eastAsia="仿宋" w:cs="仿宋"/>
          <w:color w:val="000000" w:themeColor="text1"/>
          <w:kern w:val="0"/>
          <w:sz w:val="28"/>
          <w:szCs w:val="28"/>
          <w:highlight w:val="none"/>
          <w:lang w:bidi="ar"/>
          <w14:textFill>
            <w14:solidFill>
              <w14:schemeClr w14:val="tx1"/>
            </w14:solidFill>
          </w14:textFill>
        </w:rPr>
        <w:t xml:space="preserve"> </w:t>
      </w:r>
      <w:r>
        <w:rPr>
          <w:rFonts w:hint="default" w:ascii="仿宋" w:hAnsi="仿宋" w:eastAsia="仿宋" w:cs="仿宋"/>
          <w:color w:val="000000" w:themeColor="text1"/>
          <w:kern w:val="0"/>
          <w:sz w:val="28"/>
          <w:szCs w:val="28"/>
          <w:highlight w:val="none"/>
          <w:lang w:val="en-US" w:eastAsia="zh-CN" w:bidi="ar"/>
          <w14:textFill>
            <w14:solidFill>
              <w14:schemeClr w14:val="tx1"/>
            </w14:solidFill>
          </w14:textFill>
        </w:rPr>
        <w:t>合同总金额/</w:t>
      </w:r>
      <w:r>
        <w:rPr>
          <w:rFonts w:hint="default" w:ascii="仿宋" w:hAnsi="仿宋" w:eastAsia="仿宋" w:cs="仿宋"/>
          <w:color w:val="000000" w:themeColor="text1"/>
          <w:kern w:val="0"/>
          <w:sz w:val="28"/>
          <w:szCs w:val="28"/>
          <w:highlight w:val="none"/>
          <w:lang w:bidi="ar"/>
          <w14:textFill>
            <w14:solidFill>
              <w14:schemeClr w14:val="tx1"/>
            </w14:solidFill>
          </w14:textFill>
        </w:rPr>
        <w:t>365天*已运维天数</w:t>
      </w:r>
      <w:r>
        <w:rPr>
          <w:rFonts w:hint="default" w:ascii="仿宋" w:hAnsi="仿宋" w:eastAsia="仿宋" w:cs="仿宋"/>
          <w:color w:val="000000" w:themeColor="text1"/>
          <w:kern w:val="0"/>
          <w:sz w:val="28"/>
          <w:szCs w:val="28"/>
          <w:highlight w:val="none"/>
          <w:lang w:eastAsia="zh-CN" w:bidi="ar"/>
          <w14:textFill>
            <w14:solidFill>
              <w14:schemeClr w14:val="tx1"/>
            </w14:solidFill>
          </w14:textFill>
        </w:rPr>
        <w:t>，</w:t>
      </w:r>
      <w:r>
        <w:rPr>
          <w:rFonts w:hint="default" w:ascii="仿宋" w:hAnsi="仿宋" w:eastAsia="仿宋" w:cs="仿宋"/>
          <w:color w:val="000000" w:themeColor="text1"/>
          <w:kern w:val="0"/>
          <w:sz w:val="28"/>
          <w:szCs w:val="28"/>
          <w:highlight w:val="none"/>
          <w:lang w:bidi="ar"/>
          <w14:textFill>
            <w14:solidFill>
              <w14:schemeClr w14:val="tx1"/>
            </w14:solidFill>
          </w14:textFill>
        </w:rPr>
        <w:t>具体已运维天数以</w:t>
      </w:r>
      <w:r>
        <w:rPr>
          <w:rFonts w:hint="default" w:ascii="仿宋" w:hAnsi="仿宋" w:eastAsia="仿宋" w:cs="仿宋"/>
          <w:color w:val="000000" w:themeColor="text1"/>
          <w:kern w:val="0"/>
          <w:sz w:val="28"/>
          <w:szCs w:val="28"/>
          <w:highlight w:val="none"/>
          <w:lang w:val="en-US" w:eastAsia="zh-CN" w:bidi="ar"/>
          <w14:textFill>
            <w14:solidFill>
              <w14:schemeClr w14:val="tx1"/>
            </w14:solidFill>
          </w14:textFill>
        </w:rPr>
        <w:t>乙方</w:t>
      </w:r>
      <w:r>
        <w:rPr>
          <w:rFonts w:hint="default" w:ascii="仿宋" w:hAnsi="仿宋" w:eastAsia="仿宋" w:cs="仿宋"/>
          <w:color w:val="000000" w:themeColor="text1"/>
          <w:kern w:val="0"/>
          <w:sz w:val="28"/>
          <w:szCs w:val="28"/>
          <w:highlight w:val="none"/>
          <w:lang w:bidi="ar"/>
          <w14:textFill>
            <w14:solidFill>
              <w14:schemeClr w14:val="tx1"/>
            </w14:solidFill>
          </w14:textFill>
        </w:rPr>
        <w:t>上</w:t>
      </w:r>
      <w:r>
        <w:rPr>
          <w:rFonts w:hint="eastAsia" w:ascii="仿宋" w:hAnsi="仿宋" w:eastAsia="仿宋" w:cs="仿宋"/>
          <w:color w:val="000000" w:themeColor="text1"/>
          <w:kern w:val="0"/>
          <w:sz w:val="28"/>
          <w:szCs w:val="28"/>
          <w:highlight w:val="none"/>
          <w:lang w:val="en-US" w:eastAsia="zh-CN" w:bidi="ar"/>
          <w14:textFill>
            <w14:solidFill>
              <w14:schemeClr w14:val="tx1"/>
            </w14:solidFill>
          </w14:textFill>
        </w:rPr>
        <w:t>一</w:t>
      </w:r>
      <w:r>
        <w:rPr>
          <w:rFonts w:hint="default" w:ascii="仿宋" w:hAnsi="仿宋" w:eastAsia="仿宋" w:cs="仿宋"/>
          <w:color w:val="000000" w:themeColor="text1"/>
          <w:kern w:val="0"/>
          <w:sz w:val="28"/>
          <w:szCs w:val="28"/>
          <w:highlight w:val="none"/>
          <w:lang w:bidi="ar"/>
          <w14:textFill>
            <w14:solidFill>
              <w14:schemeClr w14:val="tx1"/>
            </w14:solidFill>
          </w14:textFill>
        </w:rPr>
        <w:t>年度的运维服务商和</w:t>
      </w:r>
      <w:r>
        <w:rPr>
          <w:rFonts w:hint="default" w:ascii="仿宋" w:hAnsi="仿宋" w:eastAsia="仿宋" w:cs="仿宋"/>
          <w:color w:val="000000" w:themeColor="text1"/>
          <w:kern w:val="0"/>
          <w:sz w:val="28"/>
          <w:szCs w:val="28"/>
          <w:highlight w:val="none"/>
          <w:lang w:val="en-US" w:eastAsia="zh-CN" w:bidi="ar"/>
          <w14:textFill>
            <w14:solidFill>
              <w14:schemeClr w14:val="tx1"/>
            </w14:solidFill>
          </w14:textFill>
        </w:rPr>
        <w:t>甲</w:t>
      </w:r>
      <w:r>
        <w:rPr>
          <w:rFonts w:hint="default" w:ascii="仿宋" w:hAnsi="仿宋" w:eastAsia="仿宋" w:cs="仿宋"/>
          <w:color w:val="000000" w:themeColor="text1"/>
          <w:kern w:val="0"/>
          <w:sz w:val="28"/>
          <w:szCs w:val="28"/>
          <w:highlight w:val="none"/>
          <w:lang w:bidi="ar"/>
          <w14:textFill>
            <w14:solidFill>
              <w14:schemeClr w14:val="tx1"/>
            </w14:solidFill>
          </w14:textFill>
        </w:rPr>
        <w:t>方签字为准</w:t>
      </w:r>
      <w:r>
        <w:rPr>
          <w:rFonts w:hint="eastAsia" w:ascii="仿宋" w:hAnsi="仿宋" w:eastAsia="仿宋" w:cs="仿宋"/>
          <w:color w:val="000000" w:themeColor="text1"/>
          <w:kern w:val="0"/>
          <w:sz w:val="28"/>
          <w:szCs w:val="28"/>
          <w:highlight w:val="none"/>
          <w:lang w:eastAsia="zh-CN" w:bidi="ar"/>
          <w14:textFill>
            <w14:solidFill>
              <w14:schemeClr w14:val="tx1"/>
            </w14:solidFill>
          </w14:textFill>
        </w:rPr>
        <w:t>）</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w:t>
      </w:r>
      <w:r>
        <w:rPr>
          <w:rFonts w:hint="eastAsia" w:ascii="仿宋" w:hAnsi="仿宋" w:eastAsia="仿宋" w:cs="仿宋"/>
          <w:color w:val="000000" w:themeColor="text1"/>
          <w:sz w:val="28"/>
          <w:szCs w:val="28"/>
          <w:highlight w:val="none"/>
          <w:lang w:bidi="ar"/>
          <w14:textFill>
            <w14:solidFill>
              <w14:schemeClr w14:val="tx1"/>
            </w14:solidFill>
          </w14:textFill>
        </w:rPr>
        <w:t>乙方按合同约定标准提供运维服务所需的全部费用及</w:t>
      </w:r>
      <w:r>
        <w:rPr>
          <w:rFonts w:ascii="仿宋" w:hAnsi="仿宋" w:eastAsia="仿宋" w:cs="仿宋"/>
          <w:color w:val="000000" w:themeColor="text1"/>
          <w:kern w:val="0"/>
          <w:sz w:val="28"/>
          <w:szCs w:val="28"/>
          <w:highlight w:val="none"/>
          <w:lang w:bidi="ar"/>
          <w14:textFill>
            <w14:solidFill>
              <w14:schemeClr w14:val="tx1"/>
            </w14:solidFill>
          </w14:textFill>
        </w:rPr>
        <w:t>对项目验收发生的</w:t>
      </w:r>
      <w:r>
        <w:rPr>
          <w:rFonts w:hint="eastAsia" w:ascii="仿宋" w:hAnsi="仿宋" w:eastAsia="仿宋" w:cs="仿宋"/>
          <w:color w:val="000000" w:themeColor="text1"/>
          <w:kern w:val="0"/>
          <w:sz w:val="28"/>
          <w:szCs w:val="28"/>
          <w:highlight w:val="none"/>
          <w:lang w:val="en-US" w:eastAsia="zh-CN" w:bidi="ar"/>
          <w14:textFill>
            <w14:solidFill>
              <w14:schemeClr w14:val="tx1"/>
            </w14:solidFill>
          </w14:textFill>
        </w:rPr>
        <w:t>监测</w:t>
      </w:r>
      <w:r>
        <w:rPr>
          <w:rFonts w:ascii="仿宋" w:hAnsi="仿宋" w:eastAsia="仿宋" w:cs="仿宋"/>
          <w:color w:val="000000" w:themeColor="text1"/>
          <w:kern w:val="0"/>
          <w:sz w:val="28"/>
          <w:szCs w:val="28"/>
          <w:highlight w:val="none"/>
          <w:lang w:bidi="ar"/>
          <w14:textFill>
            <w14:solidFill>
              <w14:schemeClr w14:val="tx1"/>
            </w14:solidFill>
          </w14:textFill>
        </w:rPr>
        <w:t>（检</w:t>
      </w:r>
      <w:r>
        <w:rPr>
          <w:rFonts w:hint="eastAsia" w:ascii="仿宋" w:hAnsi="仿宋" w:eastAsia="仿宋" w:cs="仿宋"/>
          <w:color w:val="000000" w:themeColor="text1"/>
          <w:kern w:val="0"/>
          <w:sz w:val="28"/>
          <w:szCs w:val="28"/>
          <w:highlight w:val="none"/>
          <w:lang w:val="en-US" w:eastAsia="zh-CN" w:bidi="ar"/>
          <w14:textFill>
            <w14:solidFill>
              <w14:schemeClr w14:val="tx1"/>
            </w14:solidFill>
          </w14:textFill>
        </w:rPr>
        <w:t>查</w:t>
      </w:r>
      <w:r>
        <w:rPr>
          <w:rFonts w:ascii="仿宋" w:hAnsi="仿宋" w:eastAsia="仿宋" w:cs="仿宋"/>
          <w:color w:val="000000" w:themeColor="text1"/>
          <w:kern w:val="0"/>
          <w:sz w:val="28"/>
          <w:szCs w:val="28"/>
          <w:highlight w:val="none"/>
          <w:lang w:bidi="ar"/>
          <w14:textFill>
            <w14:solidFill>
              <w14:schemeClr w14:val="tx1"/>
            </w14:solidFill>
          </w14:textFill>
        </w:rPr>
        <w:t>）费、劳务报酬</w:t>
      </w:r>
      <w:r>
        <w:rPr>
          <w:rFonts w:hint="eastAsia" w:ascii="仿宋" w:hAnsi="仿宋" w:eastAsia="仿宋" w:cs="仿宋"/>
          <w:color w:val="000000" w:themeColor="text1"/>
          <w:kern w:val="0"/>
          <w:sz w:val="28"/>
          <w:szCs w:val="28"/>
          <w:highlight w:val="none"/>
          <w:lang w:bidi="ar"/>
          <w14:textFill>
            <w14:solidFill>
              <w14:schemeClr w14:val="tx1"/>
            </w14:solidFill>
          </w14:textFill>
        </w:rPr>
        <w:t>等费用支出</w:t>
      </w:r>
      <w:r>
        <w:rPr>
          <w:rFonts w:hint="eastAsia" w:ascii="仿宋" w:hAnsi="仿宋" w:eastAsia="仿宋" w:cs="仿宋"/>
          <w:color w:val="000000" w:themeColor="text1"/>
          <w:sz w:val="28"/>
          <w:szCs w:val="28"/>
          <w:highlight w:val="none"/>
          <w:lang w:bidi="ar"/>
          <w14:textFill>
            <w14:solidFill>
              <w14:schemeClr w14:val="tx1"/>
            </w14:solidFill>
          </w14:textFill>
        </w:rPr>
        <w:t>，甲方不再另行支付。</w:t>
      </w:r>
    </w:p>
    <w:p w14:paraId="73CD814E">
      <w:pPr>
        <w:bidi w:val="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4合同标的服务时间、地点</w:t>
      </w:r>
    </w:p>
    <w:p w14:paraId="0C07361E">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4.1服务时间</w:t>
      </w:r>
      <w:r>
        <w:rPr>
          <w:rFonts w:hint="eastAsia" w:ascii="仿宋" w:hAnsi="仿宋" w:eastAsia="仿宋" w:cs="仿宋"/>
          <w:color w:val="000000" w:themeColor="text1"/>
          <w:sz w:val="28"/>
          <w:szCs w:val="28"/>
          <w:highlight w:val="none"/>
          <w:u w:val="none"/>
          <w:lang w:bidi="ar"/>
          <w14:textFill>
            <w14:solidFill>
              <w14:schemeClr w14:val="tx1"/>
            </w14:solidFill>
          </w14:textFill>
        </w:rPr>
        <w:t>：</w:t>
      </w:r>
      <w:r>
        <w:rPr>
          <w:rFonts w:hint="eastAsia"/>
          <w:color w:val="000000" w:themeColor="text1"/>
          <w:sz w:val="24"/>
          <w:highlight w:val="none"/>
          <w:u w:val="single"/>
          <w14:textFill>
            <w14:solidFill>
              <w14:schemeClr w14:val="tx1"/>
            </w14:solidFill>
          </w14:textFill>
        </w:rPr>
        <w:t xml:space="preserve"> </w:t>
      </w:r>
      <w:r>
        <w:rPr>
          <w:rFonts w:hint="eastAsia" w:ascii="仿宋" w:hAnsi="仿宋" w:eastAsia="仿宋" w:cs="仿宋"/>
          <w:bCs w:val="0"/>
          <w:color w:val="000000" w:themeColor="text1"/>
          <w:sz w:val="28"/>
          <w:szCs w:val="28"/>
          <w:highlight w:val="none"/>
          <w:u w:val="single"/>
          <w:lang w:bidi="ar"/>
          <w14:textFill>
            <w14:solidFill>
              <w14:schemeClr w14:val="tx1"/>
            </w14:solidFill>
          </w14:textFill>
        </w:rPr>
        <w:t>12 个月（202</w:t>
      </w:r>
      <w:r>
        <w:rPr>
          <w:rFonts w:hint="eastAsia" w:ascii="仿宋" w:hAnsi="仿宋" w:eastAsia="仿宋" w:cs="仿宋"/>
          <w:bCs w:val="0"/>
          <w:color w:val="000000" w:themeColor="text1"/>
          <w:sz w:val="28"/>
          <w:szCs w:val="28"/>
          <w:highlight w:val="none"/>
          <w:u w:val="single"/>
          <w:lang w:val="en-US" w:eastAsia="zh-CN" w:bidi="ar"/>
          <w14:textFill>
            <w14:solidFill>
              <w14:schemeClr w14:val="tx1"/>
            </w14:solidFill>
          </w14:textFill>
        </w:rPr>
        <w:t>5</w:t>
      </w:r>
      <w:r>
        <w:rPr>
          <w:rFonts w:hint="eastAsia" w:ascii="仿宋" w:hAnsi="仿宋" w:eastAsia="仿宋" w:cs="仿宋"/>
          <w:bCs w:val="0"/>
          <w:color w:val="000000" w:themeColor="text1"/>
          <w:sz w:val="28"/>
          <w:szCs w:val="28"/>
          <w:highlight w:val="none"/>
          <w:u w:val="single"/>
          <w:lang w:bidi="ar"/>
          <w14:textFill>
            <w14:solidFill>
              <w14:schemeClr w14:val="tx1"/>
            </w14:solidFill>
          </w14:textFill>
        </w:rPr>
        <w:t>年1月1日-202</w:t>
      </w:r>
      <w:r>
        <w:rPr>
          <w:rFonts w:hint="eastAsia" w:ascii="仿宋" w:hAnsi="仿宋" w:eastAsia="仿宋" w:cs="仿宋"/>
          <w:bCs w:val="0"/>
          <w:color w:val="000000" w:themeColor="text1"/>
          <w:sz w:val="28"/>
          <w:szCs w:val="28"/>
          <w:highlight w:val="none"/>
          <w:u w:val="single"/>
          <w:lang w:val="en-US" w:eastAsia="zh-CN" w:bidi="ar"/>
          <w14:textFill>
            <w14:solidFill>
              <w14:schemeClr w14:val="tx1"/>
            </w14:solidFill>
          </w14:textFill>
        </w:rPr>
        <w:t>5</w:t>
      </w:r>
      <w:r>
        <w:rPr>
          <w:rFonts w:hint="eastAsia" w:ascii="仿宋" w:hAnsi="仿宋" w:eastAsia="仿宋" w:cs="仿宋"/>
          <w:bCs w:val="0"/>
          <w:color w:val="000000" w:themeColor="text1"/>
          <w:sz w:val="28"/>
          <w:szCs w:val="28"/>
          <w:highlight w:val="none"/>
          <w:u w:val="single"/>
          <w:lang w:bidi="ar"/>
          <w14:textFill>
            <w14:solidFill>
              <w14:schemeClr w14:val="tx1"/>
            </w14:solidFill>
          </w14:textFill>
        </w:rPr>
        <w:t>年12月31日）</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lang w:bidi="ar"/>
          <w14:textFill>
            <w14:solidFill>
              <w14:schemeClr w14:val="tx1"/>
            </w14:solidFill>
          </w14:textFill>
        </w:rPr>
        <w:t>；</w:t>
      </w:r>
    </w:p>
    <w:p w14:paraId="2DB18C8A">
      <w:pPr>
        <w:bidi w:val="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4.2服务地点：</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14</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lang w:bidi="ar"/>
          <w14:textFill>
            <w14:solidFill>
              <w14:schemeClr w14:val="tx1"/>
            </w14:solidFill>
          </w14:textFill>
        </w:rPr>
        <w:t>个省控站；</w:t>
      </w:r>
    </w:p>
    <w:p w14:paraId="4D2B28A6">
      <w:pPr>
        <w:bidi w:val="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5.付款方式及条件：</w:t>
      </w:r>
    </w:p>
    <w:p w14:paraId="226D226F">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本合同分三期付款，每笔款项支付前乙方均应提供等额合法有效发票。</w:t>
      </w:r>
    </w:p>
    <w:p w14:paraId="3B79CBD0">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5.1首付款：合同签订后</w:t>
      </w:r>
      <w:r>
        <w:rPr>
          <w:rFonts w:ascii="仿宋" w:hAnsi="仿宋" w:eastAsia="仿宋" w:cs="仿宋"/>
          <w:color w:val="000000" w:themeColor="text1"/>
          <w:sz w:val="28"/>
          <w:szCs w:val="28"/>
          <w:highlight w:val="none"/>
          <w:lang w:bidi="ar"/>
          <w14:textFill>
            <w14:solidFill>
              <w14:schemeClr w14:val="tx1"/>
            </w14:solidFill>
          </w14:textFill>
        </w:rPr>
        <w:t>15</w:t>
      </w:r>
      <w:r>
        <w:rPr>
          <w:rFonts w:hint="eastAsia" w:ascii="仿宋" w:hAnsi="仿宋" w:eastAsia="仿宋" w:cs="仿宋"/>
          <w:color w:val="000000" w:themeColor="text1"/>
          <w:sz w:val="28"/>
          <w:szCs w:val="28"/>
          <w:highlight w:val="none"/>
          <w:lang w:bidi="ar"/>
          <w14:textFill>
            <w14:solidFill>
              <w14:schemeClr w14:val="tx1"/>
            </w14:solidFill>
          </w14:textFill>
        </w:rPr>
        <w:t>个工作日内，乙方向甲方提供合同总额 5</w:t>
      </w:r>
      <w:r>
        <w:rPr>
          <w:rFonts w:ascii="仿宋" w:hAnsi="仿宋" w:eastAsia="仿宋" w:cs="仿宋"/>
          <w:color w:val="000000" w:themeColor="text1"/>
          <w:sz w:val="28"/>
          <w:szCs w:val="28"/>
          <w:highlight w:val="none"/>
          <w:lang w:bidi="ar"/>
          <w14:textFill>
            <w14:solidFill>
              <w14:schemeClr w14:val="tx1"/>
            </w14:solidFill>
          </w14:textFill>
        </w:rPr>
        <w:t>%</w:t>
      </w:r>
      <w:r>
        <w:rPr>
          <w:rFonts w:hint="eastAsia" w:ascii="仿宋" w:hAnsi="仿宋" w:eastAsia="仿宋" w:cs="仿宋"/>
          <w:color w:val="000000" w:themeColor="text1"/>
          <w:sz w:val="28"/>
          <w:szCs w:val="28"/>
          <w:highlight w:val="none"/>
          <w:lang w:bidi="ar"/>
          <w14:textFill>
            <w14:solidFill>
              <w14:schemeClr w14:val="tx1"/>
            </w14:solidFill>
          </w14:textFill>
        </w:rPr>
        <w:t>的履约保函（有效期</w:t>
      </w:r>
      <w:r>
        <w:rPr>
          <w:rFonts w:ascii="仿宋" w:hAnsi="仿宋" w:eastAsia="仿宋" w:cs="仿宋"/>
          <w:color w:val="000000" w:themeColor="text1"/>
          <w:sz w:val="28"/>
          <w:szCs w:val="28"/>
          <w:highlight w:val="none"/>
          <w:lang w:bidi="ar"/>
          <w14:textFill>
            <w14:solidFill>
              <w14:schemeClr w14:val="tx1"/>
            </w14:solidFill>
          </w14:textFill>
        </w:rPr>
        <w:t>14</w:t>
      </w:r>
      <w:r>
        <w:rPr>
          <w:rFonts w:hint="eastAsia" w:ascii="仿宋" w:hAnsi="仿宋" w:eastAsia="仿宋" w:cs="仿宋"/>
          <w:color w:val="000000" w:themeColor="text1"/>
          <w:sz w:val="28"/>
          <w:szCs w:val="28"/>
          <w:highlight w:val="none"/>
          <w:lang w:bidi="ar"/>
          <w14:textFill>
            <w14:solidFill>
              <w14:schemeClr w14:val="tx1"/>
            </w14:solidFill>
          </w14:textFill>
        </w:rPr>
        <w:t>个月），甲方在收到乙方提供的履约保函且财政资金下达后，甲方向乙方支付合同总金额的</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50</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lang w:bidi="ar"/>
          <w14:textFill>
            <w14:solidFill>
              <w14:schemeClr w14:val="tx1"/>
            </w14:solidFill>
          </w14:textFill>
        </w:rPr>
        <w:t>，即</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 xml:space="preserve">   </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 xml:space="preserve"> </w:t>
      </w:r>
      <w:r>
        <w:rPr>
          <w:rFonts w:hint="eastAsia" w:ascii="仿宋" w:hAnsi="仿宋" w:eastAsia="仿宋" w:cs="仿宋"/>
          <w:color w:val="000000" w:themeColor="text1"/>
          <w:sz w:val="28"/>
          <w:szCs w:val="28"/>
          <w:highlight w:val="none"/>
          <w:lang w:bidi="ar"/>
          <w14:textFill>
            <w14:solidFill>
              <w14:schemeClr w14:val="tx1"/>
            </w14:solidFill>
          </w14:textFill>
        </w:rPr>
        <w:t>元（大写：</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 xml:space="preserve">       </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lang w:bidi="ar"/>
          <w14:textFill>
            <w14:solidFill>
              <w14:schemeClr w14:val="tx1"/>
            </w14:solidFill>
          </w14:textFill>
        </w:rPr>
        <w:t>）。</w:t>
      </w:r>
    </w:p>
    <w:p w14:paraId="4A5F878C">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 xml:space="preserve">5.2 </w:t>
      </w:r>
      <w:r>
        <w:rPr>
          <w:rFonts w:hint="eastAsia" w:ascii="仿宋" w:hAnsi="仿宋" w:eastAsia="仿宋" w:cs="仿宋"/>
          <w:color w:val="000000" w:themeColor="text1"/>
          <w:sz w:val="28"/>
          <w:szCs w:val="28"/>
          <w:highlight w:val="none"/>
          <w14:textFill>
            <w14:solidFill>
              <w14:schemeClr w14:val="tx1"/>
            </w14:solidFill>
          </w14:textFill>
        </w:rPr>
        <w:t>202</w:t>
      </w:r>
      <w:r>
        <w:rPr>
          <w:rFonts w:hint="eastAsia" w:ascii="仿宋" w:hAnsi="仿宋" w:eastAsia="仿宋" w:cs="仿宋"/>
          <w:color w:val="000000" w:themeColor="text1"/>
          <w:sz w:val="28"/>
          <w:szCs w:val="28"/>
          <w:highlight w:val="none"/>
          <w:lang w:val="en-US" w:eastAsia="zh-CN"/>
          <w14:textFill>
            <w14:solidFill>
              <w14:schemeClr w14:val="tx1"/>
            </w14:solidFill>
          </w14:textFill>
        </w:rPr>
        <w:t>5</w:t>
      </w:r>
      <w:r>
        <w:rPr>
          <w:rFonts w:hint="eastAsia" w:ascii="仿宋" w:hAnsi="仿宋" w:eastAsia="仿宋" w:cs="仿宋"/>
          <w:color w:val="000000" w:themeColor="text1"/>
          <w:sz w:val="28"/>
          <w:szCs w:val="28"/>
          <w:highlight w:val="none"/>
          <w14:textFill>
            <w14:solidFill>
              <w14:schemeClr w14:val="tx1"/>
            </w14:solidFill>
          </w14:textFill>
        </w:rPr>
        <w:t>年9月完成运维工作阶段性总结汇报，且运维管理和数据有效性经甲方考核合格后</w:t>
      </w:r>
      <w:r>
        <w:rPr>
          <w:rFonts w:hint="eastAsia" w:ascii="仿宋" w:hAnsi="仿宋" w:eastAsia="仿宋" w:cs="仿宋"/>
          <w:color w:val="000000" w:themeColor="text1"/>
          <w:sz w:val="28"/>
          <w:szCs w:val="28"/>
          <w:highlight w:val="none"/>
          <w:lang w:bidi="ar"/>
          <w14:textFill>
            <w14:solidFill>
              <w14:schemeClr w14:val="tx1"/>
            </w14:solidFill>
          </w14:textFill>
        </w:rPr>
        <w:t>10个工作日内，甲方向乙方支付合同总金额的</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40</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lang w:bidi="ar"/>
          <w14:textFill>
            <w14:solidFill>
              <w14:schemeClr w14:val="tx1"/>
            </w14:solidFill>
          </w14:textFill>
        </w:rPr>
        <w:t>，即</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 xml:space="preserve">   </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lang w:bidi="ar"/>
          <w14:textFill>
            <w14:solidFill>
              <w14:schemeClr w14:val="tx1"/>
            </w14:solidFill>
          </w14:textFill>
        </w:rPr>
        <w:t>元（大写：</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 xml:space="preserve">         </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lang w:bidi="ar"/>
          <w14:textFill>
            <w14:solidFill>
              <w14:schemeClr w14:val="tx1"/>
            </w14:solidFill>
          </w14:textFill>
        </w:rPr>
        <w:t>）。</w:t>
      </w:r>
    </w:p>
    <w:p w14:paraId="11C40D10">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5.3</w:t>
      </w:r>
      <w:r>
        <w:rPr>
          <w:rFonts w:hint="eastAsia" w:ascii="仿宋" w:hAnsi="仿宋" w:eastAsia="仿宋" w:cs="仿宋"/>
          <w:color w:val="000000" w:themeColor="text1"/>
          <w:sz w:val="28"/>
          <w:szCs w:val="28"/>
          <w:highlight w:val="none"/>
          <w14:textFill>
            <w14:solidFill>
              <w14:schemeClr w14:val="tx1"/>
            </w14:solidFill>
          </w14:textFill>
        </w:rPr>
        <w:t>在202</w:t>
      </w:r>
      <w:r>
        <w:rPr>
          <w:rFonts w:hint="eastAsia" w:ascii="仿宋" w:hAnsi="仿宋" w:eastAsia="仿宋" w:cs="仿宋"/>
          <w:color w:val="000000" w:themeColor="text1"/>
          <w:sz w:val="28"/>
          <w:szCs w:val="28"/>
          <w:highlight w:val="none"/>
          <w:lang w:val="en-US" w:eastAsia="zh-CN"/>
          <w14:textFill>
            <w14:solidFill>
              <w14:schemeClr w14:val="tx1"/>
            </w14:solidFill>
          </w14:textFill>
        </w:rPr>
        <w:t>5</w:t>
      </w:r>
      <w:r>
        <w:rPr>
          <w:rFonts w:hint="eastAsia" w:ascii="仿宋" w:hAnsi="仿宋" w:eastAsia="仿宋" w:cs="仿宋"/>
          <w:color w:val="000000" w:themeColor="text1"/>
          <w:sz w:val="28"/>
          <w:szCs w:val="28"/>
          <w:highlight w:val="none"/>
          <w14:textFill>
            <w14:solidFill>
              <w14:schemeClr w14:val="tx1"/>
            </w14:solidFill>
          </w14:textFill>
        </w:rPr>
        <w:t>年12月</w:t>
      </w:r>
      <w:r>
        <w:rPr>
          <w:rFonts w:hint="eastAsia" w:ascii="仿宋" w:hAnsi="仿宋" w:eastAsia="仿宋" w:cs="仿宋"/>
          <w:color w:val="000000" w:themeColor="text1"/>
          <w:sz w:val="28"/>
          <w:szCs w:val="28"/>
          <w:highlight w:val="none"/>
          <w:lang w:bidi="ar"/>
          <w14:textFill>
            <w14:solidFill>
              <w14:schemeClr w14:val="tx1"/>
            </w14:solidFill>
          </w14:textFill>
        </w:rPr>
        <w:t>，</w:t>
      </w:r>
      <w:r>
        <w:rPr>
          <w:rFonts w:hint="eastAsia" w:ascii="仿宋" w:hAnsi="仿宋" w:eastAsia="仿宋" w:cs="仿宋"/>
          <w:color w:val="000000" w:themeColor="text1"/>
          <w:sz w:val="28"/>
          <w:szCs w:val="28"/>
          <w:highlight w:val="none"/>
          <w14:textFill>
            <w14:solidFill>
              <w14:schemeClr w14:val="tx1"/>
            </w14:solidFill>
          </w14:textFill>
        </w:rPr>
        <w:t>经甲方考核合格后，</w:t>
      </w:r>
      <w:r>
        <w:rPr>
          <w:rFonts w:hint="eastAsia" w:ascii="仿宋" w:hAnsi="仿宋" w:eastAsia="仿宋" w:cs="仿宋"/>
          <w:color w:val="000000" w:themeColor="text1"/>
          <w:sz w:val="28"/>
          <w:szCs w:val="28"/>
          <w:highlight w:val="none"/>
          <w:lang w:bidi="ar"/>
          <w14:textFill>
            <w14:solidFill>
              <w14:schemeClr w14:val="tx1"/>
            </w14:solidFill>
          </w14:textFill>
        </w:rPr>
        <w:t>甲方向乙方支付合同总金额的</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10</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lang w:bidi="ar"/>
          <w14:textFill>
            <w14:solidFill>
              <w14:schemeClr w14:val="tx1"/>
            </w14:solidFill>
          </w14:textFill>
        </w:rPr>
        <w:t>，即</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 xml:space="preserve">        </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lang w:bidi="ar"/>
          <w14:textFill>
            <w14:solidFill>
              <w14:schemeClr w14:val="tx1"/>
            </w14:solidFill>
          </w14:textFill>
        </w:rPr>
        <w:t>元（大写：</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 xml:space="preserve">       </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lang w:bidi="ar"/>
          <w14:textFill>
            <w14:solidFill>
              <w14:schemeClr w14:val="tx1"/>
            </w14:solidFill>
          </w14:textFill>
        </w:rPr>
        <w:t>）。</w:t>
      </w:r>
    </w:p>
    <w:p w14:paraId="1F91405A">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5.4乙方履约期满后30日内，甲方根据考核办法及国家相关技术要求组织验收，乙方履约如无瑕疵，甲方退还乙方履约保函。</w:t>
      </w:r>
    </w:p>
    <w:p w14:paraId="21529493">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5.5乙方运维管理、数据有效性等考核不符合本合同约定或甲方要求的，甲方有权在各期款项支付时扣减相应的运维服务费。</w:t>
      </w:r>
    </w:p>
    <w:p w14:paraId="3B1C8BE8">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5.6甲方每次付款前，乙方未提供发票或提供的发票不符合要求的，甲方有权拒绝付款且不承担违约责任，乙方应赔偿因此给甲方造成的一切损失。发票不符合要求的情形包括但不限于以下情形：开具虚假、作废等无效发票或者违反国家法律法规开具、提供发票的；发票上的信息错误；因乙方迟延送达、开具错误等原因造成发票认证失败等。</w:t>
      </w:r>
    </w:p>
    <w:p w14:paraId="3A1314B3">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5.</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7</w:t>
      </w:r>
      <w:r>
        <w:rPr>
          <w:rFonts w:hint="eastAsia" w:ascii="仿宋" w:hAnsi="仿宋" w:eastAsia="仿宋" w:cs="仿宋"/>
          <w:color w:val="000000" w:themeColor="text1"/>
          <w:sz w:val="28"/>
          <w:szCs w:val="28"/>
          <w:highlight w:val="none"/>
          <w:lang w:bidi="ar"/>
          <w14:textFill>
            <w14:solidFill>
              <w14:schemeClr w14:val="tx1"/>
            </w14:solidFill>
          </w14:textFill>
        </w:rPr>
        <w:t>甲方已按时向财政等部门提交付款申请，因财政封账、财政审批等原因导致付款延迟，乙方表示谅解，甲方不因此承担违约责任。</w:t>
      </w:r>
    </w:p>
    <w:p w14:paraId="5DAA3B4B">
      <w:pPr>
        <w:bidi w:val="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6合同有效期</w:t>
      </w:r>
    </w:p>
    <w:p w14:paraId="783C8E1B">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合同有效期至服务期满且双方义务履行完毕之日止。</w:t>
      </w:r>
    </w:p>
    <w:p w14:paraId="670F4780">
      <w:pPr>
        <w:bidi w:val="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7考核要求</w:t>
      </w:r>
    </w:p>
    <w:p w14:paraId="5F9F482F">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甲方组织开展运维管理和数据有效性考核，对达不到要求或违规操作的，甲方扣减相应的运维费，并有权终止运维合同。</w:t>
      </w:r>
    </w:p>
    <w:p w14:paraId="7DF429A7">
      <w:pPr>
        <w:bidi w:val="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7.1考核办法</w:t>
      </w:r>
    </w:p>
    <w:p w14:paraId="5C519FD5">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省监测中心对各站点的数据有效率进行核查，并</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分上、下半年</w:t>
      </w:r>
      <w:r>
        <w:rPr>
          <w:rFonts w:hint="eastAsia" w:ascii="仿宋" w:hAnsi="仿宋" w:eastAsia="仿宋" w:cs="仿宋"/>
          <w:color w:val="000000" w:themeColor="text1"/>
          <w:sz w:val="28"/>
          <w:szCs w:val="28"/>
          <w:highlight w:val="none"/>
          <w:lang w:bidi="ar"/>
          <w14:textFill>
            <w14:solidFill>
              <w14:schemeClr w14:val="tx1"/>
            </w14:solidFill>
          </w14:textFill>
        </w:rPr>
        <w:t>组织第三方开展运行维护检查，省监测中心不定期对乙方进行运行维护抽查。以核查、检查及抽查结果进行考核。</w:t>
      </w:r>
    </w:p>
    <w:p w14:paraId="3A1A9D19">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考核采取百分制、单站考核的方式，主要包括单个站点数据有效性(包括监测数据获取率、数据质控合格率)以及运行维护的内容。甲方在约定时间内应对乙方的运维工作予以考核并出具考核结果。</w:t>
      </w:r>
    </w:p>
    <w:p w14:paraId="171C1509">
      <w:pPr>
        <w:bidi w:val="0"/>
        <w:rPr>
          <w:rFonts w:hint="eastAsia"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7.2考核得分计算</w:t>
      </w:r>
    </w:p>
    <w:p w14:paraId="0855D7BE">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考核总分=数据有效性得分+运行维护得分</w:t>
      </w:r>
    </w:p>
    <w:p w14:paraId="13DBD2A8">
      <w:pPr>
        <w:bidi w:val="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（1）数据有效性(70分)</w:t>
      </w:r>
    </w:p>
    <w:p w14:paraId="04917DC2">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数据捕获率指考核时段内各监测项目实际获取的小时值监测数据量总和除以应获得小时值数据量总和。</w:t>
      </w:r>
    </w:p>
    <w:p w14:paraId="2515F813">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数据质控合格率指考核时段内各监测项目实际获取的质控合格的小时值监测数据量总和除以应获得小时值数据量总和。</w:t>
      </w:r>
    </w:p>
    <w:p w14:paraId="57BDBBD0">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每日各项目应获得小时值数据量均按24个计，考核时段天数按考核时段内日历天数计。计算应获得小时值数据量时，应扣除因不可抗力造成的停止监测的小时数。</w:t>
      </w:r>
    </w:p>
    <w:p w14:paraId="26D86F17">
      <w:pPr>
        <w:widowControl/>
        <w:spacing w:line="520" w:lineRule="exact"/>
        <w:ind w:firstLine="560" w:firstLineChars="200"/>
        <w:rPr>
          <w:rFonts w:hint="eastAsia" w:ascii="仿宋" w:hAnsi="仿宋" w:eastAsia="仿宋" w:cs="仿宋"/>
          <w:color w:val="000000" w:themeColor="text1"/>
          <w:sz w:val="28"/>
          <w:szCs w:val="28"/>
          <w:highlight w:val="none"/>
          <w:lang w:eastAsia="zh-CN"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考核时段内单站设备数据捕获率必须高于90%(含)，否则考核总分以0分计，不予支付该站点</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考核时段</w:t>
      </w:r>
      <w:r>
        <w:rPr>
          <w:rFonts w:hint="eastAsia" w:ascii="仿宋" w:hAnsi="仿宋" w:eastAsia="仿宋" w:cs="仿宋"/>
          <w:color w:val="000000" w:themeColor="text1"/>
          <w:sz w:val="28"/>
          <w:szCs w:val="28"/>
          <w:highlight w:val="none"/>
          <w:lang w:bidi="ar"/>
          <w14:textFill>
            <w14:solidFill>
              <w14:schemeClr w14:val="tx1"/>
            </w14:solidFill>
          </w14:textFill>
        </w:rPr>
        <w:t>内运维费用</w:t>
      </w:r>
      <w:r>
        <w:rPr>
          <w:rFonts w:hint="eastAsia" w:ascii="仿宋" w:hAnsi="仿宋" w:eastAsia="仿宋" w:cs="仿宋"/>
          <w:color w:val="000000" w:themeColor="text1"/>
          <w:sz w:val="28"/>
          <w:szCs w:val="28"/>
          <w:highlight w:val="none"/>
          <w:lang w:eastAsia="zh-CN" w:bidi="ar"/>
          <w14:textFill>
            <w14:solidFill>
              <w14:schemeClr w14:val="tx1"/>
            </w14:solidFill>
          </w14:textFill>
        </w:rPr>
        <w:t>（</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单站点考核时段内运维费用=合同总金额</w:t>
      </w:r>
      <w:r>
        <w:rPr>
          <w:rFonts w:hint="eastAsia" w:ascii="微软雅黑" w:hAnsi="微软雅黑" w:eastAsia="微软雅黑" w:cs="微软雅黑"/>
          <w:color w:val="000000" w:themeColor="text1"/>
          <w:sz w:val="28"/>
          <w:szCs w:val="28"/>
          <w:highlight w:val="none"/>
          <w:lang w:val="en-US" w:eastAsia="zh-CN" w:bidi="ar"/>
          <w14:textFill>
            <w14:solidFill>
              <w14:schemeClr w14:val="tx1"/>
            </w14:solidFill>
          </w14:textFill>
        </w:rPr>
        <w:t>÷</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乙方考核期内运维站点数量÷12月×考核期内整月数</w:t>
      </w:r>
      <w:r>
        <w:rPr>
          <w:rFonts w:hint="eastAsia" w:ascii="仿宋" w:hAnsi="仿宋" w:eastAsia="仿宋" w:cs="仿宋"/>
          <w:color w:val="000000" w:themeColor="text1"/>
          <w:sz w:val="28"/>
          <w:szCs w:val="28"/>
          <w:highlight w:val="none"/>
          <w:lang w:eastAsia="zh-CN" w:bidi="ar"/>
          <w14:textFill>
            <w14:solidFill>
              <w14:schemeClr w14:val="tx1"/>
            </w14:solidFill>
          </w14:textFill>
        </w:rPr>
        <w:t>）</w:t>
      </w:r>
      <w:r>
        <w:rPr>
          <w:rFonts w:hint="eastAsia" w:ascii="仿宋" w:hAnsi="仿宋" w:eastAsia="仿宋" w:cs="仿宋"/>
          <w:color w:val="000000" w:themeColor="text1"/>
          <w:sz w:val="28"/>
          <w:szCs w:val="28"/>
          <w:highlight w:val="none"/>
          <w:lang w:bidi="ar"/>
          <w14:textFill>
            <w14:solidFill>
              <w14:schemeClr w14:val="tx1"/>
            </w14:solidFill>
          </w14:textFill>
        </w:rPr>
        <w:t>，如已支付须在考核后15个工作日内退还</w:t>
      </w:r>
      <w:r>
        <w:rPr>
          <w:rFonts w:hint="eastAsia" w:ascii="仿宋" w:hAnsi="仿宋" w:eastAsia="仿宋" w:cs="仿宋"/>
          <w:color w:val="000000" w:themeColor="text1"/>
          <w:sz w:val="28"/>
          <w:szCs w:val="28"/>
          <w:highlight w:val="none"/>
          <w:lang w:eastAsia="zh-CN" w:bidi="ar"/>
          <w14:textFill>
            <w14:solidFill>
              <w14:schemeClr w14:val="tx1"/>
            </w14:solidFill>
          </w14:textFill>
        </w:rPr>
        <w:t>；</w:t>
      </w:r>
      <w:r>
        <w:rPr>
          <w:rFonts w:hint="eastAsia" w:ascii="仿宋" w:hAnsi="仿宋" w:eastAsia="仿宋" w:cs="仿宋"/>
          <w:color w:val="000000" w:themeColor="text1"/>
          <w:sz w:val="28"/>
          <w:szCs w:val="28"/>
          <w:highlight w:val="none"/>
          <w:lang w:bidi="ar"/>
          <w14:textFill>
            <w14:solidFill>
              <w14:schemeClr w14:val="tx1"/>
            </w14:solidFill>
          </w14:textFill>
        </w:rPr>
        <w:t>单站设备数据质控合格率必须高于80%，否则该站点考核以0分计，不予支付该站点</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考核时段</w:t>
      </w:r>
      <w:r>
        <w:rPr>
          <w:rFonts w:hint="eastAsia" w:ascii="仿宋" w:hAnsi="仿宋" w:eastAsia="仿宋" w:cs="仿宋"/>
          <w:color w:val="000000" w:themeColor="text1"/>
          <w:sz w:val="28"/>
          <w:szCs w:val="28"/>
          <w:highlight w:val="none"/>
          <w:lang w:bidi="ar"/>
          <w14:textFill>
            <w14:solidFill>
              <w14:schemeClr w14:val="tx1"/>
            </w14:solidFill>
          </w14:textFill>
        </w:rPr>
        <w:t>内运维费用，如已支付须在考核后15个工作日内退还</w:t>
      </w:r>
      <w:r>
        <w:rPr>
          <w:rFonts w:hint="eastAsia" w:ascii="仿宋" w:hAnsi="仿宋" w:eastAsia="仿宋" w:cs="仿宋"/>
          <w:color w:val="000000" w:themeColor="text1"/>
          <w:sz w:val="28"/>
          <w:szCs w:val="28"/>
          <w:highlight w:val="none"/>
          <w:lang w:eastAsia="zh-CN" w:bidi="ar"/>
          <w14:textFill>
            <w14:solidFill>
              <w14:schemeClr w14:val="tx1"/>
            </w14:solidFill>
          </w14:textFill>
        </w:rPr>
        <w:t>。</w:t>
      </w:r>
    </w:p>
    <w:p w14:paraId="0B8126D7">
      <w:pPr>
        <w:widowControl/>
        <w:spacing w:line="520" w:lineRule="exact"/>
        <w:ind w:firstLine="560" w:firstLineChars="200"/>
        <w:rPr>
          <w:rFonts w:hint="eastAsia"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单站监测数据质控合格率高于90%(含)的，得70分；80%(含)-90%的，得分为70×（数据质控合格率/90%）。</w:t>
      </w:r>
    </w:p>
    <w:p w14:paraId="0CC5A637">
      <w:pPr>
        <w:bidi w:val="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（2）运行维护(30分)</w:t>
      </w:r>
    </w:p>
    <w:p w14:paraId="112757BB">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运行维护部分由甲方组织第三方开展检查、甲方不定期抽查，检查内容包括</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但不限于</w:t>
      </w:r>
      <w:r>
        <w:rPr>
          <w:rFonts w:hint="eastAsia" w:ascii="仿宋" w:hAnsi="仿宋" w:eastAsia="仿宋" w:cs="仿宋"/>
          <w:color w:val="000000" w:themeColor="text1"/>
          <w:sz w:val="28"/>
          <w:szCs w:val="28"/>
          <w:highlight w:val="none"/>
          <w:lang w:bidi="ar"/>
          <w14:textFill>
            <w14:solidFill>
              <w14:schemeClr w14:val="tx1"/>
            </w14:solidFill>
          </w14:textFill>
        </w:rPr>
        <w:t>日常运维任务完成情况、异常情况处理情况、站房环境保障效果、采样系统维护效果、仪器日常维护效果、质量控制效果、通讯系统维护效果（数据上传发布情况）、人员与档案记录管理情况等，共计30分。检查满分100分，考核时运行维护得分=检查得分×0.3分。</w:t>
      </w:r>
    </w:p>
    <w:p w14:paraId="2B026626">
      <w:pPr>
        <w:bidi w:val="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7.3运维费核算方法</w:t>
      </w:r>
    </w:p>
    <w:p w14:paraId="1D58F29B">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根据数据有效性核查及第三方检查</w:t>
      </w:r>
      <w:r>
        <w:rPr>
          <w:rFonts w:hint="eastAsia" w:ascii="仿宋" w:hAnsi="仿宋" w:eastAsia="仿宋" w:cs="仿宋"/>
          <w:color w:val="000000" w:themeColor="text1"/>
          <w:sz w:val="28"/>
          <w:szCs w:val="28"/>
          <w:highlight w:val="none"/>
          <w:lang w:eastAsia="zh-CN" w:bidi="ar"/>
          <w14:textFill>
            <w14:solidFill>
              <w14:schemeClr w14:val="tx1"/>
            </w14:solidFill>
          </w14:textFill>
        </w:rPr>
        <w:t>（</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考核</w:t>
      </w:r>
      <w:r>
        <w:rPr>
          <w:rFonts w:hint="eastAsia" w:ascii="仿宋" w:hAnsi="仿宋" w:eastAsia="仿宋" w:cs="仿宋"/>
          <w:color w:val="000000" w:themeColor="text1"/>
          <w:sz w:val="28"/>
          <w:szCs w:val="28"/>
          <w:highlight w:val="none"/>
          <w:lang w:eastAsia="zh-CN" w:bidi="ar"/>
          <w14:textFill>
            <w14:solidFill>
              <w14:schemeClr w14:val="tx1"/>
            </w14:solidFill>
          </w14:textFill>
        </w:rPr>
        <w:t>）</w:t>
      </w:r>
      <w:r>
        <w:rPr>
          <w:rFonts w:hint="eastAsia" w:ascii="仿宋" w:hAnsi="仿宋" w:eastAsia="仿宋" w:cs="仿宋"/>
          <w:color w:val="000000" w:themeColor="text1"/>
          <w:sz w:val="28"/>
          <w:szCs w:val="28"/>
          <w:highlight w:val="none"/>
          <w:lang w:bidi="ar"/>
          <w14:textFill>
            <w14:solidFill>
              <w14:schemeClr w14:val="tx1"/>
            </w14:solidFill>
          </w14:textFill>
        </w:rPr>
        <w:t>结果，单站点考核总分低于80分的，不予支付该站点当期运维费，如已支付须在考核结果出具后15个工作日内退还；考核总分95（含）分以上的，支付该站点当期全额运维费；考核总分在80（含）-95分的，该站点当</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次考核期内</w:t>
      </w:r>
      <w:r>
        <w:rPr>
          <w:rFonts w:hint="eastAsia" w:ascii="仿宋" w:hAnsi="仿宋" w:eastAsia="仿宋" w:cs="仿宋"/>
          <w:color w:val="000000" w:themeColor="text1"/>
          <w:sz w:val="28"/>
          <w:szCs w:val="28"/>
          <w:highlight w:val="none"/>
          <w:lang w:bidi="ar"/>
          <w14:textFill>
            <w14:solidFill>
              <w14:schemeClr w14:val="tx1"/>
            </w14:solidFill>
          </w14:textFill>
        </w:rPr>
        <w:t>运维费= (实际考核总分/100)×单站点</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当期</w:t>
      </w:r>
      <w:r>
        <w:rPr>
          <w:rFonts w:hint="eastAsia" w:ascii="仿宋" w:hAnsi="仿宋" w:eastAsia="仿宋" w:cs="仿宋"/>
          <w:color w:val="000000" w:themeColor="text1"/>
          <w:sz w:val="28"/>
          <w:szCs w:val="28"/>
          <w:highlight w:val="none"/>
          <w:lang w:bidi="ar"/>
          <w14:textFill>
            <w14:solidFill>
              <w14:schemeClr w14:val="tx1"/>
            </w14:solidFill>
          </w14:textFill>
        </w:rPr>
        <w:t>全额运维费，如已全额支付须在考核结果出具后15个工作日内退还扣减部分。</w:t>
      </w:r>
    </w:p>
    <w:p w14:paraId="682F8E92">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根据省监测中心抽查</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或组织的验收检查</w:t>
      </w:r>
      <w:r>
        <w:rPr>
          <w:rFonts w:hint="eastAsia" w:ascii="仿宋" w:hAnsi="仿宋" w:eastAsia="仿宋" w:cs="仿宋"/>
          <w:color w:val="000000" w:themeColor="text1"/>
          <w:sz w:val="28"/>
          <w:szCs w:val="28"/>
          <w:highlight w:val="none"/>
          <w:lang w:bidi="ar"/>
          <w14:textFill>
            <w14:solidFill>
              <w14:schemeClr w14:val="tx1"/>
            </w14:solidFill>
          </w14:textFill>
        </w:rPr>
        <w:t>结果，</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得</w:t>
      </w:r>
      <w:r>
        <w:rPr>
          <w:rFonts w:hint="eastAsia" w:ascii="仿宋" w:hAnsi="仿宋" w:eastAsia="仿宋" w:cs="仿宋"/>
          <w:color w:val="000000" w:themeColor="text1"/>
          <w:sz w:val="28"/>
          <w:szCs w:val="28"/>
          <w:highlight w:val="none"/>
          <w:lang w:bidi="ar"/>
          <w14:textFill>
            <w14:solidFill>
              <w14:schemeClr w14:val="tx1"/>
            </w14:solidFill>
          </w14:textFill>
        </w:rPr>
        <w:t>分95（含）分以上的，支付该站点当</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月</w:t>
      </w:r>
      <w:r>
        <w:rPr>
          <w:rFonts w:hint="eastAsia" w:ascii="仿宋" w:hAnsi="仿宋" w:eastAsia="仿宋" w:cs="仿宋"/>
          <w:color w:val="000000" w:themeColor="text1"/>
          <w:sz w:val="28"/>
          <w:szCs w:val="28"/>
          <w:highlight w:val="none"/>
          <w:lang w:bidi="ar"/>
          <w14:textFill>
            <w14:solidFill>
              <w14:schemeClr w14:val="tx1"/>
            </w14:solidFill>
          </w14:textFill>
        </w:rPr>
        <w:t>全额运维费；</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得</w:t>
      </w:r>
      <w:r>
        <w:rPr>
          <w:rFonts w:hint="eastAsia" w:ascii="仿宋" w:hAnsi="仿宋" w:eastAsia="仿宋" w:cs="仿宋"/>
          <w:color w:val="000000" w:themeColor="text1"/>
          <w:sz w:val="28"/>
          <w:szCs w:val="28"/>
          <w:highlight w:val="none"/>
          <w:lang w:bidi="ar"/>
          <w14:textFill>
            <w14:solidFill>
              <w14:schemeClr w14:val="tx1"/>
            </w14:solidFill>
          </w14:textFill>
        </w:rPr>
        <w:t>分在80（含）-95分的，该站点当</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月</w:t>
      </w:r>
      <w:r>
        <w:rPr>
          <w:rFonts w:hint="eastAsia" w:ascii="仿宋" w:hAnsi="仿宋" w:eastAsia="仿宋" w:cs="仿宋"/>
          <w:color w:val="000000" w:themeColor="text1"/>
          <w:sz w:val="28"/>
          <w:szCs w:val="28"/>
          <w:highlight w:val="none"/>
          <w:lang w:bidi="ar"/>
          <w14:textFill>
            <w14:solidFill>
              <w14:schemeClr w14:val="tx1"/>
            </w14:solidFill>
          </w14:textFill>
        </w:rPr>
        <w:t>运维费= (实际考核总分/100)×单站点</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当月</w:t>
      </w:r>
      <w:r>
        <w:rPr>
          <w:rFonts w:hint="eastAsia" w:ascii="仿宋" w:hAnsi="仿宋" w:eastAsia="仿宋" w:cs="仿宋"/>
          <w:color w:val="000000" w:themeColor="text1"/>
          <w:sz w:val="28"/>
          <w:szCs w:val="28"/>
          <w:highlight w:val="none"/>
          <w:lang w:bidi="ar"/>
          <w14:textFill>
            <w14:solidFill>
              <w14:schemeClr w14:val="tx1"/>
            </w14:solidFill>
          </w14:textFill>
        </w:rPr>
        <w:t>全额运维费</w:t>
      </w:r>
      <w:r>
        <w:rPr>
          <w:rFonts w:hint="eastAsia" w:ascii="仿宋" w:hAnsi="仿宋" w:eastAsia="仿宋" w:cs="仿宋"/>
          <w:color w:val="000000" w:themeColor="text1"/>
          <w:sz w:val="28"/>
          <w:szCs w:val="28"/>
          <w:highlight w:val="none"/>
          <w:lang w:eastAsia="zh-CN" w:bidi="ar"/>
          <w14:textFill>
            <w14:solidFill>
              <w14:schemeClr w14:val="tx1"/>
            </w14:solidFill>
          </w14:textFill>
        </w:rPr>
        <w:t>；</w:t>
      </w:r>
      <w:r>
        <w:rPr>
          <w:rFonts w:hint="eastAsia" w:ascii="仿宋" w:hAnsi="仿宋" w:eastAsia="仿宋" w:cs="仿宋"/>
          <w:color w:val="000000" w:themeColor="text1"/>
          <w:sz w:val="28"/>
          <w:szCs w:val="28"/>
          <w:highlight w:val="none"/>
          <w:lang w:bidi="ar"/>
          <w14:textFill>
            <w14:solidFill>
              <w14:schemeClr w14:val="tx1"/>
            </w14:solidFill>
          </w14:textFill>
        </w:rPr>
        <w:t>单站点</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得分</w:t>
      </w:r>
      <w:r>
        <w:rPr>
          <w:rFonts w:hint="eastAsia" w:ascii="仿宋" w:hAnsi="仿宋" w:eastAsia="仿宋" w:cs="仿宋"/>
          <w:color w:val="000000" w:themeColor="text1"/>
          <w:sz w:val="28"/>
          <w:szCs w:val="28"/>
          <w:highlight w:val="none"/>
          <w:lang w:bidi="ar"/>
          <w14:textFill>
            <w14:solidFill>
              <w14:schemeClr w14:val="tx1"/>
            </w14:solidFill>
          </w14:textFill>
        </w:rPr>
        <w:t>低于80分的不予支付</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乙方</w:t>
      </w:r>
      <w:r>
        <w:rPr>
          <w:rFonts w:hint="eastAsia" w:ascii="仿宋" w:hAnsi="仿宋" w:eastAsia="仿宋" w:cs="仿宋"/>
          <w:color w:val="000000" w:themeColor="text1"/>
          <w:sz w:val="28"/>
          <w:szCs w:val="28"/>
          <w:highlight w:val="none"/>
          <w:lang w:bidi="ar"/>
          <w14:textFill>
            <w14:solidFill>
              <w14:schemeClr w14:val="tx1"/>
            </w14:solidFill>
          </w14:textFill>
        </w:rPr>
        <w:t>当月运维费；</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检查中发现的问题</w:t>
      </w:r>
      <w:r>
        <w:rPr>
          <w:rFonts w:hint="eastAsia" w:ascii="仿宋" w:hAnsi="仿宋" w:eastAsia="仿宋" w:cs="仿宋"/>
          <w:color w:val="000000" w:themeColor="text1"/>
          <w:sz w:val="28"/>
          <w:szCs w:val="28"/>
          <w:highlight w:val="none"/>
          <w:lang w:bidi="ar"/>
          <w14:textFill>
            <w14:solidFill>
              <w14:schemeClr w14:val="tx1"/>
            </w14:solidFill>
          </w14:textFill>
        </w:rPr>
        <w:t>如未</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在2周内</w:t>
      </w:r>
      <w:r>
        <w:rPr>
          <w:rFonts w:hint="eastAsia" w:ascii="仿宋" w:hAnsi="仿宋" w:eastAsia="仿宋" w:cs="仿宋"/>
          <w:color w:val="000000" w:themeColor="text1"/>
          <w:sz w:val="28"/>
          <w:szCs w:val="28"/>
          <w:highlight w:val="none"/>
          <w:lang w:bidi="ar"/>
          <w14:textFill>
            <w14:solidFill>
              <w14:schemeClr w14:val="tx1"/>
            </w14:solidFill>
          </w14:textFill>
        </w:rPr>
        <w:t>整改，加倍扣款。如已支付须在检查后15个工作日内退还。</w:t>
      </w:r>
    </w:p>
    <w:p w14:paraId="1B1A01B6">
      <w:pPr>
        <w:bidi w:val="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7.4其他规定</w:t>
      </w:r>
    </w:p>
    <w:p w14:paraId="2DD96052">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（1）乙方有下列情形之一的，将扣除相应站点当月运行经费，如已支付须在乙方收到甲方通知后的15个工作日内退还：</w:t>
      </w:r>
    </w:p>
    <w:p w14:paraId="1697E384">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迟报、漏报或不报审核数据的；</w:t>
      </w:r>
    </w:p>
    <w:p w14:paraId="0AF005C1">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拖延、阻碍、拒绝质量检查或随机检查的；</w:t>
      </w:r>
    </w:p>
    <w:p w14:paraId="237C92BF">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发现采样、分析、数据采集和传输等过程人为干扰，未按要求及时向甲方报告的；</w:t>
      </w:r>
    </w:p>
    <w:p w14:paraId="5B685AA5">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因工作疏漏，未发现采样、分析、数据采集和传输等过程人为干扰的；</w:t>
      </w:r>
    </w:p>
    <w:p w14:paraId="440A5211">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其他不履行规定职责的情形。</w:t>
      </w:r>
    </w:p>
    <w:p w14:paraId="30C33C89">
      <w:pPr>
        <w:widowControl/>
        <w:numPr>
          <w:ilvl w:val="0"/>
          <w:numId w:val="3"/>
        </w:numPr>
        <w:spacing w:line="520" w:lineRule="exact"/>
        <w:ind w:firstLine="560" w:firstLineChars="200"/>
        <w:rPr>
          <w:rFonts w:hint="eastAsia"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乙方在</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任意1个季度内</w:t>
      </w:r>
      <w:r>
        <w:rPr>
          <w:rFonts w:hint="eastAsia" w:ascii="仿宋" w:hAnsi="仿宋" w:eastAsia="仿宋" w:cs="仿宋"/>
          <w:color w:val="000000" w:themeColor="text1"/>
          <w:sz w:val="28"/>
          <w:szCs w:val="28"/>
          <w:highlight w:val="none"/>
          <w:lang w:bidi="ar"/>
          <w14:textFill>
            <w14:solidFill>
              <w14:schemeClr w14:val="tx1"/>
            </w14:solidFill>
          </w14:textFill>
        </w:rPr>
        <w:t>出现2个及以上站点未达到数据有效性要求的，给予警告；连续</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2个季度</w:t>
      </w:r>
      <w:r>
        <w:rPr>
          <w:rFonts w:hint="eastAsia" w:ascii="仿宋" w:hAnsi="仿宋" w:eastAsia="仿宋" w:cs="仿宋"/>
          <w:color w:val="000000" w:themeColor="text1"/>
          <w:sz w:val="28"/>
          <w:szCs w:val="28"/>
          <w:highlight w:val="none"/>
          <w:lang w:bidi="ar"/>
          <w14:textFill>
            <w14:solidFill>
              <w14:schemeClr w14:val="tx1"/>
            </w14:solidFill>
          </w14:textFill>
        </w:rPr>
        <w:t>出现2个及以上站点未达到或者</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任意1个季度内</w:t>
      </w:r>
      <w:r>
        <w:rPr>
          <w:rFonts w:hint="eastAsia" w:ascii="仿宋" w:hAnsi="仿宋" w:eastAsia="仿宋" w:cs="仿宋"/>
          <w:color w:val="000000" w:themeColor="text1"/>
          <w:sz w:val="28"/>
          <w:szCs w:val="28"/>
          <w:highlight w:val="none"/>
          <w:lang w:bidi="ar"/>
          <w14:textFill>
            <w14:solidFill>
              <w14:schemeClr w14:val="tx1"/>
            </w14:solidFill>
          </w14:textFill>
        </w:rPr>
        <w:t>4个及以上站点未达到数据有效性要求的，终止运维合同。同一站点连续2个月未达到数据有效性要求的，甲方有权解除运维合同。</w:t>
      </w:r>
    </w:p>
    <w:p w14:paraId="3D2D87AB">
      <w:pPr>
        <w:widowControl/>
        <w:numPr>
          <w:ilvl w:val="0"/>
          <w:numId w:val="3"/>
        </w:numPr>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考核期</w:t>
      </w:r>
      <w:r>
        <w:rPr>
          <w:rFonts w:hint="eastAsia" w:ascii="仿宋" w:hAnsi="仿宋" w:eastAsia="仿宋" w:cs="仿宋"/>
          <w:color w:val="000000" w:themeColor="text1"/>
          <w:sz w:val="28"/>
          <w:szCs w:val="28"/>
          <w:highlight w:val="none"/>
          <w:lang w:bidi="ar"/>
          <w14:textFill>
            <w14:solidFill>
              <w14:schemeClr w14:val="tx1"/>
            </w14:solidFill>
          </w14:textFill>
        </w:rPr>
        <w:t>内单个站点任一监测项目有效数据量应满足《环境空气质量标准》（GB 3095-2012）中规定的污染物浓度数据有效性的最低要求，否则该站点考核为0分，不予支付该站点合同期内运维费用，如已支付须在考核结果出具后15个工作日内退还。</w:t>
      </w:r>
    </w:p>
    <w:p w14:paraId="16484292">
      <w:pPr>
        <w:bidi w:val="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7.5监督管理</w:t>
      </w:r>
    </w:p>
    <w:p w14:paraId="36565D57">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1）乙方承担监测数据的保密责任（另行签订保密协议），不得使本项目的数据、档案或有关资料等对外泄露（无论乙方是否具有过错），不得利用本项目的数据、档案或有关资料对外开展技术交流、业务联系、数据交换等。否则，甲方有权终止合同。本项目</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服务期满后</w:t>
      </w:r>
      <w:r>
        <w:rPr>
          <w:rFonts w:hint="eastAsia" w:ascii="仿宋" w:hAnsi="仿宋" w:eastAsia="仿宋" w:cs="仿宋"/>
          <w:color w:val="000000" w:themeColor="text1"/>
          <w:sz w:val="28"/>
          <w:szCs w:val="28"/>
          <w:highlight w:val="none"/>
          <w:lang w:bidi="ar"/>
          <w14:textFill>
            <w14:solidFill>
              <w14:schemeClr w14:val="tx1"/>
            </w14:solidFill>
          </w14:textFill>
        </w:rPr>
        <w:t>，乙方将甲方交付及项目过程中形成的数据</w:t>
      </w:r>
      <w:r>
        <w:rPr>
          <w:rFonts w:hint="eastAsia" w:ascii="仿宋" w:hAnsi="仿宋" w:eastAsia="仿宋" w:cs="仿宋"/>
          <w:color w:val="000000" w:themeColor="text1"/>
          <w:sz w:val="28"/>
          <w:szCs w:val="28"/>
          <w:highlight w:val="none"/>
          <w:lang w:eastAsia="zh-CN" w:bidi="ar"/>
          <w14:textFill>
            <w14:solidFill>
              <w14:schemeClr w14:val="tx1"/>
            </w14:solidFill>
          </w14:textFill>
        </w:rPr>
        <w:t>、</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运维工作记录、站点交接记录、备机及质控设备使用记录等材料</w:t>
      </w:r>
      <w:r>
        <w:rPr>
          <w:rFonts w:hint="eastAsia" w:ascii="仿宋" w:hAnsi="仿宋" w:eastAsia="仿宋" w:cs="仿宋"/>
          <w:color w:val="000000" w:themeColor="text1"/>
          <w:sz w:val="28"/>
          <w:szCs w:val="28"/>
          <w:highlight w:val="none"/>
          <w:lang w:bidi="ar"/>
          <w14:textFill>
            <w14:solidFill>
              <w14:schemeClr w14:val="tx1"/>
            </w14:solidFill>
          </w14:textFill>
        </w:rPr>
        <w:t>交</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与</w:t>
      </w:r>
      <w:r>
        <w:rPr>
          <w:rFonts w:hint="eastAsia" w:ascii="仿宋" w:hAnsi="仿宋" w:eastAsia="仿宋" w:cs="仿宋"/>
          <w:color w:val="000000" w:themeColor="text1"/>
          <w:sz w:val="28"/>
          <w:szCs w:val="28"/>
          <w:highlight w:val="none"/>
          <w:lang w:bidi="ar"/>
          <w14:textFill>
            <w14:solidFill>
              <w14:schemeClr w14:val="tx1"/>
            </w14:solidFill>
          </w14:textFill>
        </w:rPr>
        <w:t>甲方，并配合甲方办理交接手续。未经甲方书面许可，乙方承诺不以任何形式就上述资料进行留存。</w:t>
      </w:r>
    </w:p>
    <w:p w14:paraId="33BB8497">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（2）运维期间出现调整数据、修改参数、改动设备、弄虚作假等违规行为的，甲方有权终止运维合同。</w:t>
      </w:r>
    </w:p>
    <w:p w14:paraId="74DBBBB3">
      <w:pPr>
        <w:widowControl/>
        <w:spacing w:line="50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（3）运维期间，乙方保证其工作人员</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数量及</w:t>
      </w:r>
      <w:r>
        <w:rPr>
          <w:rFonts w:hint="eastAsia" w:ascii="仿宋" w:hAnsi="仿宋" w:eastAsia="仿宋" w:cs="仿宋"/>
          <w:color w:val="000000" w:themeColor="text1"/>
          <w:sz w:val="28"/>
          <w:szCs w:val="28"/>
          <w:highlight w:val="none"/>
          <w:lang w:bidi="ar"/>
          <w14:textFill>
            <w14:solidFill>
              <w14:schemeClr w14:val="tx1"/>
            </w14:solidFill>
          </w14:textFill>
        </w:rPr>
        <w:t>具有</w:t>
      </w:r>
      <w:r>
        <w:rPr>
          <w:rFonts w:hint="eastAsia" w:ascii="仿宋" w:hAnsi="仿宋" w:eastAsia="仿宋" w:cs="仿宋"/>
          <w:b w:val="0"/>
          <w:bCs/>
          <w:color w:val="000000" w:themeColor="text1"/>
          <w:kern w:val="2"/>
          <w:sz w:val="28"/>
          <w:szCs w:val="28"/>
          <w:highlight w:val="none"/>
          <w:lang w:bidi="ar"/>
          <w14:textFill>
            <w14:solidFill>
              <w14:schemeClr w14:val="tx1"/>
            </w14:solidFill>
          </w14:textFill>
        </w:rPr>
        <w:t>中国环境监测总站颁发的</w:t>
      </w:r>
      <w:r>
        <w:rPr>
          <w:rFonts w:hint="eastAsia" w:ascii="仿宋" w:hAnsi="仿宋" w:eastAsia="仿宋" w:cs="仿宋"/>
          <w:b w:val="0"/>
          <w:bCs/>
          <w:color w:val="000000" w:themeColor="text1"/>
          <w:kern w:val="2"/>
          <w:sz w:val="28"/>
          <w:szCs w:val="28"/>
          <w:highlight w:val="none"/>
          <w:lang w:val="en-US" w:eastAsia="zh-CN" w:bidi="ar"/>
          <w14:textFill>
            <w14:solidFill>
              <w14:schemeClr w14:val="tx1"/>
            </w14:solidFill>
          </w14:textFill>
        </w:rPr>
        <w:t>在有效期内的</w:t>
      </w:r>
      <w:r>
        <w:rPr>
          <w:rFonts w:hint="eastAsia" w:ascii="仿宋" w:hAnsi="仿宋" w:eastAsia="仿宋" w:cs="仿宋"/>
          <w:b w:val="0"/>
          <w:bCs/>
          <w:color w:val="000000" w:themeColor="text1"/>
          <w:kern w:val="2"/>
          <w:sz w:val="28"/>
          <w:szCs w:val="28"/>
          <w:highlight w:val="none"/>
          <w:lang w:bidi="ar"/>
          <w14:textFill>
            <w14:solidFill>
              <w14:schemeClr w14:val="tx1"/>
            </w14:solidFill>
          </w14:textFill>
        </w:rPr>
        <w:t>环境空气质量自动监测运维与质控技术培训合格证书</w:t>
      </w:r>
      <w:r>
        <w:rPr>
          <w:rFonts w:hint="eastAsia" w:ascii="仿宋" w:hAnsi="仿宋" w:eastAsia="仿宋" w:cs="仿宋"/>
          <w:color w:val="000000" w:themeColor="text1"/>
          <w:sz w:val="28"/>
          <w:szCs w:val="28"/>
          <w:highlight w:val="none"/>
          <w:lang w:bidi="ar"/>
          <w14:textFill>
            <w14:solidFill>
              <w14:schemeClr w14:val="tx1"/>
            </w14:solidFill>
          </w14:textFill>
        </w:rPr>
        <w:t>，</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乙方在合同签订５个工作日内向甲方提供工作人员名单及人员配置方案（含人员</w:t>
      </w:r>
      <w:r>
        <w:rPr>
          <w:rFonts w:hint="eastAsia" w:ascii="仿宋" w:hAnsi="仿宋" w:eastAsia="仿宋" w:cs="仿宋"/>
          <w:b w:val="0"/>
          <w:bCs/>
          <w:color w:val="000000" w:themeColor="text1"/>
          <w:kern w:val="2"/>
          <w:sz w:val="28"/>
          <w:szCs w:val="28"/>
          <w:highlight w:val="none"/>
          <w:lang w:bidi="ar"/>
          <w14:textFill>
            <w14:solidFill>
              <w14:schemeClr w14:val="tx1"/>
            </w14:solidFill>
          </w14:textFill>
        </w:rPr>
        <w:t>培训合格证书</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复印件，方案须加盖公章），乙方</w:t>
      </w:r>
      <w:r>
        <w:rPr>
          <w:rFonts w:ascii="仿宋" w:hAnsi="仿宋" w:eastAsia="仿宋" w:cs="仿宋"/>
          <w:color w:val="000000" w:themeColor="text1"/>
          <w:sz w:val="28"/>
          <w:szCs w:val="28"/>
          <w:highlight w:val="none"/>
          <w:lang w:bidi="ar"/>
          <w14:textFill>
            <w14:solidFill>
              <w14:schemeClr w14:val="tx1"/>
            </w14:solidFill>
          </w14:textFill>
        </w:rPr>
        <w:t>必须保障人员的稳定性</w:t>
      </w:r>
      <w:r>
        <w:rPr>
          <w:rFonts w:hint="eastAsia" w:ascii="仿宋" w:hAnsi="仿宋" w:eastAsia="仿宋" w:cs="仿宋"/>
          <w:color w:val="000000" w:themeColor="text1"/>
          <w:sz w:val="28"/>
          <w:szCs w:val="28"/>
          <w:highlight w:val="none"/>
          <w:lang w:eastAsia="zh-CN" w:bidi="ar"/>
          <w14:textFill>
            <w14:solidFill>
              <w14:schemeClr w14:val="tx1"/>
            </w14:solidFill>
          </w14:textFill>
        </w:rPr>
        <w:t>，</w:t>
      </w:r>
      <w:r>
        <w:rPr>
          <w:rFonts w:ascii="仿宋" w:hAnsi="仿宋" w:eastAsia="仿宋" w:cs="仿宋"/>
          <w:color w:val="000000" w:themeColor="text1"/>
          <w:sz w:val="28"/>
          <w:szCs w:val="28"/>
          <w:highlight w:val="none"/>
          <w:lang w:bidi="ar"/>
          <w14:textFill>
            <w14:solidFill>
              <w14:schemeClr w14:val="tx1"/>
            </w14:solidFill>
          </w14:textFill>
        </w:rPr>
        <w:t>如在运维合同期内不得已发生人员变动，应提前向采购人提供情况说明及新变动人员的</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相关</w:t>
      </w:r>
      <w:r>
        <w:rPr>
          <w:rFonts w:ascii="仿宋" w:hAnsi="仿宋" w:eastAsia="仿宋" w:cs="仿宋"/>
          <w:color w:val="000000" w:themeColor="text1"/>
          <w:sz w:val="28"/>
          <w:szCs w:val="28"/>
          <w:highlight w:val="none"/>
          <w:lang w:bidi="ar"/>
          <w14:textFill>
            <w14:solidFill>
              <w14:schemeClr w14:val="tx1"/>
            </w14:solidFill>
          </w14:textFill>
        </w:rPr>
        <w:t>材料,</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新变动人员须满足招标文件要求，</w:t>
      </w:r>
      <w:r>
        <w:rPr>
          <w:rFonts w:ascii="仿宋" w:hAnsi="仿宋" w:eastAsia="仿宋" w:cs="仿宋"/>
          <w:color w:val="000000" w:themeColor="text1"/>
          <w:sz w:val="28"/>
          <w:szCs w:val="28"/>
          <w:highlight w:val="none"/>
          <w:lang w:bidi="ar"/>
          <w14:textFill>
            <w14:solidFill>
              <w14:schemeClr w14:val="tx1"/>
            </w14:solidFill>
          </w14:textFill>
        </w:rPr>
        <w:t>并获得采购人同意后方能上岗</w:t>
      </w:r>
      <w:r>
        <w:rPr>
          <w:rFonts w:hint="eastAsia" w:ascii="仿宋" w:hAnsi="仿宋" w:eastAsia="仿宋" w:cs="仿宋"/>
          <w:color w:val="000000" w:themeColor="text1"/>
          <w:sz w:val="28"/>
          <w:szCs w:val="28"/>
          <w:highlight w:val="none"/>
          <w:lang w:bidi="ar"/>
          <w14:textFill>
            <w14:solidFill>
              <w14:schemeClr w14:val="tx1"/>
            </w14:solidFill>
          </w14:textFill>
        </w:rPr>
        <w:t>。</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乙方</w:t>
      </w:r>
      <w:r>
        <w:rPr>
          <w:rFonts w:hint="eastAsia" w:ascii="仿宋" w:hAnsi="仿宋" w:eastAsia="仿宋" w:cs="仿宋"/>
          <w:color w:val="000000" w:themeColor="text1"/>
          <w:sz w:val="28"/>
          <w:szCs w:val="28"/>
          <w:highlight w:val="none"/>
          <w:lang w:bidi="ar"/>
          <w14:textFill>
            <w14:solidFill>
              <w14:schemeClr w14:val="tx1"/>
            </w14:solidFill>
          </w14:textFill>
        </w:rPr>
        <w:t>应按安全生产有关规定，建立安全生产制度，切实消除安全隐患。运维期间发生人员伤亡或财产损失等安全事故的，由乙方自行承担责任。确因法律规定或其他原因，甲方先行承担损失的，甲方有权向乙方进行追索。</w:t>
      </w:r>
    </w:p>
    <w:p w14:paraId="5EE8CF86">
      <w:pPr>
        <w:widowControl/>
        <w:spacing w:line="50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（4）未经甲方同意，乙方不得将本合同约定的项目内容转包或</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以任何形式</w:t>
      </w:r>
      <w:r>
        <w:rPr>
          <w:rFonts w:hint="eastAsia" w:ascii="仿宋" w:hAnsi="仿宋" w:eastAsia="仿宋" w:cs="仿宋"/>
          <w:color w:val="000000" w:themeColor="text1"/>
          <w:sz w:val="28"/>
          <w:szCs w:val="28"/>
          <w:highlight w:val="none"/>
          <w:lang w:bidi="ar"/>
          <w14:textFill>
            <w14:solidFill>
              <w14:schemeClr w14:val="tx1"/>
            </w14:solidFill>
          </w14:textFill>
        </w:rPr>
        <w:t>分包给第三方，否则甲方有权解除本合同。</w:t>
      </w:r>
    </w:p>
    <w:p w14:paraId="08BE4AED">
      <w:pPr>
        <w:bidi w:val="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8违约责任与赔偿损失</w:t>
      </w:r>
    </w:p>
    <w:p w14:paraId="69E48033">
      <w:pPr>
        <w:widowControl/>
        <w:spacing w:line="50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8.1乙方</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应该在中标后一个月内配齐投标文件中承诺的</w:t>
      </w:r>
      <w:r>
        <w:rPr>
          <w:rFonts w:hint="eastAsia" w:ascii="仿宋" w:hAnsi="仿宋" w:eastAsia="仿宋" w:cs="仿宋"/>
          <w:color w:val="000000" w:themeColor="text1"/>
          <w:sz w:val="28"/>
          <w:szCs w:val="28"/>
          <w:highlight w:val="none"/>
          <w:lang w:bidi="ar"/>
          <w14:textFill>
            <w14:solidFill>
              <w14:schemeClr w14:val="tx1"/>
            </w14:solidFill>
          </w14:textFill>
        </w:rPr>
        <w:t>运维技术支持</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网点、车辆、质控实验室、仪器、耗材、备件、质控设备及运维工具等。乙方应该</w:t>
      </w:r>
      <w:r>
        <w:rPr>
          <w:rFonts w:hint="eastAsia" w:ascii="仿宋" w:hAnsi="仿宋" w:eastAsia="仿宋" w:cs="仿宋"/>
          <w:color w:val="000000" w:themeColor="text1"/>
          <w:sz w:val="28"/>
          <w:szCs w:val="28"/>
          <w:highlight w:val="none"/>
          <w:lang w:bidi="ar"/>
          <w14:textFill>
            <w14:solidFill>
              <w14:schemeClr w14:val="tx1"/>
            </w14:solidFill>
          </w14:textFill>
        </w:rPr>
        <w:t>提供的服务不符合采购文件、报价文件或本合同规定的，应在十五日内整改至符合以上文件的规定；若整改后的服务仍不满足以上文件规定的，甲方有权委托其他单位负责相应的工作以使服务能满足采购文件、报价文件和本合同的规定，其支付费用及由此产生的损失从乙方的合同款中扣除，不足部分，乙方应另行偿付。乙方收到甲方书面通知或已扣除后的款项</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15</w:t>
      </w:r>
      <w:r>
        <w:rPr>
          <w:rFonts w:hint="eastAsia" w:ascii="仿宋" w:hAnsi="仿宋" w:eastAsia="仿宋" w:cs="仿宋"/>
          <w:color w:val="000000" w:themeColor="text1"/>
          <w:sz w:val="28"/>
          <w:szCs w:val="28"/>
          <w:highlight w:val="none"/>
          <w:lang w:bidi="ar"/>
          <w14:textFill>
            <w14:solidFill>
              <w14:schemeClr w14:val="tx1"/>
            </w14:solidFill>
          </w14:textFill>
        </w:rPr>
        <w:t>日内未提出异议，视为认可甲方的扣除。</w:t>
      </w:r>
    </w:p>
    <w:p w14:paraId="3BB7BFA0">
      <w:pPr>
        <w:widowControl/>
        <w:spacing w:line="50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8.2乙方存在下列情形的，构成根本违约，甲方有权解除合同，并另行要求乙方支付合同总价款的</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u w:val="single"/>
          <w:lang w:val="en-US" w:eastAsia="zh-CN" w:bidi="ar"/>
          <w14:textFill>
            <w14:solidFill>
              <w14:schemeClr w14:val="tx1"/>
            </w14:solidFill>
          </w14:textFill>
        </w:rPr>
        <w:t>10</w:t>
      </w:r>
      <w:r>
        <w:rPr>
          <w:rFonts w:hint="eastAsia" w:ascii="仿宋" w:hAnsi="仿宋" w:eastAsia="仿宋" w:cs="仿宋"/>
          <w:color w:val="000000" w:themeColor="text1"/>
          <w:sz w:val="28"/>
          <w:szCs w:val="28"/>
          <w:highlight w:val="none"/>
          <w:u w:val="single"/>
          <w:lang w:bidi="ar"/>
          <w14:textFill>
            <w14:solidFill>
              <w14:schemeClr w14:val="tx1"/>
            </w14:solidFill>
          </w14:textFill>
        </w:rPr>
        <w:t xml:space="preserve">  %</w:t>
      </w:r>
      <w:r>
        <w:rPr>
          <w:rFonts w:hint="eastAsia" w:ascii="仿宋" w:hAnsi="仿宋" w:eastAsia="仿宋" w:cs="仿宋"/>
          <w:color w:val="000000" w:themeColor="text1"/>
          <w:sz w:val="28"/>
          <w:szCs w:val="28"/>
          <w:highlight w:val="none"/>
          <w:lang w:bidi="ar"/>
          <w14:textFill>
            <w14:solidFill>
              <w14:schemeClr w14:val="tx1"/>
            </w14:solidFill>
          </w14:textFill>
        </w:rPr>
        <w:t>作为违约金：</w:t>
      </w:r>
    </w:p>
    <w:p w14:paraId="3D8C42A6">
      <w:pPr>
        <w:widowControl/>
        <w:spacing w:line="50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8.2.1未经甲方</w:t>
      </w:r>
      <w:r>
        <w:rPr>
          <w:rFonts w:hint="eastAsia" w:ascii="仿宋" w:hAnsi="仿宋" w:eastAsia="仿宋" w:cs="仿宋"/>
          <w:color w:val="000000" w:themeColor="text1"/>
          <w:sz w:val="28"/>
          <w:szCs w:val="28"/>
          <w:highlight w:val="none"/>
          <w:u w:val="none"/>
          <w:lang w:val="en-US" w:eastAsia="zh-CN" w:bidi="ar"/>
          <w14:textFill>
            <w14:solidFill>
              <w14:schemeClr w14:val="tx1"/>
            </w14:solidFill>
          </w14:textFill>
        </w:rPr>
        <w:t>书面</w:t>
      </w:r>
      <w:r>
        <w:rPr>
          <w:rFonts w:hint="eastAsia" w:ascii="仿宋" w:hAnsi="仿宋" w:eastAsia="仿宋" w:cs="仿宋"/>
          <w:color w:val="000000" w:themeColor="text1"/>
          <w:sz w:val="28"/>
          <w:szCs w:val="28"/>
          <w:highlight w:val="none"/>
          <w:lang w:bidi="ar"/>
          <w14:textFill>
            <w14:solidFill>
              <w14:schemeClr w14:val="tx1"/>
            </w14:solidFill>
          </w14:textFill>
        </w:rPr>
        <w:t>同意，乙方将本合同义务转包或分包的。</w:t>
      </w:r>
    </w:p>
    <w:p w14:paraId="0AD5221B">
      <w:pPr>
        <w:widowControl/>
        <w:spacing w:line="50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8.2.2乙方明确表示或者以其行为表明不履行合同主要义务的。</w:t>
      </w:r>
    </w:p>
    <w:p w14:paraId="31528891">
      <w:pPr>
        <w:widowControl/>
        <w:spacing w:line="50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8.2.3乙方或乙方指派履行合同义务人员不具备履行本合同所必须资质的。</w:t>
      </w:r>
    </w:p>
    <w:p w14:paraId="4884C60E">
      <w:pPr>
        <w:widowControl/>
        <w:spacing w:line="50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8.2.4乙方履行合同义务或交付的工作成果，内容、形式违反法律法规规定，不被司法机关、行政机关等承认无法实现甲方合同目的的。</w:t>
      </w:r>
    </w:p>
    <w:p w14:paraId="51A0E79C">
      <w:pPr>
        <w:bidi w:val="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8.2.5乙方与他人恶意串通或恶意履行合同损害甲方利益的。</w:t>
      </w:r>
    </w:p>
    <w:p w14:paraId="708F7BA2">
      <w:pPr>
        <w:widowControl/>
        <w:spacing w:line="50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8.2.6乙方存在调整数据、修改参数、改动设备、弄虚作假等违规行为的。</w:t>
      </w:r>
    </w:p>
    <w:p w14:paraId="6784F53B">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8.2.7合同或招投标文件中约定的其他甲方可予解除合同的情形。</w:t>
      </w:r>
    </w:p>
    <w:p w14:paraId="00733E90">
      <w:pPr>
        <w:bidi w:val="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9不可抗力</w:t>
      </w:r>
    </w:p>
    <w:p w14:paraId="5FC6C4AC">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9.1因不可抗力造成违约的，遭受不可抗力一方应及时向对方通报不能履行或不能完全履行的理由，并在随后取得有关主管机关证明后的15日内向</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甲</w:t>
      </w:r>
      <w:r>
        <w:rPr>
          <w:rFonts w:hint="eastAsia" w:ascii="仿宋" w:hAnsi="仿宋" w:eastAsia="仿宋" w:cs="仿宋"/>
          <w:color w:val="000000" w:themeColor="text1"/>
          <w:sz w:val="28"/>
          <w:szCs w:val="28"/>
          <w:highlight w:val="none"/>
          <w:lang w:bidi="ar"/>
          <w14:textFill>
            <w14:solidFill>
              <w14:schemeClr w14:val="tx1"/>
            </w14:solidFill>
          </w14:textFill>
        </w:rPr>
        <w:t>方提供不可抗力发生及持续期间的充分证据。基于以上行为，经甲乙双方协商一致，允许遭受不可抗力一方延期履行、部分履行或不履行合同，并根据情况可部分或全部免于承担违约责任。</w:t>
      </w:r>
    </w:p>
    <w:p w14:paraId="7873AD9B">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9.2本合同中的不可抗力指不能预见、不能避免、不能克服的客观情况，包括但不限于：自然灾害如地震、台风、洪水、火灾及政府行为、法律规定或其适用的变化或其他任何无法预见、避免或控制的事件。</w:t>
      </w:r>
    </w:p>
    <w:p w14:paraId="0E1D2BF4">
      <w:pPr>
        <w:bidi w:val="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10违反廉洁承诺的约定</w:t>
      </w:r>
    </w:p>
    <w:p w14:paraId="5CB92A14">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10.1乙方在履行合同过程中不得以任何形式与甲方相关人员不当往来，并同意将上述廉洁承诺的遵守情况纳入本合同，若乙方出现上述行为致使甲方形象受损或者相关人员被组织调查处理的，甲方有权从应支付的合同款项中进行扣除，若出现上述情况并确认属实，甲方发送书面扣款通知，上述款项直接从未支付合同款中扣除，不足部分，乙方应另行偿付。</w:t>
      </w:r>
    </w:p>
    <w:p w14:paraId="3FBA3B23">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10.2乙方违反廉洁承诺，受到刑事或者行政处罚的，甲方有权解除合同，合同自甲方发出书面通知之日起解除，乙方需承担相应的违约责任并赔偿由此造成的损失，包括但不限于：聘请其他公司代替乙方工作而产生的费用、聘请律师产生的费用、诉讼费、调查取证费、交通费、鉴定费、保全费、保全保险费等。</w:t>
      </w:r>
    </w:p>
    <w:p w14:paraId="0AB39353">
      <w:pPr>
        <w:bidi w:val="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11合同纠纷处理</w:t>
      </w:r>
    </w:p>
    <w:p w14:paraId="50774190">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本合同执行过程中如发生纠纷，按第（2）条处理：</w:t>
      </w:r>
    </w:p>
    <w:p w14:paraId="75F5A832">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（1）申请仲裁。仲裁机构为海南仲裁院。</w:t>
      </w:r>
    </w:p>
    <w:p w14:paraId="0DB05C95">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（2）提起诉讼。诉讼管辖法院为甲方所在地法院。</w:t>
      </w:r>
    </w:p>
    <w:p w14:paraId="0274DEFA">
      <w:pPr>
        <w:bidi w:val="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12其他约定</w:t>
      </w:r>
    </w:p>
    <w:p w14:paraId="2A0030AC">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12.1本合同所有附件、采购文件、响应文件、中标通知书通知书均为合同的有效组成部分，与本合同具有同等法律效力。上述文件如有不一致的，以甲方解释为准。</w:t>
      </w:r>
    </w:p>
    <w:p w14:paraId="4A63E820">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12.2在执行本合同的过程中，所有经双方签署确认的文件（包括会议纪要、补充协议、往来信函）即成为本合同的有效组成部分。</w:t>
      </w:r>
    </w:p>
    <w:p w14:paraId="0839A9DC">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12.3如一方地址、电话、传真号码有变更，应在变更当日内书面通知对方，否则，应承担相应责任。</w:t>
      </w:r>
    </w:p>
    <w:p w14:paraId="6CA7A6A8">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12.4本合同经甲乙双方签字和盖章后生效，一式8份，甲方执有4份、乙方和代理机构各执两份，均具有同等法律效力。</w:t>
      </w:r>
    </w:p>
    <w:p w14:paraId="15C2BCCD">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2791"/>
        <w:gridCol w:w="1690"/>
        <w:gridCol w:w="3204"/>
      </w:tblGrid>
      <w:tr w14:paraId="091E3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jc w:val="center"/>
        </w:trPr>
        <w:tc>
          <w:tcPr>
            <w:tcW w:w="1705" w:type="dxa"/>
            <w:vAlign w:val="center"/>
          </w:tcPr>
          <w:p w14:paraId="7E681630">
            <w:pPr>
              <w:widowControl/>
              <w:spacing w:line="520" w:lineRule="exact"/>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甲方（盖章）</w:t>
            </w:r>
          </w:p>
        </w:tc>
        <w:tc>
          <w:tcPr>
            <w:tcW w:w="2791" w:type="dxa"/>
            <w:vAlign w:val="center"/>
          </w:tcPr>
          <w:p w14:paraId="5B27CAE5">
            <w:pPr>
              <w:widowControl/>
              <w:spacing w:line="520" w:lineRule="exact"/>
              <w:rPr>
                <w:rFonts w:hint="eastAsia"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海南省生态环境监测中心</w:t>
            </w:r>
          </w:p>
        </w:tc>
        <w:tc>
          <w:tcPr>
            <w:tcW w:w="1690" w:type="dxa"/>
            <w:vAlign w:val="center"/>
          </w:tcPr>
          <w:p w14:paraId="694F95C3">
            <w:pPr>
              <w:widowControl/>
              <w:spacing w:line="520" w:lineRule="exact"/>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乙方（盖章）</w:t>
            </w:r>
          </w:p>
        </w:tc>
        <w:tc>
          <w:tcPr>
            <w:tcW w:w="3204" w:type="dxa"/>
            <w:vAlign w:val="center"/>
          </w:tcPr>
          <w:p w14:paraId="1C160CB6">
            <w:pPr>
              <w:widowControl/>
              <w:spacing w:line="520" w:lineRule="exact"/>
              <w:rPr>
                <w:rFonts w:ascii="仿宋" w:hAnsi="仿宋" w:eastAsia="仿宋" w:cs="仿宋"/>
                <w:color w:val="000000" w:themeColor="text1"/>
                <w:sz w:val="28"/>
                <w:szCs w:val="28"/>
                <w:highlight w:val="none"/>
                <w:lang w:bidi="ar"/>
                <w14:textFill>
                  <w14:solidFill>
                    <w14:schemeClr w14:val="tx1"/>
                  </w14:solidFill>
                </w14:textFill>
              </w:rPr>
            </w:pPr>
          </w:p>
        </w:tc>
      </w:tr>
      <w:tr w14:paraId="63469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705" w:type="dxa"/>
            <w:vAlign w:val="center"/>
          </w:tcPr>
          <w:p w14:paraId="70A8E667">
            <w:pPr>
              <w:widowControl/>
              <w:spacing w:line="520" w:lineRule="exact"/>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地址</w:t>
            </w:r>
          </w:p>
        </w:tc>
        <w:tc>
          <w:tcPr>
            <w:tcW w:w="2791" w:type="dxa"/>
            <w:vAlign w:val="center"/>
          </w:tcPr>
          <w:p w14:paraId="3471692E">
            <w:pPr>
              <w:widowControl/>
              <w:spacing w:line="520" w:lineRule="exact"/>
              <w:rPr>
                <w:rFonts w:hint="eastAsia"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海南省海口市美兰区白驹大道98号</w:t>
            </w:r>
          </w:p>
        </w:tc>
        <w:tc>
          <w:tcPr>
            <w:tcW w:w="1690" w:type="dxa"/>
            <w:vAlign w:val="center"/>
          </w:tcPr>
          <w:p w14:paraId="2970BC50">
            <w:pPr>
              <w:widowControl/>
              <w:spacing w:line="520" w:lineRule="exact"/>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地址</w:t>
            </w:r>
          </w:p>
        </w:tc>
        <w:tc>
          <w:tcPr>
            <w:tcW w:w="3204" w:type="dxa"/>
            <w:vAlign w:val="center"/>
          </w:tcPr>
          <w:p w14:paraId="724D0B0C">
            <w:pPr>
              <w:widowControl/>
              <w:spacing w:line="520" w:lineRule="exact"/>
              <w:ind w:firstLine="0" w:firstLineChars="0"/>
              <w:rPr>
                <w:rFonts w:ascii="仿宋" w:hAnsi="仿宋" w:eastAsia="仿宋" w:cs="仿宋"/>
                <w:color w:val="000000" w:themeColor="text1"/>
                <w:sz w:val="28"/>
                <w:szCs w:val="28"/>
                <w:highlight w:val="none"/>
                <w:lang w:bidi="ar"/>
                <w14:textFill>
                  <w14:solidFill>
                    <w14:schemeClr w14:val="tx1"/>
                  </w14:solidFill>
                </w14:textFill>
              </w:rPr>
            </w:pPr>
          </w:p>
        </w:tc>
      </w:tr>
      <w:tr w14:paraId="4F08D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1705" w:type="dxa"/>
            <w:vAlign w:val="center"/>
          </w:tcPr>
          <w:p w14:paraId="710EB1BE">
            <w:pPr>
              <w:widowControl/>
              <w:spacing w:line="520" w:lineRule="exact"/>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单位负责人</w:t>
            </w:r>
          </w:p>
        </w:tc>
        <w:tc>
          <w:tcPr>
            <w:tcW w:w="2791" w:type="dxa"/>
            <w:vAlign w:val="center"/>
          </w:tcPr>
          <w:p w14:paraId="3FCEFB54">
            <w:pPr>
              <w:widowControl/>
              <w:spacing w:line="520" w:lineRule="exact"/>
              <w:rPr>
                <w:rFonts w:hint="eastAsia"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颜为军</w:t>
            </w:r>
          </w:p>
        </w:tc>
        <w:tc>
          <w:tcPr>
            <w:tcW w:w="1690" w:type="dxa"/>
            <w:vAlign w:val="center"/>
          </w:tcPr>
          <w:p w14:paraId="013B83FE">
            <w:pPr>
              <w:widowControl/>
              <w:spacing w:line="520" w:lineRule="exact"/>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单位负责人</w:t>
            </w:r>
          </w:p>
        </w:tc>
        <w:tc>
          <w:tcPr>
            <w:tcW w:w="3204" w:type="dxa"/>
            <w:vAlign w:val="center"/>
          </w:tcPr>
          <w:p w14:paraId="6FC23DFD">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p>
        </w:tc>
      </w:tr>
      <w:tr w14:paraId="5E561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705" w:type="dxa"/>
            <w:vAlign w:val="center"/>
          </w:tcPr>
          <w:p w14:paraId="73B7E347">
            <w:pPr>
              <w:widowControl/>
              <w:spacing w:line="520" w:lineRule="exact"/>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委托代理人</w:t>
            </w:r>
          </w:p>
        </w:tc>
        <w:tc>
          <w:tcPr>
            <w:tcW w:w="2791" w:type="dxa"/>
            <w:vAlign w:val="center"/>
          </w:tcPr>
          <w:p w14:paraId="157B3975">
            <w:pPr>
              <w:widowControl/>
              <w:spacing w:line="520" w:lineRule="exact"/>
              <w:rPr>
                <w:rFonts w:hint="eastAsia" w:ascii="仿宋" w:hAnsi="仿宋" w:eastAsia="仿宋" w:cs="仿宋"/>
                <w:color w:val="000000" w:themeColor="text1"/>
                <w:sz w:val="28"/>
                <w:szCs w:val="28"/>
                <w:highlight w:val="none"/>
                <w:lang w:bidi="ar"/>
                <w14:textFill>
                  <w14:solidFill>
                    <w14:schemeClr w14:val="tx1"/>
                  </w14:solidFill>
                </w14:textFill>
              </w:rPr>
            </w:pPr>
          </w:p>
        </w:tc>
        <w:tc>
          <w:tcPr>
            <w:tcW w:w="1690" w:type="dxa"/>
            <w:vAlign w:val="center"/>
          </w:tcPr>
          <w:p w14:paraId="30E5DB0D">
            <w:pPr>
              <w:widowControl/>
              <w:spacing w:line="520" w:lineRule="exact"/>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委托代理人</w:t>
            </w:r>
          </w:p>
        </w:tc>
        <w:tc>
          <w:tcPr>
            <w:tcW w:w="3204" w:type="dxa"/>
            <w:vAlign w:val="center"/>
          </w:tcPr>
          <w:p w14:paraId="558D8A10">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p>
        </w:tc>
      </w:tr>
      <w:tr w14:paraId="4C4E2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705" w:type="dxa"/>
            <w:vAlign w:val="center"/>
          </w:tcPr>
          <w:p w14:paraId="43F353F7">
            <w:pPr>
              <w:widowControl/>
              <w:spacing w:line="520" w:lineRule="exact"/>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联系方法</w:t>
            </w:r>
          </w:p>
        </w:tc>
        <w:tc>
          <w:tcPr>
            <w:tcW w:w="2791" w:type="dxa"/>
            <w:vAlign w:val="center"/>
          </w:tcPr>
          <w:p w14:paraId="4044088C">
            <w:pPr>
              <w:widowControl/>
              <w:spacing w:line="520" w:lineRule="exact"/>
              <w:rPr>
                <w:rFonts w:hint="eastAsia"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0898-66711241</w:t>
            </w:r>
          </w:p>
        </w:tc>
        <w:tc>
          <w:tcPr>
            <w:tcW w:w="1690" w:type="dxa"/>
            <w:vAlign w:val="center"/>
          </w:tcPr>
          <w:p w14:paraId="51D1863E">
            <w:pPr>
              <w:widowControl/>
              <w:spacing w:line="520" w:lineRule="exact"/>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联系方法</w:t>
            </w:r>
          </w:p>
        </w:tc>
        <w:tc>
          <w:tcPr>
            <w:tcW w:w="3204" w:type="dxa"/>
            <w:vAlign w:val="center"/>
          </w:tcPr>
          <w:p w14:paraId="3430D19B">
            <w:pPr>
              <w:widowControl/>
              <w:spacing w:line="520" w:lineRule="exact"/>
              <w:ind w:firstLine="0" w:firstLineChars="0"/>
              <w:rPr>
                <w:rFonts w:ascii="仿宋" w:hAnsi="仿宋" w:eastAsia="仿宋" w:cs="仿宋"/>
                <w:color w:val="000000" w:themeColor="text1"/>
                <w:sz w:val="28"/>
                <w:szCs w:val="28"/>
                <w:highlight w:val="none"/>
                <w:lang w:bidi="ar"/>
                <w14:textFill>
                  <w14:solidFill>
                    <w14:schemeClr w14:val="tx1"/>
                  </w14:solidFill>
                </w14:textFill>
              </w:rPr>
            </w:pPr>
          </w:p>
        </w:tc>
      </w:tr>
      <w:tr w14:paraId="245C4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705" w:type="dxa"/>
            <w:vAlign w:val="center"/>
          </w:tcPr>
          <w:p w14:paraId="1E68129E">
            <w:pPr>
              <w:widowControl/>
              <w:spacing w:line="520" w:lineRule="exact"/>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开户银行</w:t>
            </w:r>
          </w:p>
        </w:tc>
        <w:tc>
          <w:tcPr>
            <w:tcW w:w="2791" w:type="dxa"/>
            <w:vAlign w:val="center"/>
          </w:tcPr>
          <w:p w14:paraId="45927791">
            <w:pPr>
              <w:widowControl/>
              <w:spacing w:line="520" w:lineRule="exact"/>
              <w:rPr>
                <w:rFonts w:hint="eastAsia"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农行海口省府大院支行</w:t>
            </w:r>
          </w:p>
        </w:tc>
        <w:tc>
          <w:tcPr>
            <w:tcW w:w="1690" w:type="dxa"/>
            <w:vAlign w:val="center"/>
          </w:tcPr>
          <w:p w14:paraId="53C29998">
            <w:pPr>
              <w:widowControl/>
              <w:spacing w:line="520" w:lineRule="exact"/>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开户银行</w:t>
            </w:r>
          </w:p>
        </w:tc>
        <w:tc>
          <w:tcPr>
            <w:tcW w:w="3204" w:type="dxa"/>
            <w:vAlign w:val="center"/>
          </w:tcPr>
          <w:p w14:paraId="5F165845">
            <w:pPr>
              <w:widowControl/>
              <w:spacing w:line="520" w:lineRule="exact"/>
              <w:ind w:firstLine="0" w:firstLineChars="0"/>
              <w:rPr>
                <w:rFonts w:hint="default" w:ascii="仿宋" w:hAnsi="仿宋" w:eastAsia="仿宋" w:cs="仿宋"/>
                <w:color w:val="000000" w:themeColor="text1"/>
                <w:sz w:val="28"/>
                <w:szCs w:val="28"/>
                <w:highlight w:val="none"/>
                <w:lang w:val="en-US" w:eastAsia="zh-CN" w:bidi="ar"/>
                <w14:textFill>
                  <w14:solidFill>
                    <w14:schemeClr w14:val="tx1"/>
                  </w14:solidFill>
                </w14:textFill>
              </w:rPr>
            </w:pPr>
          </w:p>
        </w:tc>
      </w:tr>
      <w:tr w14:paraId="0571C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1705" w:type="dxa"/>
            <w:vAlign w:val="center"/>
          </w:tcPr>
          <w:p w14:paraId="2231795A">
            <w:pPr>
              <w:widowControl/>
              <w:spacing w:line="520" w:lineRule="exact"/>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账号</w:t>
            </w:r>
          </w:p>
        </w:tc>
        <w:tc>
          <w:tcPr>
            <w:tcW w:w="2791" w:type="dxa"/>
            <w:vAlign w:val="center"/>
          </w:tcPr>
          <w:p w14:paraId="0ABD675A">
            <w:pPr>
              <w:widowControl/>
              <w:spacing w:line="520" w:lineRule="exact"/>
              <w:rPr>
                <w:rFonts w:hint="eastAsia"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21105001040006753</w:t>
            </w:r>
          </w:p>
        </w:tc>
        <w:tc>
          <w:tcPr>
            <w:tcW w:w="1690" w:type="dxa"/>
            <w:vAlign w:val="center"/>
          </w:tcPr>
          <w:p w14:paraId="7502572F">
            <w:pPr>
              <w:widowControl/>
              <w:spacing w:line="520" w:lineRule="exact"/>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账号</w:t>
            </w:r>
          </w:p>
        </w:tc>
        <w:tc>
          <w:tcPr>
            <w:tcW w:w="3204" w:type="dxa"/>
            <w:vAlign w:val="center"/>
          </w:tcPr>
          <w:p w14:paraId="6266036A">
            <w:pPr>
              <w:widowControl/>
              <w:spacing w:line="520" w:lineRule="exact"/>
              <w:ind w:firstLine="0" w:firstLineChars="0"/>
              <w:rPr>
                <w:rFonts w:hint="default" w:ascii="仿宋" w:hAnsi="仿宋" w:eastAsia="仿宋" w:cs="仿宋"/>
                <w:color w:val="000000" w:themeColor="text1"/>
                <w:sz w:val="28"/>
                <w:szCs w:val="28"/>
                <w:highlight w:val="none"/>
                <w:lang w:val="en-US" w:eastAsia="zh-CN" w:bidi="ar"/>
                <w14:textFill>
                  <w14:solidFill>
                    <w14:schemeClr w14:val="tx1"/>
                  </w14:solidFill>
                </w14:textFill>
              </w:rPr>
            </w:pPr>
          </w:p>
        </w:tc>
      </w:tr>
    </w:tbl>
    <w:p w14:paraId="06E9E88F">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p>
    <w:p w14:paraId="083FF105">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签订日期：202</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5</w:t>
      </w:r>
      <w:r>
        <w:rPr>
          <w:rFonts w:hint="eastAsia" w:ascii="仿宋" w:hAnsi="仿宋" w:eastAsia="仿宋" w:cs="仿宋"/>
          <w:color w:val="000000" w:themeColor="text1"/>
          <w:sz w:val="28"/>
          <w:szCs w:val="28"/>
          <w:highlight w:val="none"/>
          <w:lang w:bidi="ar"/>
          <w14:textFill>
            <w14:solidFill>
              <w14:schemeClr w14:val="tx1"/>
            </w14:solidFill>
          </w14:textFill>
        </w:rPr>
        <w:t>年     月     日</w:t>
      </w:r>
    </w:p>
    <w:p w14:paraId="676655CB">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招标代理机构声明：本合同标的经      代理有限公司依法定程序采购，合同主要条款内容与招标文件及投标文件的内容一致。</w:t>
      </w:r>
    </w:p>
    <w:p w14:paraId="2C479351">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p>
    <w:p w14:paraId="7EFEA752">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ab/>
      </w:r>
      <w:r>
        <w:rPr>
          <w:rFonts w:hint="eastAsia" w:ascii="仿宋" w:hAnsi="仿宋" w:eastAsia="仿宋" w:cs="仿宋"/>
          <w:color w:val="000000" w:themeColor="text1"/>
          <w:sz w:val="28"/>
          <w:szCs w:val="28"/>
          <w:highlight w:val="none"/>
          <w:lang w:bidi="ar"/>
          <w14:textFill>
            <w14:solidFill>
              <w14:schemeClr w14:val="tx1"/>
            </w14:solidFill>
          </w14:textFill>
        </w:rPr>
        <w:t>采购代理机构：                        （盖章）</w:t>
      </w:r>
    </w:p>
    <w:p w14:paraId="645F00C0">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法定（授权）代表人：                  (签字或盖章）</w:t>
      </w:r>
    </w:p>
    <w:p w14:paraId="0AD5ADC1">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签订日期：     年   月  日</w:t>
      </w:r>
    </w:p>
    <w:p w14:paraId="57F1E1B3">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br w:type="page"/>
      </w:r>
    </w:p>
    <w:p w14:paraId="77255025">
      <w:pPr>
        <w:bidi w:val="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附件1：中标</w:t>
      </w:r>
      <w:r>
        <w:rPr>
          <w:rFonts w:hint="eastAsia" w:ascii="仿宋" w:hAnsi="仿宋" w:eastAsia="仿宋" w:cs="仿宋"/>
          <w:color w:val="000000" w:themeColor="text1"/>
          <w:sz w:val="28"/>
          <w:szCs w:val="28"/>
          <w:highlight w:val="none"/>
          <w:lang w:eastAsia="zh-CN" w:bidi="ar"/>
          <w14:textFill>
            <w14:solidFill>
              <w14:schemeClr w14:val="tx1"/>
            </w14:solidFill>
          </w14:textFill>
        </w:rPr>
        <w:t>通知</w:t>
      </w:r>
      <w:r>
        <w:rPr>
          <w:rFonts w:hint="eastAsia" w:ascii="仿宋" w:hAnsi="仿宋" w:eastAsia="仿宋" w:cs="仿宋"/>
          <w:color w:val="000000" w:themeColor="text1"/>
          <w:sz w:val="28"/>
          <w:szCs w:val="28"/>
          <w:highlight w:val="none"/>
          <w:lang w:bidi="ar"/>
          <w14:textFill>
            <w14:solidFill>
              <w14:schemeClr w14:val="tx1"/>
            </w14:solidFill>
          </w14:textFill>
        </w:rPr>
        <w:t>书</w:t>
      </w:r>
    </w:p>
    <w:p w14:paraId="3D3E39DB">
      <w:pPr>
        <w:widowControl/>
        <w:spacing w:line="520" w:lineRule="exact"/>
        <w:ind w:firstLine="560" w:firstLineChars="200"/>
        <w:rPr>
          <w:rFonts w:hint="eastAsia" w:ascii="仿宋" w:hAnsi="仿宋" w:eastAsia="仿宋" w:cs="仿宋"/>
          <w:color w:val="000000" w:themeColor="text1"/>
          <w:sz w:val="28"/>
          <w:szCs w:val="28"/>
          <w:highlight w:val="none"/>
          <w:lang w:bidi="ar"/>
          <w14:textFill>
            <w14:solidFill>
              <w14:schemeClr w14:val="tx1"/>
            </w14:solidFill>
          </w14:textFill>
        </w:rPr>
      </w:pPr>
    </w:p>
    <w:p w14:paraId="713AB653">
      <w:pPr>
        <w:pStyle w:val="12"/>
        <w:ind w:firstLine="0" w:firstLineChars="0"/>
        <w:rPr>
          <w:rFonts w:hint="eastAsia"/>
          <w:color w:val="000000" w:themeColor="text1"/>
          <w:highlight w:val="none"/>
          <w14:textFill>
            <w14:solidFill>
              <w14:schemeClr w14:val="tx1"/>
            </w14:solidFill>
          </w14:textFill>
        </w:rPr>
        <w:sectPr>
          <w:pgSz w:w="11906" w:h="16838"/>
          <w:pgMar w:top="1440" w:right="1800" w:bottom="1440" w:left="1800" w:header="851" w:footer="992" w:gutter="0"/>
          <w:cols w:space="425" w:num="1"/>
          <w:docGrid w:type="lines" w:linePitch="312" w:charSpace="0"/>
        </w:sectPr>
      </w:pPr>
    </w:p>
    <w:p w14:paraId="63884DDC">
      <w:pPr>
        <w:bidi w:val="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附件2：保密协议</w:t>
      </w:r>
    </w:p>
    <w:p w14:paraId="6A2E11B4">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保密协议</w:t>
      </w:r>
    </w:p>
    <w:p w14:paraId="3849A6FD">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甲方:海南省生态环境监测中心</w:t>
      </w:r>
    </w:p>
    <w:p w14:paraId="5349DDA4">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乙方:</w:t>
      </w:r>
    </w:p>
    <w:p w14:paraId="17E4C539">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鉴于:</w:t>
      </w:r>
    </w:p>
    <w:p w14:paraId="038AA5F0">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甲方的“202</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5</w:t>
      </w:r>
      <w:r>
        <w:rPr>
          <w:rFonts w:hint="eastAsia" w:ascii="仿宋" w:hAnsi="仿宋" w:eastAsia="仿宋" w:cs="仿宋"/>
          <w:color w:val="000000" w:themeColor="text1"/>
          <w:sz w:val="28"/>
          <w:szCs w:val="28"/>
          <w:highlight w:val="none"/>
          <w:lang w:bidi="ar"/>
          <w14:textFill>
            <w14:solidFill>
              <w14:schemeClr w14:val="tx1"/>
            </w14:solidFill>
          </w14:textFill>
        </w:rPr>
        <w:t>年度</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海南省省控</w:t>
      </w:r>
      <w:r>
        <w:rPr>
          <w:rFonts w:hint="eastAsia" w:ascii="仿宋" w:hAnsi="仿宋" w:eastAsia="仿宋" w:cs="仿宋"/>
          <w:color w:val="000000" w:themeColor="text1"/>
          <w:sz w:val="28"/>
          <w:szCs w:val="28"/>
          <w:highlight w:val="none"/>
          <w:lang w:bidi="ar"/>
          <w14:textFill>
            <w14:solidFill>
              <w14:schemeClr w14:val="tx1"/>
            </w14:solidFill>
          </w14:textFill>
        </w:rPr>
        <w:t>环境空气质量监测自动站运行维护项目”，乙方在实施的过程，获知了甲方的相关保密信息，为了保证甲方的保密信息及利益，经甲、乙双方协商--致，签订本保密协议。</w:t>
      </w:r>
    </w:p>
    <w:p w14:paraId="1C2B9A9B">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一、本协议所称保密信息指甲方为本项目向乙方提供的有关甲方确认应该保密的书面及口头的信息，乙方在履行本协议期间知悉的信息以及法律、法规规定的应保密信息;上述保密信息包括但不限于所有的为本项目而准备的通过公共渠道无法获得的信息、报告、分析、研究文件或其他形式的信息。</w:t>
      </w:r>
    </w:p>
    <w:p w14:paraId="093B5747">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二、保密信息只能被用于为实现本项目的有关事宜所进行的工作，不能被用于任何其他用途。除去因项目实施需要在经甲方书面同意的范围内可以向有关人员提供相关保密信息并切实保证保密信息的安全，乙方在没有甲方书面批准的情况下不得向任何第三方，包括但不限于政府、新闻媒介、非盈利性质组织、公司、个人披露或提供该保密消息。并且应当采取一切法律或其他手段避免该保密信息的披露。本协议所称甲方书面批准是指经甲方法定代表人签署或其书面授权代表签署并加盖公章的书面许可。</w:t>
      </w:r>
    </w:p>
    <w:p w14:paraId="3005987E">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三、乙方在经甲方书面批准向下列人员披露或提供保密信息时应严格遵循“为项日工作所必须”的原则，并仅在必要的范围内披露。</w:t>
      </w:r>
    </w:p>
    <w:p w14:paraId="043836C8">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(一)乙方内部为参与本项目而必须获得该信息以便进行有关工作和提供有关意见的经理、管理人员、技术人员以及雇员。</w:t>
      </w:r>
    </w:p>
    <w:p w14:paraId="0AFAEBB3">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(二)当甲方因工作需要而必须向所属人员披露信息时，有义务告知乙方所属人员对有关信息进行严格的保密，并告知所属人员对保密信息的任何其他非本协议所允许的使用将具有重大损害性，因此务必杜绝。</w:t>
      </w:r>
    </w:p>
    <w:p w14:paraId="765A0961">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四、在乙方或其他任何通过乙方而获知保密信息的人员和机构依照法律被迫披露此保密信息的情况下，乙方必须在此保密信息被披露之前，以急件通知甲方，以便甲方通知有关各方采取保护措施或其他相应对策，并且以书面形式通知甲方其依照法律而被迫披露的保密信息。此外，披露方人员只得就所问及的问题进行答复，不得超过问题的探询范围。</w:t>
      </w:r>
    </w:p>
    <w:p w14:paraId="4B97C2F9">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五、未经甲方书面同意，乙方应切实保证其任何人不得向外界透露本项目的任何内容，除非法律有特别要求。未经甲方书面同意，乙方保证其任何人不得通过新闻媒体、广告或其他任何形式作任何有关本项目的公开声明。</w:t>
      </w:r>
    </w:p>
    <w:p w14:paraId="01926A3D">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六、未经甲方的书面许可，乙方的任何人不得将甲方提供的保密信息以任何方式(包括但不限于邮寄、传真、携带、电子邮件等方式)送出与本项目无关的任何机构和个人，包括但不限于政府、新闻媒介、非盈利性组织、公司、个人。一经甲方要求，所有的书面保密信息包括复印件应立即归还甲方。</w:t>
      </w:r>
    </w:p>
    <w:p w14:paraId="382A70E2">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七、如果乙方或通过乙方知晓保密信息的有关人员或机构因故意或过失违反上述的协议，给甲方造成直接或间接的损失，甲方有权向乙方要求赔偿，赔偿额为所造成损失金额的双倍，如无法计算损失金额，应按相应合同额的双倍进行赔偿。</w:t>
      </w:r>
    </w:p>
    <w:p w14:paraId="363D425B">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八、作为本协议组成部分的各项附件及双方在协议执行的过程中签署的补充协议均与本协议具有同等法律效力;对全协议的任何变更，仅限以书面形式经各方签字方为有效，任何一方无权单方面修改或终止本协议的执行，经甲乙双方协商致同意签署正式文件宣布本协议终止时，本协议才能被终止。</w:t>
      </w:r>
    </w:p>
    <w:p w14:paraId="361BEBD4">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九、本协议适用中国法律，如产生纠纷应充分友好协商解决，协商不成，任何一方均可向甲方所在地有管辖权的人民法院提起诉讼。</w:t>
      </w:r>
    </w:p>
    <w:p w14:paraId="01C26E63">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十、本协议为项目合同的重要组成部分，与项目合同一并签订。自合同签署之日起生效。</w:t>
      </w:r>
    </w:p>
    <w:p w14:paraId="1AC1E0EC">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p>
    <w:p w14:paraId="7FEE2B15">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p>
    <w:p w14:paraId="5CC711FB">
      <w:pPr>
        <w:pStyle w:val="12"/>
        <w:ind w:firstLine="560"/>
        <w:rPr>
          <w:rFonts w:ascii="仿宋" w:hAnsi="仿宋" w:eastAsia="仿宋" w:cs="仿宋"/>
          <w:color w:val="000000" w:themeColor="text1"/>
          <w:sz w:val="28"/>
          <w:szCs w:val="28"/>
          <w:highlight w:val="none"/>
          <w:lang w:bidi="ar"/>
          <w14:textFill>
            <w14:solidFill>
              <w14:schemeClr w14:val="tx1"/>
            </w14:solidFill>
          </w14:textFill>
        </w:rPr>
      </w:pPr>
    </w:p>
    <w:p w14:paraId="3B3514B0">
      <w:pPr>
        <w:pStyle w:val="12"/>
        <w:ind w:firstLine="560"/>
        <w:rPr>
          <w:rFonts w:hint="default" w:ascii="仿宋" w:hAnsi="仿宋" w:eastAsia="仿宋" w:cs="仿宋"/>
          <w:color w:val="000000" w:themeColor="text1"/>
          <w:sz w:val="28"/>
          <w:szCs w:val="28"/>
          <w:highlight w:val="none"/>
          <w:lang w:val="en-US" w:eastAsia="zh-CN" w:bidi="ar"/>
          <w14:textFill>
            <w14:solidFill>
              <w14:schemeClr w14:val="tx1"/>
            </w14:solidFill>
          </w14:textFill>
        </w:rPr>
      </w:pPr>
      <w:r>
        <w:rPr>
          <w:rFonts w:ascii="仿宋" w:hAnsi="仿宋" w:eastAsia="仿宋" w:cs="仿宋"/>
          <w:color w:val="000000" w:themeColor="text1"/>
          <w:sz w:val="28"/>
          <w:szCs w:val="28"/>
          <w:highlight w:val="none"/>
          <w:lang w:bidi="ar"/>
          <w14:textFill>
            <w14:solidFill>
              <w14:schemeClr w14:val="tx1"/>
            </w14:solidFill>
          </w14:textFill>
        </w:rPr>
        <w:t>甲方:</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海南省生态环境监测中心</w:t>
      </w:r>
    </w:p>
    <w:p w14:paraId="6DE80C74">
      <w:pPr>
        <w:pStyle w:val="12"/>
        <w:ind w:firstLine="560"/>
        <w:rPr>
          <w:rFonts w:ascii="仿宋" w:hAnsi="仿宋" w:eastAsia="仿宋" w:cs="仿宋"/>
          <w:color w:val="000000" w:themeColor="text1"/>
          <w:sz w:val="28"/>
          <w:szCs w:val="28"/>
          <w:highlight w:val="none"/>
          <w:lang w:bidi="ar"/>
          <w14:textFill>
            <w14:solidFill>
              <w14:schemeClr w14:val="tx1"/>
            </w14:solidFill>
          </w14:textFill>
        </w:rPr>
      </w:pPr>
      <w:r>
        <w:rPr>
          <w:rFonts w:ascii="仿宋" w:hAnsi="仿宋" w:eastAsia="仿宋" w:cs="仿宋"/>
          <w:color w:val="000000" w:themeColor="text1"/>
          <w:sz w:val="28"/>
          <w:szCs w:val="28"/>
          <w:highlight w:val="none"/>
          <w:lang w:bidi="ar"/>
          <w14:textFill>
            <w14:solidFill>
              <w14:schemeClr w14:val="tx1"/>
            </w14:solidFill>
          </w14:textFill>
        </w:rPr>
        <w:t>授权代表</w:t>
      </w:r>
      <w:r>
        <w:rPr>
          <w:rFonts w:hint="eastAsia" w:ascii="仿宋" w:hAnsi="仿宋" w:eastAsia="仿宋" w:cs="仿宋"/>
          <w:color w:val="000000" w:themeColor="text1"/>
          <w:sz w:val="28"/>
          <w:szCs w:val="28"/>
          <w:highlight w:val="none"/>
          <w:lang w:bidi="ar"/>
          <w14:textFill>
            <w14:solidFill>
              <w14:schemeClr w14:val="tx1"/>
            </w14:solidFill>
          </w14:textFill>
        </w:rPr>
        <w:t>：</w:t>
      </w:r>
    </w:p>
    <w:p w14:paraId="54FE662D">
      <w:pPr>
        <w:widowControl/>
        <w:spacing w:line="520" w:lineRule="exact"/>
        <w:ind w:firstLine="560" w:firstLineChars="200"/>
        <w:rPr>
          <w:rFonts w:hint="default" w:ascii="仿宋" w:hAnsi="仿宋" w:eastAsia="仿宋" w:cs="仿宋"/>
          <w:color w:val="000000" w:themeColor="text1"/>
          <w:sz w:val="28"/>
          <w:szCs w:val="28"/>
          <w:highlight w:val="none"/>
          <w:lang w:val="en-US" w:eastAsia="zh-CN"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地址：</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海南省海口市美兰区白驹大道98号</w:t>
      </w:r>
    </w:p>
    <w:p w14:paraId="1E1392B8">
      <w:pPr>
        <w:pStyle w:val="12"/>
        <w:ind w:firstLine="560"/>
        <w:rPr>
          <w:rFonts w:hint="default" w:ascii="仿宋" w:hAnsi="仿宋" w:eastAsia="仿宋" w:cs="仿宋"/>
          <w:color w:val="000000" w:themeColor="text1"/>
          <w:sz w:val="28"/>
          <w:szCs w:val="28"/>
          <w:highlight w:val="none"/>
          <w:lang w:val="en-US" w:eastAsia="zh-CN"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电话：</w:t>
      </w:r>
      <w:r>
        <w:rPr>
          <w:rFonts w:hint="eastAsia" w:ascii="仿宋" w:hAnsi="仿宋" w:eastAsia="仿宋" w:cs="仿宋"/>
          <w:color w:val="000000" w:themeColor="text1"/>
          <w:sz w:val="28"/>
          <w:szCs w:val="28"/>
          <w:highlight w:val="none"/>
          <w:lang w:val="en-US" w:eastAsia="zh-CN" w:bidi="ar"/>
          <w14:textFill>
            <w14:solidFill>
              <w14:schemeClr w14:val="tx1"/>
            </w14:solidFill>
          </w14:textFill>
        </w:rPr>
        <w:t>0898-66711241</w:t>
      </w:r>
    </w:p>
    <w:p w14:paraId="0917C60F">
      <w:pPr>
        <w:pStyle w:val="12"/>
        <w:ind w:firstLine="560"/>
        <w:rPr>
          <w:rFonts w:ascii="仿宋" w:hAnsi="仿宋" w:eastAsia="仿宋" w:cs="仿宋"/>
          <w:color w:val="000000" w:themeColor="text1"/>
          <w:sz w:val="28"/>
          <w:szCs w:val="28"/>
          <w:highlight w:val="none"/>
          <w:lang w:bidi="ar"/>
          <w14:textFill>
            <w14:solidFill>
              <w14:schemeClr w14:val="tx1"/>
            </w14:solidFill>
          </w14:textFill>
        </w:rPr>
      </w:pPr>
    </w:p>
    <w:p w14:paraId="0273F118">
      <w:pPr>
        <w:pStyle w:val="12"/>
        <w:ind w:firstLine="56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乙</w:t>
      </w:r>
      <w:r>
        <w:rPr>
          <w:rFonts w:ascii="仿宋" w:hAnsi="仿宋" w:eastAsia="仿宋" w:cs="仿宋"/>
          <w:color w:val="000000" w:themeColor="text1"/>
          <w:sz w:val="28"/>
          <w:szCs w:val="28"/>
          <w:highlight w:val="none"/>
          <w:lang w:bidi="ar"/>
          <w14:textFill>
            <w14:solidFill>
              <w14:schemeClr w14:val="tx1"/>
            </w14:solidFill>
          </w14:textFill>
        </w:rPr>
        <w:t>方:</w:t>
      </w:r>
    </w:p>
    <w:p w14:paraId="62336CD6">
      <w:pPr>
        <w:pStyle w:val="12"/>
        <w:ind w:firstLine="560"/>
        <w:rPr>
          <w:rFonts w:ascii="仿宋" w:hAnsi="仿宋" w:eastAsia="仿宋" w:cs="仿宋"/>
          <w:color w:val="000000" w:themeColor="text1"/>
          <w:sz w:val="28"/>
          <w:szCs w:val="28"/>
          <w:highlight w:val="none"/>
          <w:lang w:bidi="ar"/>
          <w14:textFill>
            <w14:solidFill>
              <w14:schemeClr w14:val="tx1"/>
            </w14:solidFill>
          </w14:textFill>
        </w:rPr>
      </w:pPr>
      <w:r>
        <w:rPr>
          <w:rFonts w:ascii="仿宋" w:hAnsi="仿宋" w:eastAsia="仿宋" w:cs="仿宋"/>
          <w:color w:val="000000" w:themeColor="text1"/>
          <w:sz w:val="28"/>
          <w:szCs w:val="28"/>
          <w:highlight w:val="none"/>
          <w:lang w:bidi="ar"/>
          <w14:textFill>
            <w14:solidFill>
              <w14:schemeClr w14:val="tx1"/>
            </w14:solidFill>
          </w14:textFill>
        </w:rPr>
        <w:t>授权代表</w:t>
      </w:r>
      <w:r>
        <w:rPr>
          <w:rFonts w:hint="eastAsia" w:ascii="仿宋" w:hAnsi="仿宋" w:eastAsia="仿宋" w:cs="仿宋"/>
          <w:color w:val="000000" w:themeColor="text1"/>
          <w:sz w:val="28"/>
          <w:szCs w:val="28"/>
          <w:highlight w:val="none"/>
          <w:lang w:bidi="ar"/>
          <w14:textFill>
            <w14:solidFill>
              <w14:schemeClr w14:val="tx1"/>
            </w14:solidFill>
          </w14:textFill>
        </w:rPr>
        <w:t>：</w:t>
      </w:r>
    </w:p>
    <w:p w14:paraId="5FA446A9">
      <w:pPr>
        <w:widowControl/>
        <w:spacing w:line="520" w:lineRule="exact"/>
        <w:ind w:firstLine="560" w:firstLineChars="20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地址：</w:t>
      </w:r>
    </w:p>
    <w:p w14:paraId="4B52DB16">
      <w:pPr>
        <w:pStyle w:val="12"/>
        <w:ind w:firstLine="560"/>
        <w:rPr>
          <w:rFonts w:ascii="仿宋" w:hAnsi="仿宋" w:eastAsia="仿宋" w:cs="仿宋"/>
          <w:color w:val="000000" w:themeColor="text1"/>
          <w:sz w:val="28"/>
          <w:szCs w:val="28"/>
          <w:highlight w:val="none"/>
          <w:lang w:bidi="ar"/>
          <w14:textFill>
            <w14:solidFill>
              <w14:schemeClr w14:val="tx1"/>
            </w14:solidFill>
          </w14:textFill>
        </w:rPr>
      </w:pPr>
      <w:r>
        <w:rPr>
          <w:rFonts w:hint="eastAsia" w:ascii="仿宋" w:hAnsi="仿宋" w:eastAsia="仿宋" w:cs="仿宋"/>
          <w:color w:val="000000" w:themeColor="text1"/>
          <w:sz w:val="28"/>
          <w:szCs w:val="28"/>
          <w:highlight w:val="none"/>
          <w:lang w:bidi="ar"/>
          <w14:textFill>
            <w14:solidFill>
              <w14:schemeClr w14:val="tx1"/>
            </w14:solidFill>
          </w14:textFill>
        </w:rPr>
        <w:t>电话：</w:t>
      </w:r>
    </w:p>
    <w:p w14:paraId="503D2919">
      <w:pPr>
        <w:pStyle w:val="12"/>
        <w:ind w:firstLine="560"/>
        <w:rPr>
          <w:rFonts w:ascii="仿宋" w:hAnsi="仿宋" w:eastAsia="仿宋" w:cs="仿宋"/>
          <w:color w:val="000000" w:themeColor="text1"/>
          <w:sz w:val="28"/>
          <w:szCs w:val="28"/>
          <w:highlight w:val="none"/>
          <w:lang w:bidi="ar"/>
          <w14:textFill>
            <w14:solidFill>
              <w14:schemeClr w14:val="tx1"/>
            </w14:solidFill>
          </w14:textFill>
        </w:rPr>
        <w:sectPr>
          <w:pgSz w:w="11906" w:h="16838"/>
          <w:pgMar w:top="1440" w:right="1800" w:bottom="1440" w:left="1800" w:header="851" w:footer="992" w:gutter="0"/>
          <w:cols w:space="425" w:num="1"/>
          <w:docGrid w:type="lines" w:linePitch="312" w:charSpace="0"/>
        </w:sectPr>
      </w:pPr>
    </w:p>
    <w:p w14:paraId="25D6EB65">
      <w:pPr>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t>附件3 履约验收办法</w:t>
      </w:r>
    </w:p>
    <w:p w14:paraId="1470FB70">
      <w:pPr>
        <w:pStyle w:val="12"/>
        <w:rPr>
          <w:rFonts w:hint="eastAsia"/>
          <w:color w:val="000000" w:themeColor="text1"/>
          <w:highlight w:val="none"/>
          <w:lang w:val="en-US" w:eastAsia="zh-CN"/>
          <w14:textFill>
            <w14:solidFill>
              <w14:schemeClr w14:val="tx1"/>
            </w14:solidFill>
          </w14:textFill>
        </w:rPr>
      </w:pPr>
    </w:p>
    <w:p w14:paraId="1B6B101A">
      <w:pPr>
        <w:keepNext w:val="0"/>
        <w:keepLines w:val="0"/>
        <w:pageBreakBefore w:val="0"/>
        <w:widowControl/>
        <w:kinsoku/>
        <w:wordWrap/>
        <w:overflowPunct/>
        <w:topLinePunct w:val="0"/>
        <w:autoSpaceDE/>
        <w:autoSpaceDN/>
        <w:bidi w:val="0"/>
        <w:adjustRightInd/>
        <w:snapToGrid/>
        <w:spacing w:line="520" w:lineRule="exact"/>
        <w:ind w:firstLine="560" w:firstLineChars="200"/>
        <w:jc w:val="center"/>
        <w:textAlignment w:val="auto"/>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t>2025年度海南省省控环境空气质量监测自动站运行维护项目（采购包6）履约验收办法</w:t>
      </w:r>
    </w:p>
    <w:p w14:paraId="089C6BF0">
      <w:pPr>
        <w:pStyle w:val="12"/>
        <w:rPr>
          <w:rFonts w:hint="default"/>
          <w:color w:val="000000" w:themeColor="text1"/>
          <w:highlight w:val="none"/>
          <w:lang w:val="en-US" w:eastAsia="zh-CN"/>
          <w14:textFill>
            <w14:solidFill>
              <w14:schemeClr w14:val="tx1"/>
            </w14:solidFill>
          </w14:textFill>
        </w:rPr>
      </w:pPr>
    </w:p>
    <w:p w14:paraId="49D7E542">
      <w:pPr>
        <w:keepNext w:val="0"/>
        <w:keepLines w:val="0"/>
        <w:pageBreakBefore w:val="0"/>
        <w:widowControl/>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t>为确保2025年度海南省省控环境空气质量监测自动站运行维护项目（采购包6）项目顺利开展，制订本履约验收办法。</w:t>
      </w:r>
    </w:p>
    <w:p w14:paraId="32F30782">
      <w:pPr>
        <w:bidi w:val="0"/>
        <w:rPr>
          <w:rFonts w:hint="eastAsia" w:ascii="仿宋" w:hAnsi="仿宋" w:eastAsia="仿宋" w:cs="仿宋"/>
          <w:b/>
          <w:bCs/>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b/>
          <w:bCs/>
          <w:color w:val="000000" w:themeColor="text1"/>
          <w:kern w:val="2"/>
          <w:sz w:val="28"/>
          <w:szCs w:val="28"/>
          <w:highlight w:val="none"/>
          <w:lang w:val="en-US" w:eastAsia="zh-CN" w:bidi="ar"/>
          <w14:textFill>
            <w14:solidFill>
              <w14:schemeClr w14:val="tx1"/>
            </w14:solidFill>
          </w14:textFill>
        </w:rPr>
        <w:t>一、验收主体</w:t>
      </w:r>
      <w:bookmarkStart w:id="67" w:name="_GoBack"/>
      <w:bookmarkEnd w:id="67"/>
    </w:p>
    <w:p w14:paraId="1581CD07">
      <w:pPr>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t>1.验收对象（乙方）:</w:t>
      </w:r>
    </w:p>
    <w:p w14:paraId="686717B7">
      <w:pPr>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auto"/>
        <w:rPr>
          <w:rFonts w:hint="default" w:ascii="仿宋" w:hAnsi="仿宋" w:eastAsia="仿宋" w:cs="仿宋"/>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t>2.履约验收组织机构（甲方）:海南省生态环境监测中心</w:t>
      </w:r>
    </w:p>
    <w:p w14:paraId="207C8182">
      <w:pPr>
        <w:bidi w:val="0"/>
        <w:rPr>
          <w:rFonts w:hint="default" w:ascii="仿宋" w:hAnsi="仿宋" w:eastAsia="仿宋" w:cs="仿宋"/>
          <w:b/>
          <w:bCs/>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b/>
          <w:bCs/>
          <w:color w:val="000000" w:themeColor="text1"/>
          <w:kern w:val="2"/>
          <w:sz w:val="28"/>
          <w:szCs w:val="28"/>
          <w:highlight w:val="none"/>
          <w:lang w:val="en-US" w:eastAsia="zh-CN" w:bidi="ar"/>
          <w14:textFill>
            <w14:solidFill>
              <w14:schemeClr w14:val="tx1"/>
            </w14:solidFill>
          </w14:textFill>
        </w:rPr>
        <w:t>二、验收时间</w:t>
      </w:r>
    </w:p>
    <w:p w14:paraId="2E10FFDB">
      <w:pPr>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t>执行合同要求。</w:t>
      </w:r>
    </w:p>
    <w:p w14:paraId="5A5B1F09">
      <w:pPr>
        <w:bidi w:val="0"/>
        <w:rPr>
          <w:rFonts w:hint="eastAsia" w:ascii="仿宋" w:hAnsi="仿宋" w:eastAsia="仿宋" w:cs="仿宋"/>
          <w:b/>
          <w:bCs/>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b/>
          <w:bCs/>
          <w:color w:val="000000" w:themeColor="text1"/>
          <w:kern w:val="2"/>
          <w:sz w:val="28"/>
          <w:szCs w:val="28"/>
          <w:highlight w:val="none"/>
          <w:lang w:val="en-US" w:eastAsia="zh-CN" w:bidi="ar"/>
          <w14:textFill>
            <w14:solidFill>
              <w14:schemeClr w14:val="tx1"/>
            </w14:solidFill>
          </w14:textFill>
        </w:rPr>
        <w:t>三、验收方式</w:t>
      </w:r>
    </w:p>
    <w:p w14:paraId="5ABCA34F">
      <w:pPr>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t>甲方组织专家验收，对照招标文件、合同规定等，判断服务内容的符合情况，得出结论。</w:t>
      </w:r>
    </w:p>
    <w:p w14:paraId="27C01F48">
      <w:pPr>
        <w:bidi w:val="0"/>
        <w:rPr>
          <w:rFonts w:hint="eastAsia" w:ascii="仿宋" w:hAnsi="仿宋" w:eastAsia="仿宋" w:cs="仿宋"/>
          <w:b/>
          <w:bCs/>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b/>
          <w:bCs/>
          <w:color w:val="000000" w:themeColor="text1"/>
          <w:kern w:val="2"/>
          <w:sz w:val="28"/>
          <w:szCs w:val="28"/>
          <w:highlight w:val="none"/>
          <w:lang w:val="en-US" w:eastAsia="zh-CN" w:bidi="ar"/>
          <w14:textFill>
            <w14:solidFill>
              <w14:schemeClr w14:val="tx1"/>
            </w14:solidFill>
          </w14:textFill>
        </w:rPr>
        <w:t>四、验收程序</w:t>
      </w:r>
    </w:p>
    <w:p w14:paraId="41B88EA0">
      <w:pPr>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t>由甲方组织验收，按照验收内容和标准开展；乙方提交验收报告，并汇报项目年度履约情况；验收项目组成员提问、质询，形成验收意见；将项目验收报告、验收意见整理归档。</w:t>
      </w:r>
    </w:p>
    <w:p w14:paraId="0BD14599">
      <w:pPr>
        <w:bidi w:val="0"/>
        <w:rPr>
          <w:rFonts w:hint="eastAsia" w:ascii="仿宋" w:hAnsi="仿宋" w:eastAsia="仿宋" w:cs="仿宋"/>
          <w:b/>
          <w:bCs/>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b/>
          <w:bCs/>
          <w:color w:val="000000" w:themeColor="text1"/>
          <w:kern w:val="2"/>
          <w:sz w:val="28"/>
          <w:szCs w:val="28"/>
          <w:highlight w:val="none"/>
          <w:lang w:val="en-US" w:eastAsia="zh-CN" w:bidi="ar"/>
          <w14:textFill>
            <w14:solidFill>
              <w14:schemeClr w14:val="tx1"/>
            </w14:solidFill>
          </w14:textFill>
        </w:rPr>
        <w:t>五、验收内容及标准</w:t>
      </w:r>
    </w:p>
    <w:p w14:paraId="38BDB796">
      <w:pPr>
        <w:keepNext w:val="0"/>
        <w:keepLines w:val="0"/>
        <w:pageBreakBefore w:val="0"/>
        <w:widowControl/>
        <w:kinsoku/>
        <w:wordWrap/>
        <w:overflowPunct/>
        <w:topLinePunct w:val="0"/>
        <w:autoSpaceDE/>
        <w:autoSpaceDN/>
        <w:bidi w:val="0"/>
        <w:adjustRightInd/>
        <w:snapToGrid/>
        <w:spacing w:line="240" w:lineRule="auto"/>
        <w:ind w:firstLine="560" w:firstLineChars="200"/>
        <w:jc w:val="left"/>
        <w:textAlignment w:val="auto"/>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t>根据采购文件和合同为基本依据制定了以下验收内容及标准，具体验收指标如下:</w:t>
      </w:r>
    </w:p>
    <w:p w14:paraId="2D10654D">
      <w:pPr>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t>1.数据有效率，运维单位要确保运维考核周期内数据有效率在 90%以上。</w:t>
      </w:r>
    </w:p>
    <w:p w14:paraId="5C3D1182">
      <w:pPr>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pPr>
    </w:p>
    <w:p w14:paraId="1D7F0F73">
      <w:pPr>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t>2.质控合格率，运维单位要确保运维考核周期内质控合格率在 80%以上。</w:t>
      </w:r>
    </w:p>
    <w:p w14:paraId="19AD96BF">
      <w:pPr>
        <w:keepNext w:val="0"/>
        <w:keepLines w:val="0"/>
        <w:pageBreakBefore w:val="0"/>
        <w:widowControl/>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
          <w14:textFill>
            <w14:solidFill>
              <w14:schemeClr w14:val="tx1"/>
            </w14:solidFill>
          </w14:textFill>
        </w:rPr>
        <w:t>3.备机、备品备件、耗材、质控设备等应按项目要求配备与使用，未发生严重影响城市数据质量的事件，对城市环境质量客观、公正的考核产生严重影响。人员、车辆应按项目要求配备，保证人员完整性 和人员能力的符合性。</w:t>
      </w:r>
    </w:p>
    <w:p w14:paraId="06D3EC3A">
      <w:pPr>
        <w:rPr>
          <w:rFonts w:hint="eastAsia"/>
          <w:color w:val="000000" w:themeColor="text1"/>
          <w:sz w:val="28"/>
          <w:szCs w:val="22"/>
          <w:lang w:val="en-US" w:eastAsia="zh-CN"/>
          <w14:textFill>
            <w14:solidFill>
              <w14:schemeClr w14:val="tx1"/>
            </w14:solidFill>
          </w14:textFill>
        </w:rPr>
      </w:pPr>
      <w:r>
        <w:rPr>
          <w:rFonts w:hint="eastAsia"/>
          <w:color w:val="000000" w:themeColor="text1"/>
          <w:sz w:val="28"/>
          <w:szCs w:val="22"/>
          <w:lang w:val="en-US" w:eastAsia="zh-CN"/>
          <w14:textFill>
            <w14:solidFill>
              <w14:schemeClr w14:val="tx1"/>
            </w14:solidFill>
          </w14:textFill>
        </w:rPr>
        <w:t>4.招标文件、合同的其他内容响应情况。</w:t>
      </w:r>
    </w:p>
    <w:p w14:paraId="18AB39B1">
      <w:pPr>
        <w:rPr>
          <w:rFonts w:hint="eastAsia"/>
          <w:color w:val="000000" w:themeColor="text1"/>
          <w:sz w:val="28"/>
          <w:szCs w:val="22"/>
          <w:lang w:val="en-US" w:eastAsia="zh-CN"/>
          <w14:textFill>
            <w14:solidFill>
              <w14:schemeClr w14:val="tx1"/>
            </w14:solidFill>
          </w14:textFill>
        </w:rPr>
      </w:pPr>
      <w:r>
        <w:rPr>
          <w:rFonts w:hint="eastAsia"/>
          <w:color w:val="000000" w:themeColor="text1"/>
          <w:sz w:val="28"/>
          <w:szCs w:val="22"/>
          <w:lang w:val="en-US" w:eastAsia="zh-CN"/>
          <w14:textFill>
            <w14:solidFill>
              <w14:schemeClr w14:val="tx1"/>
            </w14:solidFill>
          </w14:textFill>
        </w:rPr>
        <w:br w:type="page"/>
      </w:r>
    </w:p>
    <w:p w14:paraId="478D5597">
      <w:pPr>
        <w:pStyle w:val="2"/>
        <w:numPr>
          <w:ilvl w:val="1"/>
          <w:numId w:val="0"/>
        </w:numPr>
        <w:bidi w:val="0"/>
        <w:ind w:leftChars="0"/>
        <w:jc w:val="cente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采购包7采购合同</w:t>
      </w:r>
    </w:p>
    <w:p w14:paraId="489ECBFC">
      <w:pPr>
        <w:widowControl/>
        <w:spacing w:line="520" w:lineRule="exact"/>
        <w:ind w:firstLine="480" w:firstLineChars="200"/>
        <w:rPr>
          <w:rFonts w:hint="eastAsia" w:ascii="宋体" w:hAnsi="宋体" w:eastAsia="宋体" w:cs="宋体"/>
          <w:color w:val="000000" w:themeColor="text1"/>
          <w:sz w:val="24"/>
          <w:szCs w:val="24"/>
          <w:highlight w:val="none"/>
          <w:lang w:bidi="ar"/>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甲方：海南省生态环境监测中心</w:t>
      </w:r>
    </w:p>
    <w:p w14:paraId="1BD70666">
      <w:pPr>
        <w:widowControl/>
        <w:spacing w:line="520" w:lineRule="exact"/>
        <w:ind w:firstLine="480" w:firstLineChars="200"/>
        <w:rPr>
          <w:rFonts w:hint="eastAsia" w:ascii="宋体" w:hAnsi="宋体" w:eastAsia="宋体" w:cs="宋体"/>
          <w:color w:val="000000" w:themeColor="text1"/>
          <w:sz w:val="24"/>
          <w:szCs w:val="24"/>
          <w:highlight w:val="none"/>
          <w:lang w:bidi="ar"/>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 xml:space="preserve">乙方：                      </w:t>
      </w:r>
    </w:p>
    <w:p w14:paraId="04A17BB4">
      <w:pPr>
        <w:widowControl/>
        <w:spacing w:line="520" w:lineRule="exact"/>
        <w:ind w:firstLine="480" w:firstLineChars="200"/>
        <w:rPr>
          <w:rFonts w:hint="eastAsia" w:ascii="宋体" w:hAnsi="宋体" w:eastAsia="宋体" w:cs="宋体"/>
          <w:color w:val="000000" w:themeColor="text1"/>
          <w:sz w:val="24"/>
          <w:szCs w:val="24"/>
          <w:highlight w:val="none"/>
          <w:lang w:eastAsia="zh-CN" w:bidi="ar"/>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甲乙双方根据</w:t>
      </w:r>
      <w:r>
        <w:rPr>
          <w:rFonts w:hint="eastAsia" w:ascii="宋体" w:hAnsi="宋体" w:eastAsia="宋体" w:cs="宋体"/>
          <w:color w:val="000000" w:themeColor="text1"/>
          <w:sz w:val="24"/>
          <w:szCs w:val="24"/>
          <w:highlight w:val="none"/>
          <w:lang w:val="en-US" w:eastAsia="zh-CN" w:bidi="ar"/>
          <w14:textFill>
            <w14:solidFill>
              <w14:schemeClr w14:val="tx1"/>
            </w14:solidFill>
          </w14:textFill>
        </w:rPr>
        <w:t>大气</w:t>
      </w:r>
      <w:r>
        <w:rPr>
          <w:rFonts w:hint="eastAsia" w:ascii="宋体" w:hAnsi="宋体" w:eastAsia="宋体" w:cs="宋体"/>
          <w:color w:val="000000" w:themeColor="text1"/>
          <w:sz w:val="24"/>
          <w:szCs w:val="24"/>
          <w:highlight w:val="none"/>
          <w:lang w:bidi="ar"/>
          <w14:textFill>
            <w14:solidFill>
              <w14:schemeClr w14:val="tx1"/>
            </w14:solidFill>
          </w14:textFill>
        </w:rPr>
        <w:t>环境质量自动监测站</w:t>
      </w:r>
      <w:r>
        <w:rPr>
          <w:rFonts w:hint="eastAsia" w:ascii="宋体" w:hAnsi="宋体" w:eastAsia="宋体" w:cs="宋体"/>
          <w:color w:val="000000" w:themeColor="text1"/>
          <w:sz w:val="24"/>
          <w:szCs w:val="24"/>
          <w:highlight w:val="none"/>
          <w:lang w:val="en-US" w:eastAsia="zh-CN" w:bidi="ar"/>
          <w14:textFill>
            <w14:solidFill>
              <w14:schemeClr w14:val="tx1"/>
            </w14:solidFill>
          </w14:textFill>
        </w:rPr>
        <w:t>房智慧化改造</w:t>
      </w:r>
      <w:r>
        <w:rPr>
          <w:rFonts w:hint="eastAsia" w:ascii="宋体" w:hAnsi="宋体" w:eastAsia="宋体" w:cs="宋体"/>
          <w:color w:val="000000" w:themeColor="text1"/>
          <w:sz w:val="24"/>
          <w:szCs w:val="24"/>
          <w:highlight w:val="none"/>
          <w:lang w:bidi="ar"/>
          <w14:textFill>
            <w14:solidFill>
              <w14:schemeClr w14:val="tx1"/>
            </w14:solidFill>
          </w14:textFill>
        </w:rPr>
        <w:t>项目（项目编号：）</w:t>
      </w:r>
      <w:r>
        <w:rPr>
          <w:rFonts w:hint="eastAsia" w:ascii="宋体" w:hAnsi="宋体" w:eastAsia="宋体" w:cs="宋体"/>
          <w:color w:val="000000" w:themeColor="text1"/>
          <w:sz w:val="24"/>
          <w:szCs w:val="24"/>
          <w:highlight w:val="none"/>
          <w:lang w:val="en-US" w:eastAsia="zh-CN" w:bidi="ar"/>
          <w14:textFill>
            <w14:solidFill>
              <w14:schemeClr w14:val="tx1"/>
            </w14:solidFill>
          </w14:textFill>
        </w:rPr>
        <w:t>(E包)</w:t>
      </w:r>
      <w:r>
        <w:rPr>
          <w:rFonts w:hint="eastAsia" w:ascii="宋体" w:hAnsi="宋体" w:eastAsia="宋体" w:cs="宋体"/>
          <w:color w:val="000000" w:themeColor="text1"/>
          <w:sz w:val="24"/>
          <w:szCs w:val="24"/>
          <w:highlight w:val="none"/>
          <w:lang w:bidi="ar"/>
          <w14:textFill>
            <w14:solidFill>
              <w14:schemeClr w14:val="tx1"/>
            </w14:solidFill>
          </w14:textFill>
        </w:rPr>
        <w:t>招标结果及采购文件要求，遵照《中华人民共和国民法典》和《中华人民共和国政府采购法》，本着平等互利的原则，经协商一致，同意以下合同条款，供双方共同遵守：</w:t>
      </w:r>
    </w:p>
    <w:p w14:paraId="0497B1CE">
      <w:pPr>
        <w:numPr>
          <w:ilvl w:val="0"/>
          <w:numId w:val="4"/>
        </w:numPr>
        <w:bidi w:val="0"/>
        <w:rPr>
          <w:rFonts w:hint="eastAsia"/>
          <w:b/>
          <w:bCs/>
          <w:color w:val="000000" w:themeColor="text1"/>
          <w:sz w:val="28"/>
          <w:szCs w:val="22"/>
          <w:lang w:val="en-US" w:eastAsia="zh-CN"/>
          <w14:textFill>
            <w14:solidFill>
              <w14:schemeClr w14:val="tx1"/>
            </w14:solidFill>
          </w14:textFill>
        </w:rPr>
      </w:pPr>
      <w:r>
        <w:rPr>
          <w:rFonts w:hint="eastAsia"/>
          <w:b/>
          <w:bCs/>
          <w:color w:val="000000" w:themeColor="text1"/>
          <w:sz w:val="28"/>
          <w:szCs w:val="22"/>
          <w:lang w:val="en-US" w:eastAsia="zh-CN"/>
          <w14:textFill>
            <w14:solidFill>
              <w14:schemeClr w14:val="tx1"/>
            </w14:solidFill>
          </w14:textFill>
        </w:rPr>
        <w:t xml:space="preserve">  合同文件及标的</w:t>
      </w:r>
    </w:p>
    <w:p w14:paraId="0682E071">
      <w:pPr>
        <w:widowControl/>
        <w:numPr>
          <w:ilvl w:val="0"/>
          <w:numId w:val="5"/>
        </w:numPr>
        <w:spacing w:line="520" w:lineRule="exact"/>
        <w:ind w:firstLine="480" w:firstLineChars="200"/>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合同文件</w:t>
      </w:r>
    </w:p>
    <w:p w14:paraId="3D3DEFF6">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80" w:firstLineChars="200"/>
        <w:textAlignment w:val="auto"/>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下列与本次采购活动有关的文件及附件是本合同不可分割的组成部分，与本合同具有同等法律效力，这些文件包括但不限于：</w:t>
      </w:r>
    </w:p>
    <w:p w14:paraId="4AB93B71">
      <w:pPr>
        <w:keepNext w:val="0"/>
        <w:keepLines w:val="0"/>
        <w:pageBreakBefore w:val="0"/>
        <w:widowControl/>
        <w:numPr>
          <w:ilvl w:val="0"/>
          <w:numId w:val="6"/>
        </w:numPr>
        <w:kinsoku/>
        <w:wordWrap/>
        <w:overflowPunct/>
        <w:topLinePunct w:val="0"/>
        <w:autoSpaceDE/>
        <w:autoSpaceDN/>
        <w:bidi w:val="0"/>
        <w:adjustRightInd/>
        <w:snapToGrid/>
        <w:spacing w:line="520" w:lineRule="exact"/>
        <w:ind w:firstLine="480" w:firstLineChars="200"/>
        <w:textAlignment w:val="auto"/>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采购文件以及相关的补充文件；</w:t>
      </w:r>
    </w:p>
    <w:p w14:paraId="21F07541">
      <w:pPr>
        <w:keepNext w:val="0"/>
        <w:keepLines w:val="0"/>
        <w:pageBreakBefore w:val="0"/>
        <w:widowControl/>
        <w:numPr>
          <w:ilvl w:val="0"/>
          <w:numId w:val="6"/>
        </w:numPr>
        <w:kinsoku/>
        <w:wordWrap/>
        <w:overflowPunct/>
        <w:topLinePunct w:val="0"/>
        <w:autoSpaceDE/>
        <w:autoSpaceDN/>
        <w:bidi w:val="0"/>
        <w:adjustRightInd/>
        <w:snapToGrid/>
        <w:spacing w:line="520" w:lineRule="exact"/>
        <w:ind w:left="0" w:leftChars="0" w:firstLine="480" w:firstLineChars="200"/>
        <w:textAlignment w:val="auto"/>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乙方所提交的投标文件及相关资料；</w:t>
      </w:r>
    </w:p>
    <w:p w14:paraId="33830F86">
      <w:pPr>
        <w:keepNext w:val="0"/>
        <w:keepLines w:val="0"/>
        <w:pageBreakBefore w:val="0"/>
        <w:widowControl/>
        <w:numPr>
          <w:ilvl w:val="0"/>
          <w:numId w:val="6"/>
        </w:numPr>
        <w:kinsoku/>
        <w:wordWrap/>
        <w:overflowPunct/>
        <w:topLinePunct w:val="0"/>
        <w:autoSpaceDE/>
        <w:autoSpaceDN/>
        <w:bidi w:val="0"/>
        <w:adjustRightInd/>
        <w:snapToGrid/>
        <w:spacing w:line="520" w:lineRule="exact"/>
        <w:ind w:left="0" w:leftChars="0" w:firstLine="480" w:firstLineChars="200"/>
        <w:textAlignment w:val="auto"/>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乙方在投标时的书面承诺；</w:t>
      </w:r>
    </w:p>
    <w:p w14:paraId="280E6C1F">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firstLine="480" w:firstLineChars="200"/>
        <w:textAlignment w:val="auto"/>
        <w:rPr>
          <w:rFonts w:hint="eastAsia" w:ascii="宋体" w:hAnsi="宋体" w:eastAsia="宋体" w:cs="宋体"/>
          <w:color w:val="000000" w:themeColor="text1"/>
          <w:sz w:val="28"/>
          <w:szCs w:val="28"/>
          <w:highlight w:val="none"/>
          <w:lang w:val="en-US" w:eastAsia="zh-CN" w:bidi="ar"/>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（4）中标通知书；</w:t>
      </w:r>
    </w:p>
    <w:p w14:paraId="54D78F8B">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firstLine="480" w:firstLineChars="200"/>
        <w:textAlignment w:val="auto"/>
        <w:rPr>
          <w:rFonts w:hint="eastAsia" w:ascii="宋体" w:hAnsi="宋体" w:eastAsia="宋体" w:cs="宋体"/>
          <w:color w:val="000000" w:themeColor="text1"/>
          <w:sz w:val="28"/>
          <w:szCs w:val="28"/>
          <w:highlight w:val="none"/>
          <w:lang w:val="en-US" w:eastAsia="zh-CN" w:bidi="ar"/>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（5）合同补充条款或说明；</w:t>
      </w:r>
    </w:p>
    <w:p w14:paraId="5FE9C3CD">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firstLine="480" w:firstLineChars="200"/>
        <w:textAlignment w:val="auto"/>
        <w:rPr>
          <w:rFonts w:hint="eastAsia" w:ascii="宋体" w:hAnsi="宋体" w:eastAsia="宋体" w:cs="宋体"/>
          <w:color w:val="000000" w:themeColor="text1"/>
          <w:sz w:val="28"/>
          <w:szCs w:val="28"/>
          <w:highlight w:val="none"/>
          <w:lang w:val="en-US" w:eastAsia="zh-CN" w:bidi="ar"/>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（6）相关附件、图纸及电子版资料。</w:t>
      </w:r>
    </w:p>
    <w:p w14:paraId="4D34496D">
      <w:pPr>
        <w:widowControl/>
        <w:numPr>
          <w:ilvl w:val="0"/>
          <w:numId w:val="5"/>
        </w:numPr>
        <w:spacing w:line="520" w:lineRule="exact"/>
        <w:ind w:firstLine="480" w:firstLineChars="200"/>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合同标的</w:t>
      </w:r>
    </w:p>
    <w:p w14:paraId="38F5AA76">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firstLine="480" w:firstLineChars="200"/>
        <w:textAlignment w:val="auto"/>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（1）本合同标的</w:t>
      </w:r>
      <w:r>
        <w:rPr>
          <w:rFonts w:hint="eastAsia" w:ascii="宋体" w:hAnsi="宋体" w:eastAsia="宋体" w:cs="宋体"/>
          <w:color w:val="000000" w:themeColor="text1"/>
          <w:sz w:val="24"/>
          <w:szCs w:val="24"/>
          <w:highlight w:val="none"/>
          <w:lang w:val="en-US" w:eastAsia="zh-CN" w:bidi="ar"/>
          <w14:textFill>
            <w14:solidFill>
              <w14:schemeClr w14:val="tx1"/>
            </w14:solidFill>
          </w14:textFill>
        </w:rPr>
        <w:t>大气</w:t>
      </w:r>
      <w:r>
        <w:rPr>
          <w:rFonts w:hint="eastAsia" w:ascii="宋体" w:hAnsi="宋体" w:eastAsia="宋体" w:cs="宋体"/>
          <w:color w:val="000000" w:themeColor="text1"/>
          <w:sz w:val="24"/>
          <w:szCs w:val="24"/>
          <w:highlight w:val="none"/>
          <w:lang w:bidi="ar"/>
          <w14:textFill>
            <w14:solidFill>
              <w14:schemeClr w14:val="tx1"/>
            </w14:solidFill>
          </w14:textFill>
        </w:rPr>
        <w:t>环境质量自动监测站</w:t>
      </w:r>
      <w:r>
        <w:rPr>
          <w:rFonts w:hint="eastAsia" w:ascii="宋体" w:hAnsi="宋体" w:eastAsia="宋体" w:cs="宋体"/>
          <w:color w:val="000000" w:themeColor="text1"/>
          <w:sz w:val="24"/>
          <w:szCs w:val="24"/>
          <w:highlight w:val="none"/>
          <w:lang w:val="en-US" w:eastAsia="zh-CN" w:bidi="ar"/>
          <w14:textFill>
            <w14:solidFill>
              <w14:schemeClr w14:val="tx1"/>
            </w14:solidFill>
          </w14:textFill>
        </w:rPr>
        <w:t>房智慧化改造</w:t>
      </w:r>
      <w:r>
        <w:rPr>
          <w:rFonts w:hint="eastAsia" w:ascii="宋体" w:hAnsi="宋体" w:eastAsia="宋体" w:cs="宋体"/>
          <w:color w:val="000000" w:themeColor="text1"/>
          <w:sz w:val="24"/>
          <w:szCs w:val="24"/>
          <w:highlight w:val="none"/>
          <w:lang w:bidi="ar"/>
          <w14:textFill>
            <w14:solidFill>
              <w14:schemeClr w14:val="tx1"/>
            </w14:solidFill>
          </w14:textFill>
        </w:rPr>
        <w:t>项目</w:t>
      </w:r>
      <w:r>
        <w:rPr>
          <w:rFonts w:hint="eastAsia" w:ascii="宋体" w:hAnsi="宋体" w:eastAsia="宋体" w:cs="宋体"/>
          <w:color w:val="000000" w:themeColor="text1"/>
          <w:sz w:val="24"/>
          <w:szCs w:val="24"/>
          <w:highlight w:val="none"/>
          <w:lang w:val="en-US" w:eastAsia="zh-CN"/>
          <w14:textFill>
            <w14:solidFill>
              <w14:schemeClr w14:val="tx1"/>
            </w14:solidFill>
          </w14:textFill>
        </w:rPr>
        <w:t>E</w:t>
      </w:r>
      <w:r>
        <w:rPr>
          <w:rFonts w:ascii="宋体" w:hAnsi="宋体" w:eastAsia="宋体" w:cs="宋体"/>
          <w:color w:val="000000" w:themeColor="text1"/>
          <w:sz w:val="24"/>
          <w:szCs w:val="24"/>
          <w:highlight w:val="none"/>
          <w14:textFill>
            <w14:solidFill>
              <w14:schemeClr w14:val="tx1"/>
            </w14:solidFill>
          </w14:textFill>
        </w:rPr>
        <w:t>包（项目编号：），包括全部货物、辅助材料、运输、保险、装卸、检验、安装、调试、试运行、人员培训、售后服务、质保期保障、各种税费及项目验收产生的监测（检查）费、劳务报酬等全部费用支出，甲方不再另行支付。</w:t>
      </w:r>
    </w:p>
    <w:p w14:paraId="264C6DA0">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firstLine="480" w:firstLineChars="200"/>
        <w:textAlignment w:val="auto"/>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（2）供货货物名称、型号、规格、数量见附件2。</w:t>
      </w:r>
    </w:p>
    <w:p w14:paraId="71727B3E">
      <w:pPr>
        <w:numPr>
          <w:ilvl w:val="0"/>
          <w:numId w:val="4"/>
        </w:numPr>
        <w:bidi w:val="0"/>
        <w:rPr>
          <w:rFonts w:hint="eastAsia" w:ascii="宋体" w:hAnsi="宋体" w:eastAsia="宋体"/>
          <w:b/>
          <w:bCs/>
          <w:color w:val="000000" w:themeColor="text1"/>
          <w:sz w:val="24"/>
          <w:highlight w:val="none"/>
          <w:lang w:val="en-US" w:eastAsia="zh-CN"/>
          <w14:textFill>
            <w14:solidFill>
              <w14:schemeClr w14:val="tx1"/>
            </w14:solidFill>
          </w14:textFill>
        </w:rPr>
      </w:pPr>
      <w:r>
        <w:rPr>
          <w:rFonts w:hint="eastAsia" w:ascii="宋体" w:hAnsi="宋体" w:eastAsia="宋体"/>
          <w:b/>
          <w:bCs/>
          <w:color w:val="000000" w:themeColor="text1"/>
          <w:sz w:val="24"/>
          <w:highlight w:val="none"/>
          <w:lang w:val="en-US" w:eastAsia="zh-CN"/>
          <w14:textFill>
            <w14:solidFill>
              <w14:schemeClr w14:val="tx1"/>
            </w14:solidFill>
          </w14:textFill>
        </w:rPr>
        <w:t xml:space="preserve">  合同金额</w:t>
      </w:r>
    </w:p>
    <w:p w14:paraId="0DBB3D23">
      <w:pPr>
        <w:keepNext w:val="0"/>
        <w:keepLines w:val="0"/>
        <w:pageBreakBefore w:val="0"/>
        <w:widowControl/>
        <w:numPr>
          <w:ilvl w:val="0"/>
          <w:numId w:val="7"/>
        </w:numPr>
        <w:kinsoku/>
        <w:wordWrap/>
        <w:overflowPunct/>
        <w:topLinePunct w:val="0"/>
        <w:autoSpaceDE/>
        <w:autoSpaceDN/>
        <w:bidi w:val="0"/>
        <w:adjustRightInd/>
        <w:snapToGrid/>
        <w:spacing w:line="520" w:lineRule="exact"/>
        <w:ind w:leftChars="0" w:firstLine="480" w:firstLineChars="200"/>
        <w:textAlignment w:val="auto"/>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本合同含税总金额为¥</w:t>
      </w:r>
      <w:r>
        <w:rPr>
          <w:rFonts w:hint="eastAsia" w:ascii="宋体" w:hAnsi="宋体" w:eastAsia="宋体" w:cs="宋体"/>
          <w:color w:val="000000" w:themeColor="text1"/>
          <w:sz w:val="24"/>
          <w:szCs w:val="24"/>
          <w:highlight w:val="none"/>
          <w:lang w:val="en-US" w:eastAsia="zh-CN"/>
          <w14:textFill>
            <w14:solidFill>
              <w14:schemeClr w14:val="tx1"/>
            </w14:solidFill>
          </w14:textFill>
        </w:rPr>
        <w:t>xxxx</w:t>
      </w:r>
      <w:r>
        <w:rPr>
          <w:rFonts w:ascii="宋体" w:hAnsi="宋体" w:eastAsia="宋体" w:cs="宋体"/>
          <w:color w:val="000000" w:themeColor="text1"/>
          <w:sz w:val="24"/>
          <w:szCs w:val="24"/>
          <w:highlight w:val="none"/>
          <w14:textFill>
            <w14:solidFill>
              <w14:schemeClr w14:val="tx1"/>
            </w14:solidFill>
          </w14:textFill>
        </w:rPr>
        <w:t>.00（人民币</w:t>
      </w:r>
      <w:r>
        <w:rPr>
          <w:rFonts w:hint="eastAsia" w:ascii="宋体" w:hAnsi="宋体" w:eastAsia="宋体" w:cs="宋体"/>
          <w:color w:val="000000" w:themeColor="text1"/>
          <w:sz w:val="24"/>
          <w:szCs w:val="24"/>
          <w:highlight w:val="none"/>
          <w:lang w:val="en-US" w:eastAsia="zh-CN"/>
          <w14:textFill>
            <w14:solidFill>
              <w14:schemeClr w14:val="tx1"/>
            </w14:solidFill>
          </w14:textFill>
        </w:rPr>
        <w:t>贰</w:t>
      </w:r>
      <w:r>
        <w:rPr>
          <w:rFonts w:ascii="宋体" w:hAnsi="宋体" w:eastAsia="宋体" w:cs="宋体"/>
          <w:color w:val="000000" w:themeColor="text1"/>
          <w:sz w:val="24"/>
          <w:szCs w:val="24"/>
          <w:highlight w:val="none"/>
          <w14:textFill>
            <w14:solidFill>
              <w14:schemeClr w14:val="tx1"/>
            </w14:solidFill>
          </w14:textFill>
        </w:rPr>
        <w:t>拾</w:t>
      </w:r>
      <w:r>
        <w:rPr>
          <w:rFonts w:hint="eastAsia" w:ascii="宋体" w:hAnsi="宋体" w:eastAsia="宋体" w:cs="宋体"/>
          <w:color w:val="000000" w:themeColor="text1"/>
          <w:sz w:val="24"/>
          <w:szCs w:val="24"/>
          <w:highlight w:val="none"/>
          <w:lang w:val="en-US" w:eastAsia="zh-CN"/>
          <w14:textFill>
            <w14:solidFill>
              <w14:schemeClr w14:val="tx1"/>
            </w14:solidFill>
          </w14:textFill>
        </w:rPr>
        <w:t>陆</w:t>
      </w:r>
      <w:r>
        <w:rPr>
          <w:rFonts w:ascii="宋体" w:hAnsi="宋体" w:eastAsia="宋体" w:cs="宋体"/>
          <w:color w:val="000000" w:themeColor="text1"/>
          <w:sz w:val="24"/>
          <w:szCs w:val="24"/>
          <w:highlight w:val="none"/>
          <w14:textFill>
            <w14:solidFill>
              <w14:schemeClr w14:val="tx1"/>
            </w14:solidFill>
          </w14:textFill>
        </w:rPr>
        <w:t>万</w:t>
      </w:r>
      <w:r>
        <w:rPr>
          <w:rFonts w:hint="eastAsia" w:ascii="宋体" w:hAnsi="宋体" w:eastAsia="宋体" w:cs="宋体"/>
          <w:color w:val="000000" w:themeColor="text1"/>
          <w:sz w:val="24"/>
          <w:szCs w:val="24"/>
          <w:highlight w:val="none"/>
          <w:lang w:val="en-US" w:eastAsia="zh-CN"/>
          <w14:textFill>
            <w14:solidFill>
              <w14:schemeClr w14:val="tx1"/>
            </w14:solidFill>
          </w14:textFill>
        </w:rPr>
        <w:t>壹佰</w:t>
      </w:r>
      <w:r>
        <w:rPr>
          <w:rFonts w:ascii="宋体" w:hAnsi="宋体" w:eastAsia="宋体" w:cs="宋体"/>
          <w:color w:val="000000" w:themeColor="text1"/>
          <w:sz w:val="24"/>
          <w:szCs w:val="24"/>
          <w:highlight w:val="none"/>
          <w14:textFill>
            <w14:solidFill>
              <w14:schemeClr w14:val="tx1"/>
            </w14:solidFill>
          </w14:textFill>
        </w:rPr>
        <w:t>元整）（含税）。</w:t>
      </w:r>
    </w:p>
    <w:p w14:paraId="64DB259A">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80" w:firstLineChars="200"/>
        <w:textAlignment w:val="auto"/>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2．本合同金额为该项目所需全部费用及对项目验收产生的费用支出，甲方不再另行支付</w:t>
      </w:r>
    </w:p>
    <w:p w14:paraId="1923C6B3">
      <w:pPr>
        <w:numPr>
          <w:ilvl w:val="0"/>
          <w:numId w:val="4"/>
        </w:numPr>
        <w:bidi w:val="0"/>
        <w:rPr>
          <w:rFonts w:hint="default" w:ascii="宋体" w:hAnsi="宋体" w:eastAsia="宋体"/>
          <w:b/>
          <w:bCs/>
          <w:color w:val="000000" w:themeColor="text1"/>
          <w:sz w:val="24"/>
          <w:highlight w:val="none"/>
          <w:lang w:val="en-US" w:eastAsia="zh-CN"/>
          <w14:textFill>
            <w14:solidFill>
              <w14:schemeClr w14:val="tx1"/>
            </w14:solidFill>
          </w14:textFill>
        </w:rPr>
      </w:pPr>
      <w:r>
        <w:rPr>
          <w:rFonts w:hint="eastAsia" w:ascii="宋体" w:hAnsi="宋体" w:eastAsia="宋体"/>
          <w:b/>
          <w:bCs/>
          <w:color w:val="000000" w:themeColor="text1"/>
          <w:sz w:val="24"/>
          <w:highlight w:val="none"/>
          <w:lang w:val="en-US" w:eastAsia="zh-CN"/>
          <w14:textFill>
            <w14:solidFill>
              <w14:schemeClr w14:val="tx1"/>
            </w14:solidFill>
          </w14:textFill>
        </w:rPr>
        <w:t xml:space="preserve">  付款方式及结算</w:t>
      </w:r>
    </w:p>
    <w:p w14:paraId="1E6896A3">
      <w:pPr>
        <w:widowControl/>
        <w:spacing w:line="520" w:lineRule="exact"/>
        <w:ind w:firstLine="560" w:firstLineChars="200"/>
        <w:rPr>
          <w:rFonts w:hint="eastAsia" w:ascii="宋体" w:hAnsi="宋体" w:eastAsia="宋体" w:cs="宋体"/>
          <w:color w:val="000000" w:themeColor="text1"/>
          <w:sz w:val="28"/>
          <w:szCs w:val="28"/>
          <w:highlight w:val="none"/>
          <w:lang w:val="en-US" w:eastAsia="zh-CN" w:bidi="ar"/>
          <w14:textFill>
            <w14:solidFill>
              <w14:schemeClr w14:val="tx1"/>
            </w14:solidFill>
          </w14:textFill>
        </w:rPr>
      </w:pPr>
      <w:r>
        <w:rPr>
          <w:rFonts w:hint="eastAsia" w:ascii="宋体" w:hAnsi="宋体" w:eastAsia="宋体" w:cs="宋体"/>
          <w:color w:val="000000" w:themeColor="text1"/>
          <w:sz w:val="28"/>
          <w:szCs w:val="28"/>
          <w:highlight w:val="none"/>
          <w:lang w:val="en-US" w:eastAsia="zh-CN" w:bidi="ar"/>
          <w14:textFill>
            <w14:solidFill>
              <w14:schemeClr w14:val="tx1"/>
            </w14:solidFill>
          </w14:textFill>
        </w:rPr>
        <w:t>由甲方按下列程序付款：</w:t>
      </w:r>
    </w:p>
    <w:p w14:paraId="2EBA0968">
      <w:pPr>
        <w:widowControl/>
        <w:spacing w:line="520" w:lineRule="exact"/>
        <w:ind w:firstLine="480" w:firstLineChars="200"/>
        <w:rPr>
          <w:rFonts w:hint="eastAsia" w:ascii="宋体" w:hAnsi="宋体" w:eastAsia="宋体" w:cs="宋体"/>
          <w:color w:val="000000" w:themeColor="text1"/>
          <w:sz w:val="24"/>
          <w:szCs w:val="24"/>
          <w:highlight w:val="none"/>
          <w:lang w:val="en-US" w:eastAsia="zh-CN" w:bidi="ar"/>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1．合同签订生效后15个工作日内，乙方向甲方提供合同总额5%的质量保证金，</w:t>
      </w:r>
      <w:r>
        <w:rPr>
          <w:rFonts w:hint="eastAsia" w:ascii="宋体" w:hAnsi="宋体" w:eastAsia="宋体" w:cs="宋体"/>
          <w:color w:val="000000" w:themeColor="text1"/>
          <w:sz w:val="24"/>
          <w:szCs w:val="24"/>
          <w:highlight w:val="none"/>
          <w:lang w:val="en-US" w:eastAsia="zh-CN" w:bidi="ar"/>
          <w14:textFill>
            <w14:solidFill>
              <w14:schemeClr w14:val="tx1"/>
            </w14:solidFill>
          </w14:textFill>
        </w:rPr>
        <w:t>既</w:t>
      </w:r>
      <w:r>
        <w:rPr>
          <w:rFonts w:hint="eastAsia" w:ascii="宋体" w:hAnsi="宋体" w:eastAsia="宋体" w:cs="宋体"/>
          <w:color w:val="000000" w:themeColor="text1"/>
          <w:sz w:val="24"/>
          <w:szCs w:val="24"/>
          <w:highlight w:val="none"/>
          <w:u w:val="single"/>
          <w:lang w:val="en-US" w:eastAsia="zh-CN" w:bidi="ar"/>
          <w14:textFill>
            <w14:solidFill>
              <w14:schemeClr w14:val="tx1"/>
            </w14:solidFill>
          </w14:textFill>
        </w:rPr>
        <w:t xml:space="preserve">       </w:t>
      </w:r>
      <w:r>
        <w:rPr>
          <w:rFonts w:hint="eastAsia" w:cs="宋体"/>
          <w:color w:val="000000" w:themeColor="text1"/>
          <w:sz w:val="24"/>
          <w:szCs w:val="24"/>
          <w:highlight w:val="none"/>
          <w:u w:val="none"/>
          <w:lang w:val="en-US" w:eastAsia="zh-CN" w:bidi="ar"/>
          <w14:textFill>
            <w14:solidFill>
              <w14:schemeClr w14:val="tx1"/>
            </w14:solidFill>
          </w14:textFill>
        </w:rPr>
        <w:t>。</w:t>
      </w:r>
      <w:r>
        <w:rPr>
          <w:rFonts w:ascii="宋体" w:hAnsi="宋体" w:eastAsia="宋体" w:cs="宋体"/>
          <w:color w:val="000000" w:themeColor="text1"/>
          <w:sz w:val="24"/>
          <w:szCs w:val="24"/>
          <w:highlight w:val="none"/>
          <w14:textFill>
            <w14:solidFill>
              <w14:schemeClr w14:val="tx1"/>
            </w14:solidFill>
          </w14:textFill>
        </w:rPr>
        <w:t>甲方在收到乙方提供的质量保证金后，根据乙方提供的合同总金额的50%合法有效发票，向乙方支付合同总金额的50%的预付款，即¥</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xxxx</w:t>
      </w:r>
      <w:r>
        <w:rPr>
          <w:rFonts w:ascii="宋体" w:hAnsi="宋体" w:eastAsia="宋体" w:cs="宋体"/>
          <w:color w:val="000000" w:themeColor="text1"/>
          <w:sz w:val="24"/>
          <w:szCs w:val="24"/>
          <w:highlight w:val="none"/>
          <w14:textFill>
            <w14:solidFill>
              <w14:schemeClr w14:val="tx1"/>
            </w14:solidFill>
          </w14:textFill>
        </w:rPr>
        <w:t>（人民币贰拾叁万柒仟元整）。</w:t>
      </w:r>
    </w:p>
    <w:p w14:paraId="4E70EAD7">
      <w:pPr>
        <w:widowControl/>
        <w:spacing w:line="520" w:lineRule="exact"/>
        <w:ind w:firstLine="480" w:firstLineChars="200"/>
        <w:rPr>
          <w:rFonts w:hint="eastAsia" w:ascii="宋体" w:hAnsi="宋体" w:eastAsia="宋体" w:cs="宋体"/>
          <w:color w:val="000000" w:themeColor="text1"/>
          <w:sz w:val="24"/>
          <w:szCs w:val="24"/>
          <w:highlight w:val="none"/>
          <w:lang w:val="en-US" w:eastAsia="zh-CN" w:bidi="ar"/>
          <w14:textFill>
            <w14:solidFill>
              <w14:schemeClr w14:val="tx1"/>
            </w14:solidFill>
          </w14:textFill>
        </w:rPr>
      </w:pPr>
      <w:r>
        <w:rPr>
          <w:rFonts w:hint="eastAsia" w:ascii="宋体" w:hAnsi="宋体" w:eastAsia="宋体" w:cs="宋体"/>
          <w:color w:val="000000" w:themeColor="text1"/>
          <w:sz w:val="24"/>
          <w:szCs w:val="24"/>
          <w:highlight w:val="none"/>
          <w:lang w:val="en-US" w:eastAsia="zh-CN" w:bidi="ar"/>
          <w14:textFill>
            <w14:solidFill>
              <w14:schemeClr w14:val="tx1"/>
            </w14:solidFill>
          </w14:textFill>
        </w:rPr>
        <w:t>2．项目全部建设完成并通过验收合格后</w:t>
      </w:r>
      <w:r>
        <w:rPr>
          <w:rFonts w:hint="eastAsia" w:ascii="宋体" w:hAnsi="宋体" w:eastAsia="宋体" w:cs="宋体"/>
          <w:color w:val="000000" w:themeColor="text1"/>
          <w:sz w:val="24"/>
          <w:szCs w:val="24"/>
          <w:highlight w:val="none"/>
          <w:u w:val="single"/>
          <w:lang w:val="en-US" w:eastAsia="zh-CN" w:bidi="ar"/>
          <w14:textFill>
            <w14:solidFill>
              <w14:schemeClr w14:val="tx1"/>
            </w14:solidFill>
          </w14:textFill>
        </w:rPr>
        <w:t>15</w:t>
      </w:r>
      <w:r>
        <w:rPr>
          <w:rFonts w:hint="eastAsia" w:ascii="宋体" w:hAnsi="宋体" w:eastAsia="宋体" w:cs="宋体"/>
          <w:color w:val="000000" w:themeColor="text1"/>
          <w:sz w:val="24"/>
          <w:szCs w:val="24"/>
          <w:highlight w:val="none"/>
          <w:lang w:val="en-US" w:eastAsia="zh-CN" w:bidi="ar"/>
          <w14:textFill>
            <w14:solidFill>
              <w14:schemeClr w14:val="tx1"/>
            </w14:solidFill>
          </w14:textFill>
        </w:rPr>
        <w:t>个工作日内，甲方根据乙方提供的合同总金额的</w:t>
      </w:r>
      <w:r>
        <w:rPr>
          <w:rFonts w:hint="eastAsia" w:ascii="宋体" w:hAnsi="宋体" w:eastAsia="宋体" w:cs="宋体"/>
          <w:color w:val="000000" w:themeColor="text1"/>
          <w:sz w:val="24"/>
          <w:szCs w:val="24"/>
          <w:highlight w:val="none"/>
          <w:u w:val="single"/>
          <w:lang w:val="en-US" w:eastAsia="zh-CN" w:bidi="ar"/>
          <w14:textFill>
            <w14:solidFill>
              <w14:schemeClr w14:val="tx1"/>
            </w14:solidFill>
          </w14:textFill>
        </w:rPr>
        <w:t xml:space="preserve"> 50  </w:t>
      </w:r>
      <w:r>
        <w:rPr>
          <w:rFonts w:hint="eastAsia" w:ascii="宋体" w:hAnsi="宋体" w:eastAsia="宋体" w:cs="宋体"/>
          <w:color w:val="000000" w:themeColor="text1"/>
          <w:sz w:val="24"/>
          <w:szCs w:val="24"/>
          <w:highlight w:val="none"/>
          <w:lang w:val="en-US" w:eastAsia="zh-CN" w:bidi="ar"/>
          <w14:textFill>
            <w14:solidFill>
              <w14:schemeClr w14:val="tx1"/>
            </w14:solidFill>
          </w14:textFill>
        </w:rPr>
        <w:t>%合法有效发票和质量保证金凭证，向乙方支付合同总金额的</w:t>
      </w:r>
      <w:r>
        <w:rPr>
          <w:rFonts w:hint="eastAsia" w:ascii="宋体" w:hAnsi="宋体" w:eastAsia="宋体" w:cs="宋体"/>
          <w:color w:val="000000" w:themeColor="text1"/>
          <w:sz w:val="24"/>
          <w:szCs w:val="24"/>
          <w:highlight w:val="none"/>
          <w:u w:val="single"/>
          <w:lang w:val="en-US" w:eastAsia="zh-CN" w:bidi="ar"/>
          <w14:textFill>
            <w14:solidFill>
              <w14:schemeClr w14:val="tx1"/>
            </w14:solidFill>
          </w14:textFill>
        </w:rPr>
        <w:t>50</w:t>
      </w:r>
      <w:r>
        <w:rPr>
          <w:rFonts w:hint="eastAsia" w:ascii="宋体" w:hAnsi="宋体" w:eastAsia="宋体" w:cs="宋体"/>
          <w:color w:val="000000" w:themeColor="text1"/>
          <w:sz w:val="24"/>
          <w:szCs w:val="24"/>
          <w:highlight w:val="none"/>
          <w:lang w:val="en-US" w:eastAsia="zh-CN" w:bidi="ar"/>
          <w14:textFill>
            <w14:solidFill>
              <w14:schemeClr w14:val="tx1"/>
            </w14:solidFill>
          </w14:textFill>
        </w:rPr>
        <w:t>%的尾款，即</w:t>
      </w:r>
      <w:r>
        <w:rPr>
          <w:rFonts w:hint="eastAsia" w:ascii="宋体" w:hAnsi="宋体" w:eastAsia="宋体" w:cs="宋体"/>
          <w:color w:val="000000" w:themeColor="text1"/>
          <w:sz w:val="24"/>
          <w:szCs w:val="24"/>
          <w:highlight w:val="none"/>
          <w:u w:val="single"/>
          <w:lang w:val="en-US" w:eastAsia="zh-CN" w:bidi="ar"/>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bidi="ar"/>
          <w14:textFill>
            <w14:solidFill>
              <w14:schemeClr w14:val="tx1"/>
            </w14:solidFill>
          </w14:textFill>
        </w:rPr>
        <w:t>。质保服务期满后，质量保证金按照甲方对乙方的质保服务考核情况，扣减响应费用后，就剩余部分，无息予以返还。</w:t>
      </w:r>
    </w:p>
    <w:p w14:paraId="634A7210">
      <w:pPr>
        <w:widowControl/>
        <w:spacing w:line="520" w:lineRule="exact"/>
        <w:ind w:firstLine="480" w:firstLineChars="200"/>
        <w:rPr>
          <w:rFonts w:hint="eastAsia" w:ascii="宋体" w:hAnsi="宋体" w:eastAsia="宋体" w:cs="宋体"/>
          <w:color w:val="000000" w:themeColor="text1"/>
          <w:sz w:val="24"/>
          <w:szCs w:val="24"/>
          <w:highlight w:val="none"/>
          <w:lang w:val="en-US" w:eastAsia="zh-CN" w:bidi="ar"/>
          <w14:textFill>
            <w14:solidFill>
              <w14:schemeClr w14:val="tx1"/>
            </w14:solidFill>
          </w14:textFill>
        </w:rPr>
      </w:pPr>
      <w:r>
        <w:rPr>
          <w:rFonts w:hint="eastAsia" w:ascii="宋体" w:hAnsi="宋体" w:eastAsia="宋体" w:cs="宋体"/>
          <w:color w:val="000000" w:themeColor="text1"/>
          <w:sz w:val="24"/>
          <w:szCs w:val="24"/>
          <w:highlight w:val="none"/>
          <w:lang w:val="en-US" w:eastAsia="zh-CN" w:bidi="ar"/>
          <w14:textFill>
            <w14:solidFill>
              <w14:schemeClr w14:val="tx1"/>
            </w14:solidFill>
          </w14:textFill>
        </w:rPr>
        <w:t>3.按合同约定及双方协商结果，乙方开具正式有效等额发票。上述每批次付款条件均是乙方出具有效等额发票并申请付款后，甲方才开始办理转账支付手续。若乙方未能提供相应发票或者提供的发票不合格，甲方有权顺延付款时间。</w:t>
      </w:r>
    </w:p>
    <w:p w14:paraId="0E8CF196">
      <w:pPr>
        <w:widowControl/>
        <w:spacing w:line="520" w:lineRule="exact"/>
        <w:ind w:firstLine="480" w:firstLineChars="200"/>
        <w:rPr>
          <w:rFonts w:hint="eastAsia" w:ascii="宋体" w:hAnsi="宋体" w:eastAsia="宋体" w:cs="宋体"/>
          <w:color w:val="000000" w:themeColor="text1"/>
          <w:sz w:val="24"/>
          <w:szCs w:val="24"/>
          <w:highlight w:val="none"/>
          <w:lang w:val="en-US" w:eastAsia="zh-CN" w:bidi="ar"/>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ascii="宋体" w:hAnsi="宋体" w:eastAsia="宋体" w:cs="宋体"/>
          <w:color w:val="000000" w:themeColor="text1"/>
          <w:sz w:val="24"/>
          <w:szCs w:val="24"/>
          <w:highlight w:val="none"/>
          <w14:textFill>
            <w14:solidFill>
              <w14:schemeClr w14:val="tx1"/>
            </w14:solidFill>
          </w14:textFill>
        </w:rPr>
        <w:t>．甲方已按时向财政等部门提交付款申请，因财政封账、财政审批等原因导致付款延迟，乙方表示谅解，甲方不因此承担违约责任。</w:t>
      </w:r>
      <w:r>
        <w:rPr>
          <w:rFonts w:hint="eastAsia" w:ascii="宋体" w:hAnsi="宋体" w:eastAsia="宋体" w:cs="宋体"/>
          <w:color w:val="000000" w:themeColor="text1"/>
          <w:sz w:val="24"/>
          <w:szCs w:val="24"/>
          <w:highlight w:val="none"/>
          <w:lang w:val="en-US" w:eastAsia="zh-CN" w:bidi="ar"/>
          <w14:textFill>
            <w14:solidFill>
              <w14:schemeClr w14:val="tx1"/>
            </w14:solidFill>
          </w14:textFill>
        </w:rPr>
        <w:t xml:space="preserve"> </w:t>
      </w:r>
    </w:p>
    <w:p w14:paraId="17713A31">
      <w:pPr>
        <w:widowControl/>
        <w:spacing w:line="520" w:lineRule="exact"/>
        <w:ind w:firstLine="480" w:firstLineChars="200"/>
        <w:rPr>
          <w:rFonts w:hint="eastAsia" w:ascii="宋体" w:hAnsi="宋体" w:eastAsia="宋体" w:cs="宋体"/>
          <w:color w:val="000000" w:themeColor="text1"/>
          <w:sz w:val="24"/>
          <w:szCs w:val="24"/>
          <w:highlight w:val="none"/>
          <w:lang w:val="en-US" w:eastAsia="zh-CN" w:bidi="ar"/>
          <w14:textFill>
            <w14:solidFill>
              <w14:schemeClr w14:val="tx1"/>
            </w14:solidFill>
          </w14:textFill>
        </w:rPr>
      </w:pPr>
      <w:r>
        <w:rPr>
          <w:rFonts w:hint="eastAsia" w:ascii="宋体" w:hAnsi="宋体" w:eastAsia="宋体" w:cs="宋体"/>
          <w:color w:val="000000" w:themeColor="text1"/>
          <w:sz w:val="24"/>
          <w:szCs w:val="24"/>
          <w:highlight w:val="none"/>
          <w:lang w:val="en-US" w:eastAsia="zh-CN" w:bidi="ar"/>
          <w14:textFill>
            <w14:solidFill>
              <w14:schemeClr w14:val="tx1"/>
            </w14:solidFill>
          </w14:textFill>
        </w:rPr>
        <w:t xml:space="preserve">5.附乙方银行账户信息： </w:t>
      </w:r>
    </w:p>
    <w:p w14:paraId="3060B4F9">
      <w:pPr>
        <w:widowControl/>
        <w:spacing w:line="520" w:lineRule="exact"/>
        <w:ind w:firstLine="480" w:firstLineChars="200"/>
        <w:rPr>
          <w:rFonts w:hint="eastAsia" w:ascii="宋体" w:hAnsi="宋体" w:eastAsia="宋体" w:cs="宋体"/>
          <w:color w:val="000000" w:themeColor="text1"/>
          <w:sz w:val="24"/>
          <w:szCs w:val="24"/>
          <w:highlight w:val="none"/>
          <w:lang w:val="en-US" w:eastAsia="zh-CN" w:bidi="ar"/>
          <w14:textFill>
            <w14:solidFill>
              <w14:schemeClr w14:val="tx1"/>
            </w14:solidFill>
          </w14:textFill>
        </w:rPr>
      </w:pPr>
      <w:r>
        <w:rPr>
          <w:rFonts w:hint="eastAsia" w:ascii="宋体" w:hAnsi="宋体" w:eastAsia="宋体" w:cs="宋体"/>
          <w:color w:val="000000" w:themeColor="text1"/>
          <w:sz w:val="24"/>
          <w:szCs w:val="24"/>
          <w:highlight w:val="none"/>
          <w:lang w:val="en-US" w:eastAsia="zh-CN" w:bidi="ar"/>
          <w14:textFill>
            <w14:solidFill>
              <w14:schemeClr w14:val="tx1"/>
            </w14:solidFill>
          </w14:textFill>
        </w:rPr>
        <w:t xml:space="preserve">账户名称： </w:t>
      </w:r>
    </w:p>
    <w:p w14:paraId="49ED250B">
      <w:pPr>
        <w:widowControl/>
        <w:spacing w:line="520" w:lineRule="exact"/>
        <w:ind w:firstLine="480" w:firstLineChars="200"/>
        <w:rPr>
          <w:rFonts w:hint="eastAsia" w:ascii="宋体" w:hAnsi="宋体" w:eastAsia="宋体" w:cs="宋体"/>
          <w:color w:val="000000" w:themeColor="text1"/>
          <w:sz w:val="24"/>
          <w:szCs w:val="24"/>
          <w:highlight w:val="none"/>
          <w:lang w:val="en-US" w:eastAsia="zh-CN" w:bidi="ar"/>
          <w14:textFill>
            <w14:solidFill>
              <w14:schemeClr w14:val="tx1"/>
            </w14:solidFill>
          </w14:textFill>
        </w:rPr>
      </w:pPr>
      <w:r>
        <w:rPr>
          <w:rFonts w:hint="eastAsia" w:ascii="宋体" w:hAnsi="宋体" w:eastAsia="宋体" w:cs="宋体"/>
          <w:color w:val="000000" w:themeColor="text1"/>
          <w:sz w:val="24"/>
          <w:szCs w:val="24"/>
          <w:highlight w:val="none"/>
          <w:lang w:val="en-US" w:eastAsia="zh-CN" w:bidi="ar"/>
          <w14:textFill>
            <w14:solidFill>
              <w14:schemeClr w14:val="tx1"/>
            </w14:solidFill>
          </w14:textFill>
        </w:rPr>
        <w:t xml:space="preserve">开户银行： </w:t>
      </w:r>
    </w:p>
    <w:p w14:paraId="0DAF4594">
      <w:pPr>
        <w:widowControl/>
        <w:spacing w:line="520" w:lineRule="exact"/>
        <w:ind w:firstLine="480" w:firstLineChars="200"/>
        <w:rPr>
          <w:rFonts w:hint="eastAsia" w:ascii="宋体" w:hAnsi="宋体" w:eastAsia="宋体" w:cs="宋体"/>
          <w:color w:val="000000" w:themeColor="text1"/>
          <w:sz w:val="24"/>
          <w:szCs w:val="24"/>
          <w:highlight w:val="none"/>
          <w:lang w:val="en-US" w:eastAsia="zh-CN" w:bidi="ar"/>
          <w14:textFill>
            <w14:solidFill>
              <w14:schemeClr w14:val="tx1"/>
            </w14:solidFill>
          </w14:textFill>
        </w:rPr>
      </w:pPr>
      <w:r>
        <w:rPr>
          <w:rFonts w:hint="eastAsia" w:ascii="宋体" w:hAnsi="宋体" w:eastAsia="宋体" w:cs="宋体"/>
          <w:color w:val="000000" w:themeColor="text1"/>
          <w:sz w:val="24"/>
          <w:szCs w:val="24"/>
          <w:highlight w:val="none"/>
          <w:lang w:val="en-US" w:eastAsia="zh-CN" w:bidi="ar"/>
          <w14:textFill>
            <w14:solidFill>
              <w14:schemeClr w14:val="tx1"/>
            </w14:solidFill>
          </w14:textFill>
        </w:rPr>
        <w:t xml:space="preserve">银行帐号： </w:t>
      </w:r>
    </w:p>
    <w:p w14:paraId="519E412C">
      <w:pPr>
        <w:numPr>
          <w:ilvl w:val="0"/>
          <w:numId w:val="4"/>
        </w:numPr>
        <w:bidi w:val="0"/>
        <w:rPr>
          <w:rFonts w:hint="eastAsia"/>
          <w:color w:val="000000" w:themeColor="text1"/>
          <w:highlight w:val="none"/>
          <w:lang w:val="en-US" w:eastAsia="zh-CN"/>
          <w14:textFill>
            <w14:solidFill>
              <w14:schemeClr w14:val="tx1"/>
            </w14:solidFill>
          </w14:textFill>
        </w:rPr>
      </w:pPr>
      <w:r>
        <w:rPr>
          <w:rFonts w:hint="eastAsia"/>
          <w:b/>
          <w:bCs/>
          <w:color w:val="000000" w:themeColor="text1"/>
          <w:sz w:val="24"/>
          <w:highlight w:val="none"/>
          <w14:textFill>
            <w14:solidFill>
              <w14:schemeClr w14:val="tx1"/>
            </w14:solidFill>
          </w14:textFill>
        </w:rPr>
        <w:t xml:space="preserve">  货物及相关资料</w:t>
      </w:r>
    </w:p>
    <w:p w14:paraId="1ED68C2F">
      <w:pPr>
        <w:snapToGrid w:val="0"/>
        <w:spacing w:line="360" w:lineRule="auto"/>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1.</w:t>
      </w:r>
      <w:r>
        <w:rPr>
          <w:color w:val="000000" w:themeColor="text1"/>
          <w:sz w:val="24"/>
          <w:highlight w:val="none"/>
          <w14:textFill>
            <w14:solidFill>
              <w14:schemeClr w14:val="tx1"/>
            </w14:solidFill>
          </w14:textFill>
        </w:rPr>
        <w:t>方所提供的货物的规格型号、数量需符合</w:t>
      </w:r>
      <w:r>
        <w:rPr>
          <w:rFonts w:hint="eastAsia" w:ascii="宋体" w:hAnsi="宋体" w:eastAsia="宋体" w:cs="宋体"/>
          <w:color w:val="000000" w:themeColor="text1"/>
          <w:sz w:val="24"/>
          <w:szCs w:val="24"/>
          <w:highlight w:val="none"/>
          <w:lang w:val="en-US" w:eastAsia="zh-CN" w:bidi="ar"/>
          <w14:textFill>
            <w14:solidFill>
              <w14:schemeClr w14:val="tx1"/>
            </w14:solidFill>
          </w14:textFill>
        </w:rPr>
        <w:t>大气</w:t>
      </w:r>
      <w:r>
        <w:rPr>
          <w:rFonts w:hint="eastAsia" w:ascii="宋体" w:hAnsi="宋体" w:eastAsia="宋体" w:cs="宋体"/>
          <w:color w:val="000000" w:themeColor="text1"/>
          <w:sz w:val="24"/>
          <w:szCs w:val="24"/>
          <w:highlight w:val="none"/>
          <w:lang w:bidi="ar"/>
          <w14:textFill>
            <w14:solidFill>
              <w14:schemeClr w14:val="tx1"/>
            </w14:solidFill>
          </w14:textFill>
        </w:rPr>
        <w:t>环境质量自动监测站</w:t>
      </w:r>
      <w:r>
        <w:rPr>
          <w:rFonts w:hint="eastAsia" w:ascii="宋体" w:hAnsi="宋体" w:eastAsia="宋体" w:cs="宋体"/>
          <w:color w:val="000000" w:themeColor="text1"/>
          <w:sz w:val="24"/>
          <w:szCs w:val="24"/>
          <w:highlight w:val="none"/>
          <w:lang w:val="en-US" w:eastAsia="zh-CN" w:bidi="ar"/>
          <w14:textFill>
            <w14:solidFill>
              <w14:schemeClr w14:val="tx1"/>
            </w14:solidFill>
          </w14:textFill>
        </w:rPr>
        <w:t>房智慧化改造</w:t>
      </w:r>
      <w:r>
        <w:rPr>
          <w:rFonts w:hint="eastAsia" w:ascii="宋体" w:hAnsi="宋体" w:eastAsia="宋体" w:cs="宋体"/>
          <w:color w:val="000000" w:themeColor="text1"/>
          <w:sz w:val="24"/>
          <w:szCs w:val="24"/>
          <w:highlight w:val="none"/>
          <w:lang w:bidi="ar"/>
          <w14:textFill>
            <w14:solidFill>
              <w14:schemeClr w14:val="tx1"/>
            </w14:solidFill>
          </w14:textFill>
        </w:rPr>
        <w:t>项目</w:t>
      </w:r>
      <w:r>
        <w:rPr>
          <w:rFonts w:hint="eastAsia" w:ascii="宋体" w:hAnsi="宋体" w:eastAsia="宋体" w:cs="宋体"/>
          <w:color w:val="000000" w:themeColor="text1"/>
          <w:sz w:val="24"/>
          <w:szCs w:val="24"/>
          <w:highlight w:val="none"/>
          <w:lang w:val="en-US" w:eastAsia="zh-CN"/>
          <w14:textFill>
            <w14:solidFill>
              <w14:schemeClr w14:val="tx1"/>
            </w14:solidFill>
          </w14:textFill>
        </w:rPr>
        <w:t>E</w:t>
      </w:r>
      <w:r>
        <w:rPr>
          <w:rFonts w:ascii="宋体" w:hAnsi="宋体" w:eastAsia="宋体" w:cs="宋体"/>
          <w:color w:val="000000" w:themeColor="text1"/>
          <w:sz w:val="24"/>
          <w:szCs w:val="24"/>
          <w:highlight w:val="none"/>
          <w14:textFill>
            <w14:solidFill>
              <w14:schemeClr w14:val="tx1"/>
            </w14:solidFill>
          </w14:textFill>
        </w:rPr>
        <w:t>包</w:t>
      </w:r>
      <w:r>
        <w:rPr>
          <w:bCs/>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项目</w:t>
      </w:r>
      <w:r>
        <w:rPr>
          <w:color w:val="000000" w:themeColor="text1"/>
          <w:sz w:val="24"/>
          <w:highlight w:val="none"/>
          <w14:textFill>
            <w14:solidFill>
              <w14:schemeClr w14:val="tx1"/>
            </w14:solidFill>
          </w14:textFill>
        </w:rPr>
        <w:t>编号：）</w:t>
      </w:r>
      <w:r>
        <w:rPr>
          <w:rFonts w:hint="eastAsia"/>
          <w:color w:val="000000" w:themeColor="text1"/>
          <w:sz w:val="24"/>
          <w:highlight w:val="none"/>
          <w14:textFill>
            <w14:solidFill>
              <w14:schemeClr w14:val="tx1"/>
            </w14:solidFill>
          </w14:textFill>
        </w:rPr>
        <w:t>采购</w:t>
      </w:r>
      <w:r>
        <w:rPr>
          <w:color w:val="000000" w:themeColor="text1"/>
          <w:sz w:val="24"/>
          <w:highlight w:val="none"/>
          <w14:textFill>
            <w14:solidFill>
              <w14:schemeClr w14:val="tx1"/>
            </w14:solidFill>
          </w14:textFill>
        </w:rPr>
        <w:t>文件中对货物所描述的内容。</w:t>
      </w:r>
    </w:p>
    <w:p w14:paraId="43A946DA">
      <w:pPr>
        <w:snapToGrid w:val="0"/>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2．货物的档案资料，包括：货物的数量、规格型号、出厂检验报告、合格证书等有关资料。货物开箱后的全部随机资料所有权归甲方。</w:t>
      </w:r>
    </w:p>
    <w:p w14:paraId="0E031CB5">
      <w:pPr>
        <w:snapToGrid w:val="0"/>
        <w:spacing w:line="360" w:lineRule="auto"/>
        <w:ind w:firstLine="480" w:firstLineChars="200"/>
        <w:outlineLvl w:val="9"/>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3．技术资料包括：设备中文说明书及其他须提供的技术资料。</w:t>
      </w:r>
    </w:p>
    <w:p w14:paraId="01F78FA6">
      <w:pPr>
        <w:snapToGrid w:val="0"/>
        <w:spacing w:line="360" w:lineRule="auto"/>
        <w:ind w:firstLine="480" w:firstLineChars="200"/>
        <w:rPr>
          <w:rFonts w:hint="eastAsia" w:ascii="宋体" w:hAnsi="宋体" w:eastAsia="宋体" w:cs="宋体"/>
          <w:color w:val="000000" w:themeColor="text1"/>
          <w:sz w:val="24"/>
          <w:szCs w:val="24"/>
          <w:highlight w:val="none"/>
          <w:lang w:val="en-US" w:eastAsia="zh-CN" w:bidi="ar"/>
          <w14:textFill>
            <w14:solidFill>
              <w14:schemeClr w14:val="tx1"/>
            </w14:solidFill>
          </w14:textFill>
        </w:rPr>
      </w:pPr>
      <w:r>
        <w:rPr>
          <w:color w:val="000000" w:themeColor="text1"/>
          <w:sz w:val="24"/>
          <w:highlight w:val="none"/>
          <w14:textFill>
            <w14:solidFill>
              <w14:schemeClr w14:val="tx1"/>
            </w14:solidFill>
          </w14:textFill>
        </w:rPr>
        <w:t>4．乙方进行的安装、操作、检查维修、维护、测试、调试、验收所引起的系统、货物或部件的损坏由乙方承担责任。</w:t>
      </w:r>
    </w:p>
    <w:p w14:paraId="5E04DDDD">
      <w:pPr>
        <w:numPr>
          <w:ilvl w:val="0"/>
          <w:numId w:val="4"/>
        </w:numPr>
        <w:bidi w:val="0"/>
        <w:rPr>
          <w:rFonts w:hint="eastAsia" w:ascii="宋体" w:hAnsi="宋体" w:eastAsia="宋体"/>
          <w:b/>
          <w:bCs/>
          <w:color w:val="000000" w:themeColor="text1"/>
          <w:sz w:val="24"/>
          <w:highlight w:val="none"/>
          <w:lang w:val="en-US" w:eastAsia="zh-CN"/>
          <w14:textFill>
            <w14:solidFill>
              <w14:schemeClr w14:val="tx1"/>
            </w14:solidFill>
          </w14:textFill>
        </w:rPr>
      </w:pPr>
      <w:r>
        <w:rPr>
          <w:rFonts w:hint="eastAsia" w:ascii="宋体" w:hAnsi="宋体" w:eastAsia="宋体"/>
          <w:b/>
          <w:bCs/>
          <w:color w:val="000000" w:themeColor="text1"/>
          <w:sz w:val="24"/>
          <w:highlight w:val="none"/>
          <w:lang w:val="en-US" w:eastAsia="zh-CN"/>
          <w14:textFill>
            <w14:solidFill>
              <w14:schemeClr w14:val="tx1"/>
            </w14:solidFill>
          </w14:textFill>
        </w:rPr>
        <w:t xml:space="preserve">  质量保证</w:t>
      </w:r>
    </w:p>
    <w:p w14:paraId="00D6DA58">
      <w:pPr>
        <w:keepNext w:val="0"/>
        <w:keepLines w:val="0"/>
        <w:pageBreakBefore w:val="0"/>
        <w:widowControl/>
        <w:numPr>
          <w:ilvl w:val="0"/>
          <w:numId w:val="8"/>
        </w:numPr>
        <w:kinsoku/>
        <w:wordWrap/>
        <w:overflowPunct/>
        <w:topLinePunct w:val="0"/>
        <w:autoSpaceDE/>
        <w:autoSpaceDN/>
        <w:bidi w:val="0"/>
        <w:adjustRightInd/>
        <w:snapToGrid/>
        <w:spacing w:line="520" w:lineRule="exact"/>
        <w:ind w:leftChars="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乙方所提供的货物应保证是全新的、未使用过的且原包装未拆封的，货</w:t>
      </w:r>
      <w:r>
        <w:rPr>
          <w:rFonts w:hint="eastAsia" w:ascii="宋体" w:hAnsi="宋体" w:eastAsia="宋体" w:cs="宋体"/>
          <w:color w:val="000000" w:themeColor="text1"/>
          <w:sz w:val="24"/>
          <w:szCs w:val="24"/>
          <w:highlight w:val="none"/>
          <w:lang w:val="en-US" w:eastAsia="zh-CN"/>
          <w14:textFill>
            <w14:solidFill>
              <w14:schemeClr w14:val="tx1"/>
            </w14:solidFill>
          </w14:textFill>
        </w:rPr>
        <w:t>物</w:t>
      </w:r>
      <w:r>
        <w:rPr>
          <w:rFonts w:ascii="宋体" w:hAnsi="宋体" w:eastAsia="宋体" w:cs="宋体"/>
          <w:color w:val="000000" w:themeColor="text1"/>
          <w:sz w:val="24"/>
          <w:szCs w:val="24"/>
          <w:highlight w:val="none"/>
          <w14:textFill>
            <w14:solidFill>
              <w14:schemeClr w14:val="tx1"/>
            </w14:solidFill>
          </w14:textFill>
        </w:rPr>
        <w:t>运至指定地点拆封后由甲方组织查验。乙方应保证所提供的货物经正确安装、正常运行和保养，在其使用寿命期内应具有使甲方满意的性能，并且确保通过各项检验和测试。在货物质量保证期内乙方应对由于设计、工艺、材料和配套件的缺陷所产生的任何不足或故障负责。若因产品/工程缺陷造成甲方或第三人人身伤亡、财产损失的，乙方应予以全额赔偿。</w:t>
      </w:r>
    </w:p>
    <w:p w14:paraId="58330174">
      <w:pPr>
        <w:keepNext w:val="0"/>
        <w:keepLines w:val="0"/>
        <w:pageBreakBefore w:val="0"/>
        <w:widowControl/>
        <w:numPr>
          <w:ilvl w:val="0"/>
          <w:numId w:val="8"/>
        </w:numPr>
        <w:kinsoku/>
        <w:wordWrap/>
        <w:overflowPunct/>
        <w:topLinePunct w:val="0"/>
        <w:autoSpaceDE/>
        <w:autoSpaceDN/>
        <w:bidi w:val="0"/>
        <w:adjustRightInd/>
        <w:snapToGrid/>
        <w:spacing w:line="520" w:lineRule="exact"/>
        <w:ind w:leftChars="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甲方按国家检验标准检验的结果或当地质检部门检验的结果，或者在质量保证期内，发现货物的数量、质量或规格与合同不符，或证实货物是有缺陷的，包括潜在的缺陷或使用不符合要求的材料等，甲方应尽快以书面形式通知乙方。</w:t>
      </w:r>
    </w:p>
    <w:p w14:paraId="0750C4AD">
      <w:pPr>
        <w:keepNext w:val="0"/>
        <w:keepLines w:val="0"/>
        <w:pageBreakBefore w:val="0"/>
        <w:widowControl/>
        <w:numPr>
          <w:ilvl w:val="0"/>
          <w:numId w:val="8"/>
        </w:numPr>
        <w:kinsoku/>
        <w:wordWrap/>
        <w:overflowPunct/>
        <w:topLinePunct w:val="0"/>
        <w:autoSpaceDE/>
        <w:autoSpaceDN/>
        <w:bidi w:val="0"/>
        <w:adjustRightInd/>
        <w:snapToGrid/>
        <w:spacing w:line="520" w:lineRule="exact"/>
        <w:ind w:leftChars="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乙方在收到通知后，应在10个工作日内依据甲方的要求无条件提供免费维修或更换有缺陷的货物或部件</w:t>
      </w:r>
    </w:p>
    <w:p w14:paraId="78C21378">
      <w:pPr>
        <w:numPr>
          <w:ilvl w:val="0"/>
          <w:numId w:val="4"/>
        </w:numPr>
        <w:bidi w:val="0"/>
        <w:rPr>
          <w:rFonts w:hint="eastAsia" w:ascii="宋体" w:hAnsi="宋体" w:eastAsia="宋体"/>
          <w:b/>
          <w:bCs/>
          <w:color w:val="000000" w:themeColor="text1"/>
          <w:sz w:val="24"/>
          <w:highlight w:val="none"/>
          <w:lang w:val="en-US" w:eastAsia="zh-CN"/>
          <w14:textFill>
            <w14:solidFill>
              <w14:schemeClr w14:val="tx1"/>
            </w14:solidFill>
          </w14:textFill>
        </w:rPr>
      </w:pPr>
      <w:r>
        <w:rPr>
          <w:rFonts w:hint="eastAsia" w:ascii="宋体" w:hAnsi="宋体" w:eastAsia="宋体"/>
          <w:b/>
          <w:bCs/>
          <w:color w:val="000000" w:themeColor="text1"/>
          <w:sz w:val="24"/>
          <w:highlight w:val="none"/>
          <w:lang w:val="en-US" w:eastAsia="zh-CN"/>
          <w14:textFill>
            <w14:solidFill>
              <w14:schemeClr w14:val="tx1"/>
            </w14:solidFill>
          </w14:textFill>
        </w:rPr>
        <w:t xml:space="preserve">  专利权</w:t>
      </w:r>
    </w:p>
    <w:p w14:paraId="773CF0C7">
      <w:pPr>
        <w:keepNext w:val="0"/>
        <w:keepLines w:val="0"/>
        <w:pageBreakBefore w:val="0"/>
        <w:widowControl/>
        <w:numPr>
          <w:ilvl w:val="0"/>
          <w:numId w:val="9"/>
        </w:numPr>
        <w:kinsoku/>
        <w:wordWrap/>
        <w:overflowPunct/>
        <w:topLinePunct w:val="0"/>
        <w:autoSpaceDE/>
        <w:autoSpaceDN/>
        <w:bidi w:val="0"/>
        <w:adjustRightInd/>
        <w:snapToGrid/>
        <w:spacing w:line="520" w:lineRule="exact"/>
        <w:ind w:leftChars="0" w:firstLine="480" w:firstLineChars="200"/>
        <w:textAlignment w:val="auto"/>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乙方应保证甲方在使用该产品或产品的任何一部分免受第三方提出的侵犯其专利权、商标权、著作权或其他权益的纠纷。</w:t>
      </w:r>
    </w:p>
    <w:p w14:paraId="6910C104">
      <w:pPr>
        <w:keepNext w:val="0"/>
        <w:keepLines w:val="0"/>
        <w:pageBreakBefore w:val="0"/>
        <w:widowControl/>
        <w:numPr>
          <w:ilvl w:val="0"/>
          <w:numId w:val="9"/>
        </w:numPr>
        <w:kinsoku/>
        <w:wordWrap/>
        <w:overflowPunct/>
        <w:topLinePunct w:val="0"/>
        <w:autoSpaceDE/>
        <w:autoSpaceDN/>
        <w:bidi w:val="0"/>
        <w:adjustRightInd/>
        <w:snapToGrid/>
        <w:spacing w:line="520" w:lineRule="exact"/>
        <w:ind w:leftChars="0" w:firstLine="480" w:firstLineChars="200"/>
        <w:textAlignment w:val="auto"/>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乙方应承担侵犯专利权、商标权、著作权或其他权益的相关责任和费用。</w:t>
      </w:r>
    </w:p>
    <w:p w14:paraId="242F7D24">
      <w:pPr>
        <w:numPr>
          <w:ilvl w:val="0"/>
          <w:numId w:val="4"/>
        </w:numPr>
        <w:bidi w:val="0"/>
        <w:rPr>
          <w:rFonts w:hint="eastAsia" w:ascii="宋体" w:hAnsi="宋体" w:eastAsia="宋体"/>
          <w:b/>
          <w:bCs/>
          <w:color w:val="000000" w:themeColor="text1"/>
          <w:sz w:val="24"/>
          <w:highlight w:val="none"/>
          <w14:textFill>
            <w14:solidFill>
              <w14:schemeClr w14:val="tx1"/>
            </w14:solidFill>
          </w14:textFill>
        </w:rPr>
      </w:pPr>
      <w:r>
        <w:rPr>
          <w:rFonts w:hint="eastAsia" w:ascii="宋体" w:hAnsi="宋体" w:eastAsia="宋体"/>
          <w:b/>
          <w:bCs/>
          <w:color w:val="000000" w:themeColor="text1"/>
          <w:sz w:val="24"/>
          <w:highlight w:val="none"/>
          <w:lang w:val="en-US" w:eastAsia="zh-CN"/>
          <w14:textFill>
            <w14:solidFill>
              <w14:schemeClr w14:val="tx1"/>
            </w14:solidFill>
          </w14:textFill>
        </w:rPr>
        <w:t xml:space="preserve">  </w:t>
      </w:r>
      <w:r>
        <w:rPr>
          <w:rFonts w:hint="eastAsia" w:ascii="宋体" w:hAnsi="宋体" w:eastAsia="宋体"/>
          <w:b/>
          <w:bCs/>
          <w:color w:val="000000" w:themeColor="text1"/>
          <w:sz w:val="24"/>
          <w:highlight w:val="none"/>
          <w14:textFill>
            <w14:solidFill>
              <w14:schemeClr w14:val="tx1"/>
            </w14:solidFill>
          </w14:textFill>
        </w:rPr>
        <w:t>交货方式、时间和地点</w:t>
      </w:r>
    </w:p>
    <w:p w14:paraId="0C6B9B74">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80" w:firstLineChars="200"/>
        <w:textAlignment w:val="auto"/>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交货方式：现场交货，乙方负责办理运输和保险，将货物运抵甲方安装现场并及时完成安装、调试及系统集成，试运行，项目验收合格后交付甲方。有关运输和保险的一切费用由乙方承担，乙方对货物进行安装、调试及系统集成、试运行，项目验收合格前乙方对货物的毁损、缺失承担责任。</w:t>
      </w:r>
    </w:p>
    <w:p w14:paraId="45595DA2">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80" w:firstLineChars="200"/>
        <w:textAlignment w:val="auto"/>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2．交货期：自合同签订之日起</w:t>
      </w:r>
      <w:r>
        <w:rPr>
          <w:rFonts w:hint="eastAsia" w:ascii="宋体" w:hAnsi="宋体" w:eastAsia="宋体" w:cs="宋体"/>
          <w:color w:val="000000" w:themeColor="text1"/>
          <w:sz w:val="24"/>
          <w:szCs w:val="24"/>
          <w:highlight w:val="none"/>
          <w:lang w:val="en-US" w:eastAsia="zh-CN"/>
          <w14:textFill>
            <w14:solidFill>
              <w14:schemeClr w14:val="tx1"/>
            </w14:solidFill>
          </w14:textFill>
        </w:rPr>
        <w:t>9</w:t>
      </w:r>
      <w:r>
        <w:rPr>
          <w:rFonts w:ascii="宋体" w:hAnsi="宋体" w:eastAsia="宋体" w:cs="宋体"/>
          <w:color w:val="000000" w:themeColor="text1"/>
          <w:sz w:val="24"/>
          <w:szCs w:val="24"/>
          <w:highlight w:val="none"/>
          <w14:textFill>
            <w14:solidFill>
              <w14:schemeClr w14:val="tx1"/>
            </w14:solidFill>
          </w14:textFill>
        </w:rPr>
        <w:t>0日内交货并完成检定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验收</w:t>
      </w:r>
      <w:r>
        <w:rPr>
          <w:rFonts w:ascii="宋体" w:hAnsi="宋体" w:eastAsia="宋体" w:cs="宋体"/>
          <w:color w:val="000000" w:themeColor="text1"/>
          <w:sz w:val="24"/>
          <w:szCs w:val="24"/>
          <w:highlight w:val="none"/>
          <w14:textFill>
            <w14:solidFill>
              <w14:schemeClr w14:val="tx1"/>
            </w14:solidFill>
          </w14:textFill>
        </w:rPr>
        <w:t>，交付使用。</w:t>
      </w:r>
    </w:p>
    <w:p w14:paraId="4A4CCFE9">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80" w:firstLineChars="200"/>
        <w:textAlignment w:val="auto"/>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3．交货地点：甲方指定地点。</w:t>
      </w:r>
    </w:p>
    <w:p w14:paraId="7D0798D3">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80" w:firstLineChars="200"/>
        <w:textAlignment w:val="auto"/>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4．乙方保证所供货物为制造商最新型号的全新产品，不得以次充好，不得提供老旧翻新产品。</w:t>
      </w:r>
    </w:p>
    <w:p w14:paraId="1838CAA5">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80" w:firstLineChars="200"/>
        <w:textAlignment w:val="auto"/>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5．货物到达安装现场后，乙方提供详细装货清单。如果货物质量或技术规格与合同不符或货物有明显损坏，甲方有权提出退换货。</w:t>
      </w:r>
    </w:p>
    <w:p w14:paraId="08BA3D66">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80" w:firstLineChars="200"/>
        <w:textAlignment w:val="auto"/>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6．所有设备均须由乙方送货上门，并由制造商工程师负责安装调试，甲方不再支付任何费用。</w:t>
      </w:r>
    </w:p>
    <w:p w14:paraId="29AF8F5E">
      <w:pPr>
        <w:keepNext w:val="0"/>
        <w:keepLines w:val="0"/>
        <w:pageBreakBefore w:val="0"/>
        <w:widowControl/>
        <w:numPr>
          <w:ilvl w:val="0"/>
          <w:numId w:val="0"/>
        </w:numPr>
        <w:kinsoku/>
        <w:wordWrap/>
        <w:overflowPunct/>
        <w:topLinePunct w:val="0"/>
        <w:autoSpaceDE/>
        <w:autoSpaceDN/>
        <w:bidi w:val="0"/>
        <w:adjustRightInd/>
        <w:snapToGrid/>
        <w:spacing w:line="520" w:lineRule="exact"/>
        <w:ind w:firstLine="480" w:firstLineChars="200"/>
        <w:textAlignment w:val="auto"/>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7．交货时乙方向甲方提供有关设备的安装、调试、使用、维修和保养所需的中文技术文件（图纸、手册、说明书等）。</w:t>
      </w:r>
    </w:p>
    <w:p w14:paraId="1D63FB0C">
      <w:pPr>
        <w:numPr>
          <w:ilvl w:val="0"/>
          <w:numId w:val="4"/>
        </w:numPr>
        <w:bidi w:val="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 xml:space="preserve">  验收及培训</w:t>
      </w:r>
    </w:p>
    <w:p w14:paraId="2757573F">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w:t>
      </w:r>
      <w:r>
        <w:rPr>
          <w:rFonts w:hint="eastAsia"/>
          <w:color w:val="000000" w:themeColor="text1"/>
          <w:sz w:val="24"/>
          <w:highlight w:val="none"/>
          <w14:textFill>
            <w14:solidFill>
              <w14:schemeClr w14:val="tx1"/>
            </w14:solidFill>
          </w14:textFill>
        </w:rPr>
        <w:t>乙方在项目验收时将项目的全部资料文档汇集成册交付给甲方，包括但不限于产品说明书、乙方承诺书、技术文件及安装、测试、验收报告等。</w:t>
      </w:r>
    </w:p>
    <w:p w14:paraId="4F1FDF4E">
      <w:pPr>
        <w:spacing w:line="360" w:lineRule="auto"/>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2．验收标准：根据采购文件要求及有关规定标准由采购方进行验收。</w:t>
      </w:r>
    </w:p>
    <w:p w14:paraId="648CD00F">
      <w:pPr>
        <w:spacing w:line="360" w:lineRule="auto"/>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3．乙方确保仪器设备的性能指标达到验收标准后，由甲方组织专家验收，由验收小组鉴定是否符合招标项目的验收标准和实际需要，是否可以投入正常使用，验收结果报相关部门备案。</w:t>
      </w:r>
    </w:p>
    <w:p w14:paraId="376C8231">
      <w:pPr>
        <w:spacing w:line="360" w:lineRule="auto"/>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4．乙方结合设备安装、调试、正式验收等各阶段，同步地对甲方的设备维护及使用人员就有关系统安装、维护、操作使用等方面进行技术培训，主要培训内容为货物的基本结构、性能、原理、主要部件的构造及处理，日常使用操作、保养与管理、常见故障的排除、紧急情况的处理等，培训地点主要在甲方指定的设备存放现场。技术培训所涉及的一切费用均由乙方承担，经培训后的甲方</w:t>
      </w:r>
      <w:r>
        <w:rPr>
          <w:rFonts w:hint="eastAsia"/>
          <w:color w:val="000000" w:themeColor="text1"/>
          <w:sz w:val="24"/>
          <w:highlight w:val="none"/>
          <w:lang w:val="en-US" w:eastAsia="zh-CN"/>
          <w14:textFill>
            <w14:solidFill>
              <w14:schemeClr w14:val="tx1"/>
            </w14:solidFill>
          </w14:textFill>
        </w:rPr>
        <w:t>及相关运维</w:t>
      </w:r>
      <w:r>
        <w:rPr>
          <w:rFonts w:hint="eastAsia"/>
          <w:color w:val="000000" w:themeColor="text1"/>
          <w:sz w:val="24"/>
          <w:highlight w:val="none"/>
          <w14:textFill>
            <w14:solidFill>
              <w14:schemeClr w14:val="tx1"/>
            </w14:solidFill>
          </w14:textFill>
        </w:rPr>
        <w:t>人员应该能够独立完成系统的日常工作。</w:t>
      </w:r>
    </w:p>
    <w:p w14:paraId="45DAE837">
      <w:pPr>
        <w:numPr>
          <w:ilvl w:val="0"/>
          <w:numId w:val="4"/>
        </w:numPr>
        <w:bidi w:val="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 xml:space="preserve">  质保期及售后服务</w:t>
      </w:r>
    </w:p>
    <w:p w14:paraId="56B7C92D">
      <w:pPr>
        <w:numPr>
          <w:ilvl w:val="0"/>
          <w:numId w:val="10"/>
        </w:numPr>
        <w:spacing w:line="360" w:lineRule="auto"/>
        <w:ind w:firstLine="480" w:firstLineChars="200"/>
        <w:rPr>
          <w:color w:val="000000" w:themeColor="text1"/>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质保期从货物验收合格之日起计算，质保期</w:t>
      </w:r>
      <w:r>
        <w:rPr>
          <w:rFonts w:hint="eastAsia"/>
          <w:color w:val="000000" w:themeColor="text1"/>
          <w:sz w:val="24"/>
          <w:highlight w:val="none"/>
          <w:lang w:val="en-US" w:eastAsia="zh-CN"/>
          <w14:textFill>
            <w14:solidFill>
              <w14:schemeClr w14:val="tx1"/>
            </w14:solidFill>
          </w14:textFill>
        </w:rPr>
        <w:t>以采购</w:t>
      </w:r>
      <w:r>
        <w:rPr>
          <w:rFonts w:hint="eastAsia"/>
          <w:color w:val="000000" w:themeColor="text1"/>
          <w:sz w:val="24"/>
          <w:highlight w:val="none"/>
          <w14:textFill>
            <w14:solidFill>
              <w14:schemeClr w14:val="tx1"/>
            </w14:solidFill>
          </w14:textFill>
        </w:rPr>
        <w:t>文件要求</w:t>
      </w:r>
      <w:r>
        <w:rPr>
          <w:rFonts w:hint="eastAsia"/>
          <w:color w:val="000000" w:themeColor="text1"/>
          <w:sz w:val="24"/>
          <w:highlight w:val="none"/>
          <w:lang w:val="en-US" w:eastAsia="zh-CN"/>
          <w14:textFill>
            <w14:solidFill>
              <w14:schemeClr w14:val="tx1"/>
            </w14:solidFill>
          </w14:textFill>
        </w:rPr>
        <w:t>为准</w:t>
      </w:r>
      <w:r>
        <w:rPr>
          <w:rFonts w:hint="eastAsia"/>
          <w:color w:val="000000" w:themeColor="text1"/>
          <w:sz w:val="24"/>
          <w:highlight w:val="none"/>
          <w14:textFill>
            <w14:solidFill>
              <w14:schemeClr w14:val="tx1"/>
            </w14:solidFill>
          </w14:textFill>
        </w:rPr>
        <w:t>（厂商或投标人承诺提供</w:t>
      </w:r>
      <w:r>
        <w:rPr>
          <w:rFonts w:hint="eastAsia"/>
          <w:color w:val="000000" w:themeColor="text1"/>
          <w:sz w:val="24"/>
          <w:highlight w:val="none"/>
          <w:lang w:val="en-US" w:eastAsia="zh-CN"/>
          <w14:textFill>
            <w14:solidFill>
              <w14:schemeClr w14:val="tx1"/>
            </w14:solidFill>
          </w14:textFill>
        </w:rPr>
        <w:t>超过采购</w:t>
      </w:r>
      <w:r>
        <w:rPr>
          <w:rFonts w:hint="eastAsia"/>
          <w:color w:val="000000" w:themeColor="text1"/>
          <w:sz w:val="24"/>
          <w:highlight w:val="none"/>
          <w14:textFill>
            <w14:solidFill>
              <w14:schemeClr w14:val="tx1"/>
            </w14:solidFill>
          </w14:textFill>
        </w:rPr>
        <w:t>文件要求质保期的，以厂商或投标人承诺的为准）。保修期内，如因设备本身缺陷造成各种故障，由乙方负责提供免费技术服务和维修。并免费负责更换产生故障的零部件。在保修期内，如货物或零部件非人为因素出现故障而造成短期停用时，则保修期相应顺延。如货物因自身故障致停用时间累计超过20天时，则保修期在状态恢复正常时重新起计或对故障货物予以重新更换。</w:t>
      </w:r>
    </w:p>
    <w:p w14:paraId="194DDEF5">
      <w:pPr>
        <w:numPr>
          <w:ilvl w:val="0"/>
          <w:numId w:val="10"/>
        </w:numPr>
        <w:spacing w:line="360" w:lineRule="auto"/>
        <w:ind w:firstLine="480" w:firstLineChars="200"/>
        <w:rPr>
          <w:color w:val="000000" w:themeColor="text1"/>
          <w:highlight w:val="none"/>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在本合同生效之日起的五年期限内，供应商承诺为甲方所购产品提供免费的维修保养服务。具体包括但不限于：定期对设备进行全面检查，包括但不限于设备、软件系统、平台的运行状况检查、电气系统的性能检测等；及时处理设备在正常使用过程中出现的硬件和软件故障，确保产品在最短时间内恢复正常运行，对于影响设备正常使用的故障响应时间不得超过24小时；免费更换因正常使用而损坏的零部件，但不包括因甲方不当使用、故意破坏、不可抗力等非产品质量原因导致的损坏零部件；质保期内在维修保养过程中，应严格遵守相关的技术规范和安全标准，确保维修保养工作的质量和安全性；每一次维修保养工作完成后，应向甲方提供详细的维修保养报告，包括维修保养的内容、更换的零部件、设备、软件系统、平台的运行状况评估等信息。</w:t>
      </w:r>
    </w:p>
    <w:p w14:paraId="0900D160">
      <w:pPr>
        <w:spacing w:line="360" w:lineRule="auto"/>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3</w:t>
      </w:r>
      <w:r>
        <w:rPr>
          <w:rFonts w:hint="eastAsia"/>
          <w:color w:val="000000" w:themeColor="text1"/>
          <w:sz w:val="24"/>
          <w:highlight w:val="none"/>
          <w14:textFill>
            <w14:solidFill>
              <w14:schemeClr w14:val="tx1"/>
            </w14:solidFill>
          </w14:textFill>
        </w:rPr>
        <w:t>．乙方提供常设24小时（含节假日）热线服务和长期的免费技术支持。对甲方的售后服务通知，乙方在接到通知后2小时内响应，24小时内解决问题，</w:t>
      </w:r>
      <w:r>
        <w:rPr>
          <w:color w:val="000000" w:themeColor="text1"/>
          <w:sz w:val="24"/>
          <w:highlight w:val="none"/>
          <w14:textFill>
            <w14:solidFill>
              <w14:schemeClr w14:val="tx1"/>
            </w14:solidFill>
          </w14:textFill>
        </w:rPr>
        <w:t>使系统能正常运行</w:t>
      </w:r>
      <w:r>
        <w:rPr>
          <w:rFonts w:hint="eastAsia"/>
          <w:color w:val="000000" w:themeColor="text1"/>
          <w:sz w:val="24"/>
          <w:highlight w:val="none"/>
          <w14:textFill>
            <w14:solidFill>
              <w14:schemeClr w14:val="tx1"/>
            </w14:solidFill>
          </w14:textFill>
        </w:rPr>
        <w:t>。</w:t>
      </w:r>
    </w:p>
    <w:p w14:paraId="11963042">
      <w:pPr>
        <w:spacing w:line="360" w:lineRule="auto"/>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4</w:t>
      </w:r>
      <w:r>
        <w:rPr>
          <w:color w:val="000000" w:themeColor="text1"/>
          <w:sz w:val="24"/>
          <w:highlight w:val="none"/>
          <w14:textFill>
            <w14:solidFill>
              <w14:schemeClr w14:val="tx1"/>
            </w14:solidFill>
          </w14:textFill>
        </w:rPr>
        <w:t>．由于甲方保管不善、供电不稳定或使用不当造成货物短缺、故障或损坏，由甲方负责。但乙方保证及时给予补齐或修复。</w:t>
      </w:r>
    </w:p>
    <w:p w14:paraId="378E5FEB">
      <w:pPr>
        <w:numPr>
          <w:ilvl w:val="0"/>
          <w:numId w:val="4"/>
        </w:numPr>
        <w:bidi w:val="0"/>
        <w:rPr>
          <w:b/>
          <w:bCs/>
          <w:color w:val="000000" w:themeColor="text1"/>
          <w:sz w:val="24"/>
          <w:highlight w:val="none"/>
          <w14:textFill>
            <w14:solidFill>
              <w14:schemeClr w14:val="tx1"/>
            </w14:solidFill>
          </w14:textFill>
        </w:rPr>
      </w:pPr>
      <w:r>
        <w:rPr>
          <w:rFonts w:hint="eastAsia"/>
          <w:b/>
          <w:bCs/>
          <w:color w:val="000000" w:themeColor="text1"/>
          <w:sz w:val="24"/>
          <w:highlight w:val="none"/>
          <w:lang w:val="en-US" w:eastAsia="zh-CN"/>
          <w14:textFill>
            <w14:solidFill>
              <w14:schemeClr w14:val="tx1"/>
            </w14:solidFill>
          </w14:textFill>
        </w:rPr>
        <w:t xml:space="preserve"> </w:t>
      </w:r>
      <w:r>
        <w:rPr>
          <w:rFonts w:hint="eastAsia"/>
          <w:b/>
          <w:bCs/>
          <w:color w:val="000000" w:themeColor="text1"/>
          <w:sz w:val="24"/>
          <w:highlight w:val="none"/>
          <w14:textFill>
            <w14:solidFill>
              <w14:schemeClr w14:val="tx1"/>
            </w14:solidFill>
          </w14:textFill>
        </w:rPr>
        <w:t xml:space="preserve"> 双方责任</w:t>
      </w:r>
    </w:p>
    <w:p w14:paraId="03365DC7">
      <w:pPr>
        <w:numPr>
          <w:ilvl w:val="0"/>
          <w:numId w:val="0"/>
        </w:numPr>
        <w:bidi w:val="0"/>
        <w:ind w:leftChars="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1．甲方责任</w:t>
      </w:r>
    </w:p>
    <w:p w14:paraId="17EED7CC">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（1）按合同规定向乙方支付货款。</w:t>
      </w:r>
    </w:p>
    <w:p w14:paraId="51A75152">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（2）提供</w:t>
      </w:r>
      <w:r>
        <w:rPr>
          <w:rFonts w:hint="eastAsia"/>
          <w:color w:val="000000" w:themeColor="text1"/>
          <w:sz w:val="24"/>
          <w:highlight w:val="none"/>
          <w14:textFill>
            <w14:solidFill>
              <w14:schemeClr w14:val="tx1"/>
            </w14:solidFill>
          </w14:textFill>
        </w:rPr>
        <w:t>满足设备存放条件</w:t>
      </w:r>
      <w:r>
        <w:rPr>
          <w:color w:val="000000" w:themeColor="text1"/>
          <w:sz w:val="24"/>
          <w:highlight w:val="none"/>
          <w14:textFill>
            <w14:solidFill>
              <w14:schemeClr w14:val="tx1"/>
            </w14:solidFill>
          </w14:textFill>
        </w:rPr>
        <w:t>的安全环境等。</w:t>
      </w:r>
    </w:p>
    <w:p w14:paraId="2D9376EF">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3</w:t>
      </w:r>
      <w:r>
        <w:rPr>
          <w:color w:val="000000" w:themeColor="text1"/>
          <w:sz w:val="24"/>
          <w:highlight w:val="none"/>
          <w14:textFill>
            <w14:solidFill>
              <w14:schemeClr w14:val="tx1"/>
            </w14:solidFill>
          </w14:textFill>
        </w:rPr>
        <w:t>）指派具备一定专业基础的人员接受培训，并按国家规范及要求负责日常管理工作。</w:t>
      </w:r>
    </w:p>
    <w:p w14:paraId="1BF5386E">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4</w:t>
      </w:r>
      <w:r>
        <w:rPr>
          <w:color w:val="000000" w:themeColor="text1"/>
          <w:sz w:val="24"/>
          <w:highlight w:val="none"/>
          <w14:textFill>
            <w14:solidFill>
              <w14:schemeClr w14:val="tx1"/>
            </w14:solidFill>
          </w14:textFill>
        </w:rPr>
        <w:t>）提供必要的协助和指导。</w:t>
      </w:r>
    </w:p>
    <w:p w14:paraId="15998AB1">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5</w:t>
      </w:r>
      <w:r>
        <w:rPr>
          <w:color w:val="000000" w:themeColor="text1"/>
          <w:sz w:val="24"/>
          <w:highlight w:val="none"/>
          <w14:textFill>
            <w14:solidFill>
              <w14:schemeClr w14:val="tx1"/>
            </w14:solidFill>
          </w14:textFill>
        </w:rPr>
        <w:t>）组织对货物及整体系统的验收。</w:t>
      </w:r>
    </w:p>
    <w:p w14:paraId="3D71E439">
      <w:pPr>
        <w:numPr>
          <w:ilvl w:val="0"/>
          <w:numId w:val="0"/>
        </w:numPr>
        <w:bidi w:val="0"/>
        <w:ind w:leftChars="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2．乙方责任</w:t>
      </w:r>
    </w:p>
    <w:p w14:paraId="43B9786E">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（1）按合同要求提供货物</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安装、调试合格并交付使用，协助甲方验收。</w:t>
      </w:r>
    </w:p>
    <w:p w14:paraId="71B91825">
      <w:pPr>
        <w:spacing w:line="360" w:lineRule="auto"/>
        <w:ind w:firstLine="480" w:firstLineChars="200"/>
        <w:outlineLvl w:val="9"/>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（2）对所提供货物的质量问题无条件负责解决。</w:t>
      </w:r>
    </w:p>
    <w:p w14:paraId="72F7CCF0">
      <w:pPr>
        <w:spacing w:line="360" w:lineRule="auto"/>
        <w:ind w:left="1"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3）为甲方提供人员系统培训服务：乙方应对甲方指派的操作维修人员进行培训，培训内容包括理论培训和实际操作培训、安全知识培训。乙方应提供具体的人员培训计划，包括时间、地点，全部培训费用由乙方负责。</w:t>
      </w:r>
      <w:bookmarkStart w:id="65" w:name="_Hlk109307098"/>
      <w:r>
        <w:rPr>
          <w:rFonts w:hint="eastAsia"/>
          <w:color w:val="000000" w:themeColor="text1"/>
          <w:sz w:val="24"/>
          <w:highlight w:val="none"/>
          <w14:textFill>
            <w14:solidFill>
              <w14:schemeClr w14:val="tx1"/>
            </w14:solidFill>
          </w14:textFill>
        </w:rPr>
        <w:t>乙方保证接受培训后的人员可胜任设备的日常调试工作。</w:t>
      </w:r>
    </w:p>
    <w:bookmarkEnd w:id="65"/>
    <w:p w14:paraId="48ED8536">
      <w:pPr>
        <w:spacing w:line="360" w:lineRule="auto"/>
        <w:ind w:left="1"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（4）货物验收合格后，乙方应协助甲方建立和健全维修保养制度，制订操作规程和安全防范措施。</w:t>
      </w:r>
    </w:p>
    <w:p w14:paraId="21FAA4A0">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（5）按照合同规定提供及时的技术服务和售后服务。</w:t>
      </w:r>
    </w:p>
    <w:p w14:paraId="529F5DA7">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（6）按照甲方要求，及时派遣技术人员及供应备件耗材。</w:t>
      </w:r>
    </w:p>
    <w:p w14:paraId="5C90C9E4">
      <w:pPr>
        <w:numPr>
          <w:ilvl w:val="0"/>
          <w:numId w:val="4"/>
        </w:numPr>
        <w:bidi w:val="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 xml:space="preserve">  索赔</w:t>
      </w:r>
    </w:p>
    <w:p w14:paraId="1BAC8D08">
      <w:pPr>
        <w:spacing w:line="360" w:lineRule="auto"/>
        <w:ind w:firstLine="410" w:firstLineChars="171"/>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乙方对所供货物与合同要求不符负有责任，如经检验证实不符或缺陷存在的，包括潜在的缺陷或使用不合适的材料，甲方可根据本合同有关质量保证或检验、安装、调试、售后服务等的规定，在质量保证期内及时提出索赔，由双方</w:t>
      </w:r>
      <w:r>
        <w:rPr>
          <w:rFonts w:hint="eastAsia"/>
          <w:color w:val="000000" w:themeColor="text1"/>
          <w:sz w:val="24"/>
          <w:highlight w:val="none"/>
          <w14:textFill>
            <w14:solidFill>
              <w14:schemeClr w14:val="tx1"/>
            </w14:solidFill>
          </w14:textFill>
        </w:rPr>
        <w:t>首先通过</w:t>
      </w:r>
      <w:r>
        <w:rPr>
          <w:color w:val="000000" w:themeColor="text1"/>
          <w:sz w:val="24"/>
          <w:highlight w:val="none"/>
          <w14:textFill>
            <w14:solidFill>
              <w14:schemeClr w14:val="tx1"/>
            </w14:solidFill>
          </w14:textFill>
        </w:rPr>
        <w:t>协商解决索赔事宜。</w:t>
      </w:r>
    </w:p>
    <w:p w14:paraId="4ABF5022">
      <w:pPr>
        <w:numPr>
          <w:ilvl w:val="0"/>
          <w:numId w:val="4"/>
        </w:numPr>
        <w:bidi w:val="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 xml:space="preserve">  </w:t>
      </w:r>
      <w:r>
        <w:rPr>
          <w:b/>
          <w:bCs/>
          <w:color w:val="000000" w:themeColor="text1"/>
          <w:sz w:val="24"/>
          <w:highlight w:val="none"/>
          <w14:textFill>
            <w14:solidFill>
              <w14:schemeClr w14:val="tx1"/>
            </w14:solidFill>
          </w14:textFill>
        </w:rPr>
        <w:t>违约责任</w:t>
      </w:r>
    </w:p>
    <w:p w14:paraId="1F097C03">
      <w:pPr>
        <w:spacing w:line="360" w:lineRule="auto"/>
        <w:ind w:firstLine="530" w:firstLineChars="221"/>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1．乙方未按要求履行合同义务时，每超期一天，乙方须向甲方支付合同总额0.3‰违约金，甲方有权自尚未支付的合同款项中扣除，最高违约金不得高于本合同总金额的2%。</w:t>
      </w:r>
      <w:bookmarkStart w:id="66" w:name="_Hlk109307297"/>
    </w:p>
    <w:bookmarkEnd w:id="66"/>
    <w:p w14:paraId="0874EE29">
      <w:pPr>
        <w:spacing w:line="360" w:lineRule="auto"/>
        <w:ind w:firstLine="480" w:firstLineChars="200"/>
        <w:rPr>
          <w:strike/>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2．甲方未按要求履行合同义务时，且无正当理拖延付款时，甲方须向乙方支付滞纳金，标准为每日按违约总金额的0.3‰累计，</w:t>
      </w:r>
      <w:r>
        <w:rPr>
          <w:rFonts w:hint="eastAsia"/>
          <w:color w:val="000000" w:themeColor="text1"/>
          <w:sz w:val="24"/>
          <w:highlight w:val="none"/>
          <w14:textFill>
            <w14:solidFill>
              <w14:schemeClr w14:val="tx1"/>
            </w14:solidFill>
          </w14:textFill>
        </w:rPr>
        <w:t>但最高违约金不得超过本合同金额的5</w:t>
      </w:r>
      <w:r>
        <w:rPr>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w:t>
      </w:r>
    </w:p>
    <w:p w14:paraId="7CFD3842">
      <w:pPr>
        <w:pStyle w:val="3"/>
        <w:spacing w:line="360" w:lineRule="auto"/>
        <w:ind w:firstLine="560"/>
        <w:rPr>
          <w:rFonts w:hint="eastAsia"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pPr>
      <w:r>
        <w:rPr>
          <w:rFonts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3．如因乙方提供的货物经验收不合格，甲方有权拒收。甲方因乙方提供的货物不合格而拒收的，乙方无权取得本合同约定的货款，其已收货款应当如数返还甲方，并向甲方支付</w:t>
      </w:r>
      <w:r>
        <w:rPr>
          <w:rFonts w:hint="eastAsia"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本合同总金额的5%作为违约金。</w:t>
      </w:r>
    </w:p>
    <w:p w14:paraId="010ED4E4">
      <w:pPr>
        <w:keepNext w:val="0"/>
        <w:keepLines w:val="0"/>
        <w:widowControl/>
        <w:suppressLineNumbers w:val="0"/>
        <w:spacing w:line="360" w:lineRule="auto"/>
        <w:ind w:firstLine="480" w:firstLineChars="200"/>
        <w:jc w:val="left"/>
        <w:rPr>
          <w:rFonts w:hint="default"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pPr>
      <w:r>
        <w:rPr>
          <w:rFonts w:hint="eastAsia"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4</w:t>
      </w:r>
      <w:r>
        <w:rPr>
          <w:rFonts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w:t>
      </w:r>
      <w:r>
        <w:rPr>
          <w:rFonts w:hint="eastAsia"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乙方</w:t>
      </w:r>
      <w:r>
        <w:rPr>
          <w:rFonts w:hint="default"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未按照合同约定提供售后服务的，甲</w:t>
      </w:r>
      <w:r>
        <w:rPr>
          <w:rFonts w:hint="eastAsia"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方</w:t>
      </w:r>
      <w:r>
        <w:rPr>
          <w:rFonts w:hint="default"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有权</w:t>
      </w:r>
      <w:r>
        <w:rPr>
          <w:rFonts w:hint="eastAsia"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另行</w:t>
      </w:r>
      <w:r>
        <w:rPr>
          <w:rFonts w:hint="default"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选择有相应资质的第三</w:t>
      </w:r>
      <w:r>
        <w:rPr>
          <w:rFonts w:hint="eastAsia"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方</w:t>
      </w:r>
      <w:r>
        <w:rPr>
          <w:rFonts w:hint="default"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完成设备运维</w:t>
      </w:r>
      <w:r>
        <w:rPr>
          <w:rFonts w:hint="eastAsia"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工作</w:t>
      </w:r>
      <w:r>
        <w:rPr>
          <w:rFonts w:hint="default"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w:t>
      </w:r>
      <w:r>
        <w:rPr>
          <w:rFonts w:hint="eastAsia"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由此产生的费用</w:t>
      </w:r>
      <w:r>
        <w:rPr>
          <w:rFonts w:hint="default"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，由</w:t>
      </w:r>
      <w:r>
        <w:rPr>
          <w:rFonts w:hint="eastAsia"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乙方</w:t>
      </w:r>
      <w:r>
        <w:rPr>
          <w:rFonts w:hint="default"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承担。</w:t>
      </w:r>
    </w:p>
    <w:p w14:paraId="6F59FDB7">
      <w:pPr>
        <w:keepNext w:val="0"/>
        <w:keepLines w:val="0"/>
        <w:widowControl/>
        <w:suppressLineNumbers w:val="0"/>
        <w:spacing w:line="360" w:lineRule="auto"/>
        <w:ind w:firstLine="480" w:firstLineChars="200"/>
        <w:jc w:val="left"/>
        <w:rPr>
          <w:rFonts w:hint="default"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pPr>
      <w:r>
        <w:rPr>
          <w:rFonts w:hint="default"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5</w:t>
      </w:r>
      <w:r>
        <w:rPr>
          <w:rFonts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w:t>
      </w:r>
      <w:r>
        <w:rPr>
          <w:rFonts w:hint="default"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甲</w:t>
      </w:r>
      <w:r>
        <w:rPr>
          <w:rFonts w:hint="eastAsia"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方</w:t>
      </w:r>
      <w:r>
        <w:rPr>
          <w:rFonts w:hint="default"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有权从应付</w:t>
      </w:r>
      <w:r>
        <w:rPr>
          <w:rFonts w:hint="eastAsia"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乙方</w:t>
      </w:r>
      <w:r>
        <w:rPr>
          <w:rFonts w:hint="default"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款项中扣除</w:t>
      </w:r>
      <w:r>
        <w:rPr>
          <w:rFonts w:hint="eastAsia"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乙方</w:t>
      </w:r>
      <w:r>
        <w:rPr>
          <w:rFonts w:hint="default"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应付</w:t>
      </w:r>
      <w:r>
        <w:rPr>
          <w:rFonts w:hint="eastAsia"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违约金</w:t>
      </w:r>
      <w:r>
        <w:rPr>
          <w:rFonts w:hint="default"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、损失赔偿等</w:t>
      </w:r>
      <w:r>
        <w:rPr>
          <w:rFonts w:hint="eastAsia"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乙方</w:t>
      </w:r>
      <w:r>
        <w:rPr>
          <w:rFonts w:hint="default"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应付款项，余额</w:t>
      </w:r>
      <w:r>
        <w:rPr>
          <w:rFonts w:hint="eastAsia"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不足</w:t>
      </w:r>
      <w:r>
        <w:rPr>
          <w:rFonts w:hint="default"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的，</w:t>
      </w:r>
      <w:r>
        <w:rPr>
          <w:rFonts w:hint="eastAsia"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甲方</w:t>
      </w:r>
      <w:r>
        <w:rPr>
          <w:rFonts w:hint="default"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有权要求</w:t>
      </w:r>
      <w:r>
        <w:rPr>
          <w:rFonts w:hint="eastAsia"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乙方</w:t>
      </w:r>
      <w:r>
        <w:rPr>
          <w:rFonts w:hint="default"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在</w:t>
      </w:r>
      <w:r>
        <w:rPr>
          <w:rFonts w:hint="eastAsia"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5日</w:t>
      </w:r>
      <w:r>
        <w:rPr>
          <w:rFonts w:hint="default"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内</w:t>
      </w:r>
      <w:r>
        <w:rPr>
          <w:rFonts w:hint="eastAsia"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补足</w:t>
      </w:r>
      <w:r>
        <w:rPr>
          <w:rFonts w:hint="default"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w:t>
      </w:r>
      <w:r>
        <w:rPr>
          <w:rFonts w:hint="eastAsia"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乙方</w:t>
      </w:r>
      <w:r>
        <w:rPr>
          <w:rFonts w:hint="default"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收到</w:t>
      </w:r>
      <w:r>
        <w:rPr>
          <w:rFonts w:hint="eastAsia"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甲方书面通知</w:t>
      </w:r>
      <w:r>
        <w:rPr>
          <w:rFonts w:hint="default"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或已扣除后的款项</w:t>
      </w:r>
      <w:r>
        <w:rPr>
          <w:rFonts w:hint="eastAsia"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3日</w:t>
      </w:r>
      <w:r>
        <w:rPr>
          <w:rFonts w:hint="default"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内未提出异议，视为认可</w:t>
      </w:r>
      <w:r>
        <w:rPr>
          <w:rFonts w:hint="eastAsia"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甲方</w:t>
      </w:r>
      <w:r>
        <w:rPr>
          <w:rFonts w:hint="default"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的扣除。</w:t>
      </w:r>
    </w:p>
    <w:p w14:paraId="768F9A07">
      <w:pPr>
        <w:keepNext w:val="0"/>
        <w:keepLines w:val="0"/>
        <w:widowControl/>
        <w:suppressLineNumbers w:val="0"/>
        <w:spacing w:line="360" w:lineRule="auto"/>
        <w:ind w:firstLine="480" w:firstLineChars="200"/>
        <w:jc w:val="left"/>
        <w:rPr>
          <w:rFonts w:hint="eastAsia"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pPr>
      <w:r>
        <w:rPr>
          <w:rFonts w:hint="default"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6</w:t>
      </w:r>
      <w:r>
        <w:rPr>
          <w:rFonts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w:t>
      </w:r>
      <w:r>
        <w:rPr>
          <w:rFonts w:hint="eastAsia"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乙方</w:t>
      </w:r>
      <w:r>
        <w:rPr>
          <w:rFonts w:hint="default"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违约</w:t>
      </w:r>
      <w:r>
        <w:rPr>
          <w:rFonts w:hint="eastAsia"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行为</w:t>
      </w:r>
      <w:r>
        <w:rPr>
          <w:rFonts w:hint="default"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造成</w:t>
      </w:r>
      <w:r>
        <w:rPr>
          <w:rFonts w:hint="eastAsia"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甲方</w:t>
      </w:r>
      <w:r>
        <w:rPr>
          <w:rFonts w:hint="default"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损失的，</w:t>
      </w:r>
      <w:r>
        <w:rPr>
          <w:rFonts w:hint="eastAsia"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乙方</w:t>
      </w:r>
      <w:r>
        <w:rPr>
          <w:rFonts w:hint="default"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还应承担赔偿责任。</w:t>
      </w:r>
      <w:r>
        <w:rPr>
          <w:rFonts w:hint="eastAsia"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甲方</w:t>
      </w:r>
      <w:r>
        <w:rPr>
          <w:rFonts w:hint="default" w:ascii="仿宋_GB2312" w:hAnsi="新宋体" w:eastAsia="仿宋_GB2312" w:cs="Times New Roman"/>
          <w:color w:val="000000" w:themeColor="text1"/>
          <w:kern w:val="2"/>
          <w:sz w:val="24"/>
          <w:szCs w:val="24"/>
          <w:highlight w:val="none"/>
          <w:lang w:val="en-US" w:eastAsia="zh-CN" w:bidi="ar-SA"/>
          <w14:textFill>
            <w14:solidFill>
              <w14:schemeClr w14:val="tx1"/>
            </w14:solidFill>
          </w14:textFill>
        </w:rPr>
        <w:t>损失包括但不限于直接经济损失、诉讼费、律师费、调查取证费、交通费、鉴定费、保全费、保全保险费等费⽤。</w:t>
      </w:r>
    </w:p>
    <w:p w14:paraId="4AC417AE">
      <w:pPr>
        <w:numPr>
          <w:ilvl w:val="0"/>
          <w:numId w:val="4"/>
        </w:numPr>
        <w:bidi w:val="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 xml:space="preserve">  </w:t>
      </w:r>
      <w:r>
        <w:rPr>
          <w:b/>
          <w:bCs/>
          <w:color w:val="000000" w:themeColor="text1"/>
          <w:sz w:val="24"/>
          <w:highlight w:val="none"/>
          <w14:textFill>
            <w14:solidFill>
              <w14:schemeClr w14:val="tx1"/>
            </w14:solidFill>
          </w14:textFill>
        </w:rPr>
        <w:t>不可抗力</w:t>
      </w:r>
    </w:p>
    <w:p w14:paraId="347C5188">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1．如果一方因不可抗力而导致合同实施延误或不能履行合同义务，在不可抗力影响的范围内不应该承担误期赔偿或终止合同的责任。</w:t>
      </w:r>
    </w:p>
    <w:p w14:paraId="2B62C506">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2．本条所述的“不可抗力”系指那些双方无法控制，不可预见的事件，但不包括自身的违约或疏忽。不可预见的事件包括战争、火灾、洪水、台风、地震、</w:t>
      </w:r>
      <w:r>
        <w:rPr>
          <w:rFonts w:hint="eastAsia"/>
          <w:color w:val="000000" w:themeColor="text1"/>
          <w:sz w:val="24"/>
          <w:highlight w:val="none"/>
          <w14:textFill>
            <w14:solidFill>
              <w14:schemeClr w14:val="tx1"/>
            </w14:solidFill>
          </w14:textFill>
        </w:rPr>
        <w:t>疫情、</w:t>
      </w:r>
      <w:r>
        <w:rPr>
          <w:color w:val="000000" w:themeColor="text1"/>
          <w:sz w:val="24"/>
          <w:highlight w:val="none"/>
          <w14:textFill>
            <w14:solidFill>
              <w14:schemeClr w14:val="tx1"/>
            </w14:solidFill>
          </w14:textFill>
        </w:rPr>
        <w:t>其他方人为破坏盗窃及其他法律法规规定的情况。</w:t>
      </w:r>
    </w:p>
    <w:p w14:paraId="7304C522">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3．在不可抗力事件发生后，受损方应尽快以书面形式将不可抗力的情况和原因通知对方，除对方书面另行要求外，受损方应尽实际可能继续履行合同义务，以及采取合理的方案履行不受不可抗力影响的其他事项。如果不可抗力事件影响延续超过一百二十（120）天，双方应通过友好协商在合理的时间内就进一步实施合同达成协议。</w:t>
      </w:r>
    </w:p>
    <w:p w14:paraId="35B97098">
      <w:pPr>
        <w:numPr>
          <w:ilvl w:val="0"/>
          <w:numId w:val="4"/>
        </w:numPr>
        <w:bidi w:val="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 xml:space="preserve">  </w:t>
      </w:r>
      <w:r>
        <w:rPr>
          <w:b/>
          <w:bCs/>
          <w:color w:val="000000" w:themeColor="text1"/>
          <w:sz w:val="24"/>
          <w:highlight w:val="none"/>
          <w14:textFill>
            <w14:solidFill>
              <w14:schemeClr w14:val="tx1"/>
            </w14:solidFill>
          </w14:textFill>
        </w:rPr>
        <w:t>合同变更</w:t>
      </w:r>
    </w:p>
    <w:p w14:paraId="22FA60FF">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乙方根据现场实际或施工情况，发现合同原计划或方案不尽合理、或者由于达到交货时间时部分货物制造厂家已停产等无法交付等原因，确实需变更原合同约定的货物的，应及时通知甲方，并提出变更理由、修正方案及变更清单，经双方协商并签署有关文件（作为合同附件）后实施。</w:t>
      </w:r>
    </w:p>
    <w:p w14:paraId="0FF5B3A4">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因甲方的原因变更合同货物的，甲方应以书面形式通知乙方，并经双方协商一致签署有关变更文件。如因此造成乙方履行合同义务的价格或时间增减，将对合同价、交货时间进行公平调整。乙方据此要求的调整必须在收到甲方通知后30天内提出。</w:t>
      </w:r>
    </w:p>
    <w:p w14:paraId="08417657">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3．无论是按原合同要求，或是根据现场实际情况作出变更提供货物，乙方都不能免除其对货物应承担的责任。</w:t>
      </w:r>
    </w:p>
    <w:p w14:paraId="4FEC4D40">
      <w:pPr>
        <w:numPr>
          <w:ilvl w:val="0"/>
          <w:numId w:val="4"/>
        </w:numPr>
        <w:bidi w:val="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 xml:space="preserve">  合同解除和终止</w:t>
      </w:r>
    </w:p>
    <w:p w14:paraId="22B08713">
      <w:pPr>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1．合同自然终止</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甲乙双方各自完成合同规定的责任和义务，合同自然终止。</w:t>
      </w:r>
    </w:p>
    <w:p w14:paraId="1839CCD1">
      <w:pPr>
        <w:adjustRightInd w:val="0"/>
        <w:snapToGrid w:val="0"/>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2．违约违规终止合同</w:t>
      </w:r>
      <w:r>
        <w:rPr>
          <w:rFonts w:hint="eastAsia"/>
          <w:color w:val="000000" w:themeColor="text1"/>
          <w:sz w:val="24"/>
          <w:highlight w:val="none"/>
          <w14:textFill>
            <w14:solidFill>
              <w14:schemeClr w14:val="tx1"/>
            </w14:solidFill>
          </w14:textFill>
        </w:rPr>
        <w:t>：出现下列情形之一的，</w:t>
      </w:r>
      <w:r>
        <w:rPr>
          <w:color w:val="000000" w:themeColor="text1"/>
          <w:sz w:val="24"/>
          <w:highlight w:val="none"/>
          <w14:textFill>
            <w14:solidFill>
              <w14:schemeClr w14:val="tx1"/>
            </w14:solidFill>
          </w14:textFill>
        </w:rPr>
        <w:t>在甲方对乙方违约违规而采取的任何补救措施不受影响的情况下，甲方可向乙方发出书面的违约通知书，提出终止部分或全部合同。</w:t>
      </w:r>
    </w:p>
    <w:p w14:paraId="7BB2B4C0">
      <w:pPr>
        <w:adjustRightInd w:val="0"/>
        <w:snapToGrid w:val="0"/>
        <w:spacing w:line="360" w:lineRule="auto"/>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（1）</w:t>
      </w:r>
      <w:r>
        <w:rPr>
          <w:color w:val="000000" w:themeColor="text1"/>
          <w:sz w:val="24"/>
          <w:highlight w:val="none"/>
          <w14:textFill>
            <w14:solidFill>
              <w14:schemeClr w14:val="tx1"/>
            </w14:solidFill>
          </w14:textFill>
        </w:rPr>
        <w:t>如果乙方未能在合同规定的期限内提供货物（参见本合同有关逾期交货的条款）；</w:t>
      </w:r>
    </w:p>
    <w:p w14:paraId="4F322FD1">
      <w:pPr>
        <w:keepNext w:val="0"/>
        <w:keepLines w:val="0"/>
        <w:pageBreakBefore w:val="0"/>
        <w:widowControl w:val="0"/>
        <w:numPr>
          <w:ilvl w:val="0"/>
          <w:numId w:val="0"/>
        </w:numPr>
        <w:kinsoku/>
        <w:wordWrap/>
        <w:overflowPunct/>
        <w:topLinePunct w:val="0"/>
        <w:autoSpaceDE/>
        <w:autoSpaceDN/>
        <w:bidi w:val="0"/>
        <w:adjustRightInd/>
        <w:snapToGrid/>
        <w:ind w:leftChars="0" w:firstLine="480" w:firstLineChars="200"/>
        <w:textAlignment w:val="auto"/>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（2）</w:t>
      </w:r>
      <w:r>
        <w:rPr>
          <w:color w:val="000000" w:themeColor="text1"/>
          <w:sz w:val="24"/>
          <w:highlight w:val="none"/>
          <w14:textFill>
            <w14:solidFill>
              <w14:schemeClr w14:val="tx1"/>
            </w14:solidFill>
          </w14:textFill>
        </w:rPr>
        <w:t>如果乙方未能履行合同规定的其它任何义务；</w:t>
      </w:r>
    </w:p>
    <w:p w14:paraId="14EE3F2E">
      <w:pPr>
        <w:keepNext w:val="0"/>
        <w:keepLines w:val="0"/>
        <w:pageBreakBefore w:val="0"/>
        <w:widowControl w:val="0"/>
        <w:numPr>
          <w:ilvl w:val="0"/>
          <w:numId w:val="0"/>
        </w:numPr>
        <w:kinsoku/>
        <w:wordWrap/>
        <w:overflowPunct/>
        <w:topLinePunct w:val="0"/>
        <w:autoSpaceDE/>
        <w:autoSpaceDN/>
        <w:bidi w:val="0"/>
        <w:adjustRightInd/>
        <w:snapToGrid/>
        <w:ind w:leftChars="0" w:firstLine="480" w:firstLineChars="200"/>
        <w:textAlignment w:val="auto"/>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（3）</w:t>
      </w:r>
      <w:r>
        <w:rPr>
          <w:color w:val="000000" w:themeColor="text1"/>
          <w:sz w:val="24"/>
          <w:highlight w:val="none"/>
          <w14:textFill>
            <w14:solidFill>
              <w14:schemeClr w14:val="tx1"/>
            </w14:solidFill>
          </w14:textFill>
        </w:rPr>
        <w:t>如果甲方认为乙方在本合同的投标竞争和实施过程中有违反有关政府采购的法律、法规</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涉嫌用不正当手段影响甲方采购过程，包括谎报或隐瞒事实、损害甲方利益、干扰甲方、评委、集中采购机构的招标、评标等行为。</w:t>
      </w:r>
    </w:p>
    <w:p w14:paraId="7BA6F7BC">
      <w:pPr>
        <w:numPr>
          <w:ilvl w:val="0"/>
          <w:numId w:val="4"/>
        </w:numPr>
        <w:bidi w:val="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（4）</w:t>
      </w:r>
      <w:r>
        <w:rPr>
          <w:color w:val="000000" w:themeColor="text1"/>
          <w:sz w:val="24"/>
          <w:highlight w:val="none"/>
          <w14:textFill>
            <w14:solidFill>
              <w14:schemeClr w14:val="tx1"/>
            </w14:solidFill>
          </w14:textFill>
        </w:rPr>
        <w:t>因乙方破产而终止合同</w:t>
      </w:r>
    </w:p>
    <w:p w14:paraId="1A146929">
      <w:pPr>
        <w:adjustRightInd w:val="0"/>
        <w:snapToGrid w:val="0"/>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如果乙方破产或无清偿能力，甲方可在任何时候以书面形式通知乙方，提出终止合同而不给乙方补偿。该合同的终止将不损害或影响甲方已经采取或将要采取的任何行动或补救措施的权</w:t>
      </w:r>
      <w:r>
        <w:rPr>
          <w:rFonts w:hint="eastAsia"/>
          <w:color w:val="000000" w:themeColor="text1"/>
          <w:sz w:val="24"/>
          <w:highlight w:val="none"/>
          <w14:textFill>
            <w14:solidFill>
              <w14:schemeClr w14:val="tx1"/>
            </w14:solidFill>
          </w14:textFill>
        </w:rPr>
        <w:t>利</w:t>
      </w:r>
      <w:r>
        <w:rPr>
          <w:color w:val="000000" w:themeColor="text1"/>
          <w:sz w:val="24"/>
          <w:highlight w:val="none"/>
          <w14:textFill>
            <w14:solidFill>
              <w14:schemeClr w14:val="tx1"/>
            </w14:solidFill>
          </w14:textFill>
        </w:rPr>
        <w:t>。</w:t>
      </w:r>
    </w:p>
    <w:p w14:paraId="71022FE3">
      <w:pPr>
        <w:numPr>
          <w:ilvl w:val="0"/>
          <w:numId w:val="4"/>
        </w:numPr>
        <w:bidi w:val="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 xml:space="preserve">  合同纠纷的解决</w:t>
      </w:r>
    </w:p>
    <w:p w14:paraId="54DBF2C4">
      <w:pPr>
        <w:adjustRightInd w:val="0"/>
        <w:snapToGrid w:val="0"/>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合同实施或与合同有关的一切纠纷，甲乙双方首先应通过友好协商解决，如果协商仍得不到解决，可向</w:t>
      </w:r>
      <w:r>
        <w:rPr>
          <w:rFonts w:hint="eastAsia"/>
          <w:color w:val="000000" w:themeColor="text1"/>
          <w:sz w:val="24"/>
          <w:highlight w:val="none"/>
          <w14:textFill>
            <w14:solidFill>
              <w14:schemeClr w14:val="tx1"/>
            </w14:solidFill>
          </w14:textFill>
        </w:rPr>
        <w:t>甲方所在地人民法院</w:t>
      </w:r>
      <w:r>
        <w:rPr>
          <w:color w:val="000000" w:themeColor="text1"/>
          <w:sz w:val="24"/>
          <w:highlight w:val="none"/>
          <w14:textFill>
            <w14:solidFill>
              <w14:schemeClr w14:val="tx1"/>
            </w14:solidFill>
          </w14:textFill>
        </w:rPr>
        <w:t>提起诉讼。</w:t>
      </w:r>
    </w:p>
    <w:p w14:paraId="1FC23FDF">
      <w:pPr>
        <w:numPr>
          <w:ilvl w:val="0"/>
          <w:numId w:val="4"/>
        </w:numPr>
        <w:bidi w:val="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 xml:space="preserve">  合同生效及其他</w:t>
      </w:r>
    </w:p>
    <w:p w14:paraId="406F267B">
      <w:pPr>
        <w:bidi w:val="0"/>
        <w:rPr>
          <w:color w:val="000000" w:themeColor="text1"/>
          <w:sz w:val="24"/>
          <w:szCs w:val="21"/>
          <w14:textFill>
            <w14:solidFill>
              <w14:schemeClr w14:val="tx1"/>
            </w14:solidFill>
          </w14:textFill>
        </w:rPr>
      </w:pPr>
      <w:r>
        <w:rPr>
          <w:color w:val="000000" w:themeColor="text1"/>
          <w:sz w:val="24"/>
          <w:szCs w:val="21"/>
          <w14:textFill>
            <w14:solidFill>
              <w14:schemeClr w14:val="tx1"/>
            </w14:solidFill>
          </w14:textFill>
        </w:rPr>
        <w:t>1．合同在双方签字盖章后开始生效。</w:t>
      </w:r>
    </w:p>
    <w:p w14:paraId="1AAEEDE3">
      <w:pPr>
        <w:adjustRightInd w:val="0"/>
        <w:snapToGrid w:val="0"/>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2．本合同一式捌份，甲乙双方各执叁份，政府采购管理相关部门壹份，招标代理机构存档壹份。</w:t>
      </w:r>
    </w:p>
    <w:p w14:paraId="121478A4">
      <w:pPr>
        <w:adjustRightInd w:val="0"/>
        <w:snapToGrid w:val="0"/>
        <w:spacing w:line="360" w:lineRule="auto"/>
        <w:ind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3．</w:t>
      </w:r>
      <w:r>
        <w:rPr>
          <w:rFonts w:hint="eastAsia"/>
          <w:color w:val="000000" w:themeColor="text1"/>
          <w:sz w:val="24"/>
          <w:highlight w:val="none"/>
          <w14:textFill>
            <w14:solidFill>
              <w14:schemeClr w14:val="tx1"/>
            </w14:solidFill>
          </w14:textFill>
        </w:rPr>
        <w:t>本合同未尽事宜，双方可签订补充合同或说明，补充合同与说明均为合同的有效组成部分，与本合同具有同等法律效力</w:t>
      </w:r>
      <w:r>
        <w:rPr>
          <w:color w:val="000000" w:themeColor="text1"/>
          <w:sz w:val="24"/>
          <w:highlight w:val="none"/>
          <w14:textFill>
            <w14:solidFill>
              <w14:schemeClr w14:val="tx1"/>
            </w14:solidFill>
          </w14:textFill>
        </w:rPr>
        <w:t>。</w:t>
      </w:r>
    </w:p>
    <w:p w14:paraId="2672A129">
      <w:pPr>
        <w:snapToGrid w:val="0"/>
        <w:spacing w:line="360" w:lineRule="auto"/>
        <w:ind w:firstLine="480" w:firstLineChars="200"/>
        <w:rPr>
          <w:color w:val="000000" w:themeColor="text1"/>
          <w:sz w:val="24"/>
          <w:highlight w:val="none"/>
          <w14:textFill>
            <w14:solidFill>
              <w14:schemeClr w14:val="tx1"/>
            </w14:solidFill>
          </w14:textFill>
        </w:rPr>
      </w:pPr>
    </w:p>
    <w:p w14:paraId="3ED5FD6B">
      <w:pPr>
        <w:snapToGrid w:val="0"/>
        <w:spacing w:line="360" w:lineRule="auto"/>
        <w:ind w:firstLine="480" w:firstLineChars="200"/>
        <w:rPr>
          <w:color w:val="000000" w:themeColor="text1"/>
          <w:sz w:val="28"/>
          <w:szCs w:val="28"/>
          <w:highlight w:val="none"/>
          <w14:textFill>
            <w14:solidFill>
              <w14:schemeClr w14:val="tx1"/>
            </w14:solidFill>
          </w14:textFill>
        </w:rPr>
      </w:pPr>
      <w:r>
        <w:rPr>
          <w:color w:val="000000" w:themeColor="text1"/>
          <w:sz w:val="24"/>
          <w:highlight w:val="none"/>
          <w14:textFill>
            <w14:solidFill>
              <w14:schemeClr w14:val="tx1"/>
            </w14:solidFill>
          </w14:textFill>
        </w:rPr>
        <w:t>（本页以下无正文）</w:t>
      </w:r>
    </w:p>
    <w:p w14:paraId="4746D838">
      <w:pPr>
        <w:pStyle w:val="3"/>
        <w:ind w:firstLine="0"/>
        <w:rPr>
          <w:color w:val="000000" w:themeColor="text1"/>
          <w:highlight w:val="none"/>
          <w14:textFill>
            <w14:solidFill>
              <w14:schemeClr w14:val="tx1"/>
            </w14:solidFill>
          </w14:textFill>
        </w:rPr>
        <w:sectPr>
          <w:pgSz w:w="11906" w:h="16838"/>
          <w:pgMar w:top="1440" w:right="1800" w:bottom="1440" w:left="1800" w:header="851" w:footer="992" w:gutter="0"/>
          <w:cols w:space="425" w:num="1"/>
          <w:docGrid w:type="lines" w:linePitch="312" w:charSpace="0"/>
        </w:sectPr>
      </w:pPr>
    </w:p>
    <w:p w14:paraId="5835E46B">
      <w:pPr>
        <w:snapToGrid w:val="0"/>
        <w:spacing w:line="360" w:lineRule="auto"/>
        <w:rPr>
          <w:b/>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签章页：</w:t>
      </w:r>
    </w:p>
    <w:tbl>
      <w:tblPr>
        <w:tblStyle w:val="7"/>
        <w:tblW w:w="8931" w:type="dxa"/>
        <w:tblInd w:w="-176" w:type="dxa"/>
        <w:tblLayout w:type="autofit"/>
        <w:tblCellMar>
          <w:top w:w="0" w:type="dxa"/>
          <w:left w:w="108" w:type="dxa"/>
          <w:bottom w:w="0" w:type="dxa"/>
          <w:right w:w="108" w:type="dxa"/>
        </w:tblCellMar>
      </w:tblPr>
      <w:tblGrid>
        <w:gridCol w:w="4112"/>
        <w:gridCol w:w="425"/>
        <w:gridCol w:w="4394"/>
      </w:tblGrid>
      <w:tr w14:paraId="39C49762">
        <w:tblPrEx>
          <w:tblCellMar>
            <w:top w:w="0" w:type="dxa"/>
            <w:left w:w="108" w:type="dxa"/>
            <w:bottom w:w="0" w:type="dxa"/>
            <w:right w:w="108" w:type="dxa"/>
          </w:tblCellMar>
        </w:tblPrEx>
        <w:trPr>
          <w:trHeight w:val="5581" w:hRule="atLeast"/>
        </w:trPr>
        <w:tc>
          <w:tcPr>
            <w:tcW w:w="4112" w:type="dxa"/>
          </w:tcPr>
          <w:p w14:paraId="688C7F91">
            <w:pPr>
              <w:pStyle w:val="13"/>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甲方（盖章）：</w:t>
            </w:r>
          </w:p>
          <w:p w14:paraId="5D238B74">
            <w:pPr>
              <w:pStyle w:val="13"/>
              <w:spacing w:line="360" w:lineRule="auto"/>
              <w:ind w:firstLine="522" w:firstLineChars="200"/>
              <w:rPr>
                <w:rFonts w:ascii="宋体" w:hAnsi="宋体"/>
                <w:b/>
                <w:color w:val="000000" w:themeColor="text1"/>
                <w:highlight w:val="none"/>
                <w14:textFill>
                  <w14:solidFill>
                    <w14:schemeClr w14:val="tx1"/>
                  </w14:solidFill>
                </w14:textFill>
              </w:rPr>
            </w:pPr>
            <w:r>
              <w:rPr>
                <w:rFonts w:hint="eastAsia" w:ascii="宋体" w:hAnsi="宋体"/>
                <w:b/>
                <w:color w:val="000000" w:themeColor="text1"/>
                <w:highlight w:val="none"/>
                <w14:textFill>
                  <w14:solidFill>
                    <w14:schemeClr w14:val="tx1"/>
                  </w14:solidFill>
                </w14:textFill>
              </w:rPr>
              <w:t>海南省生态环境监测中心</w:t>
            </w:r>
          </w:p>
          <w:p w14:paraId="2FAE99A3">
            <w:pPr>
              <w:pStyle w:val="13"/>
              <w:spacing w:line="360" w:lineRule="auto"/>
              <w:rPr>
                <w:rFonts w:ascii="宋体" w:hAnsi="宋体"/>
                <w:color w:val="000000" w:themeColor="text1"/>
                <w:highlight w:val="none"/>
                <w14:textFill>
                  <w14:solidFill>
                    <w14:schemeClr w14:val="tx1"/>
                  </w14:solidFill>
                </w14:textFill>
              </w:rPr>
            </w:pPr>
          </w:p>
          <w:p w14:paraId="1ACF0727">
            <w:pPr>
              <w:pStyle w:val="13"/>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法定代表人或委托代理人（签字）：</w:t>
            </w:r>
          </w:p>
          <w:p w14:paraId="0CC3A62C">
            <w:pPr>
              <w:pStyle w:val="13"/>
              <w:spacing w:line="360" w:lineRule="auto"/>
              <w:rPr>
                <w:rFonts w:ascii="宋体" w:hAnsi="宋体"/>
                <w:color w:val="000000" w:themeColor="text1"/>
                <w:highlight w:val="none"/>
                <w14:textFill>
                  <w14:solidFill>
                    <w14:schemeClr w14:val="tx1"/>
                  </w14:solidFill>
                </w14:textFill>
              </w:rPr>
            </w:pPr>
          </w:p>
          <w:p w14:paraId="0583943E">
            <w:pPr>
              <w:pStyle w:val="13"/>
              <w:spacing w:line="360" w:lineRule="auto"/>
              <w:rPr>
                <w:rFonts w:ascii="宋体" w:hAnsi="宋体"/>
                <w:color w:val="000000" w:themeColor="text1"/>
                <w:highlight w:val="none"/>
                <w14:textFill>
                  <w14:solidFill>
                    <w14:schemeClr w14:val="tx1"/>
                  </w14:solidFill>
                </w14:textFill>
              </w:rPr>
            </w:pPr>
          </w:p>
          <w:p w14:paraId="1760FE01">
            <w:pPr>
              <w:pStyle w:val="13"/>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联系电话：0898-66568291</w:t>
            </w:r>
          </w:p>
          <w:p w14:paraId="75720FEA">
            <w:pPr>
              <w:pStyle w:val="13"/>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地    址：海南省海口市美兰区白驹大道98号</w:t>
            </w:r>
          </w:p>
          <w:p w14:paraId="5E81927B">
            <w:pPr>
              <w:pStyle w:val="13"/>
              <w:spacing w:line="360" w:lineRule="auto"/>
              <w:rPr>
                <w:rFonts w:ascii="宋体" w:hAnsi="宋体"/>
                <w:color w:val="000000" w:themeColor="text1"/>
                <w:highlight w:val="none"/>
                <w14:textFill>
                  <w14:solidFill>
                    <w14:schemeClr w14:val="tx1"/>
                  </w14:solidFill>
                </w14:textFill>
              </w:rPr>
            </w:pPr>
          </w:p>
          <w:p w14:paraId="55308B55">
            <w:pPr>
              <w:pStyle w:val="13"/>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开户银行：农行海口省府大院支行</w:t>
            </w:r>
          </w:p>
          <w:p w14:paraId="5F461CA6">
            <w:pPr>
              <w:pStyle w:val="13"/>
              <w:spacing w:line="360" w:lineRule="auto"/>
              <w:rPr>
                <w:rFonts w:ascii="宋体" w:hAnsi="宋体"/>
                <w:color w:val="000000" w:themeColor="text1"/>
                <w:highlight w:val="none"/>
                <w14:textFill>
                  <w14:solidFill>
                    <w14:schemeClr w14:val="tx1"/>
                  </w14:solidFill>
                </w14:textFill>
              </w:rPr>
            </w:pPr>
          </w:p>
          <w:p w14:paraId="7C9434DD">
            <w:pPr>
              <w:pStyle w:val="13"/>
              <w:spacing w:line="360" w:lineRule="auto"/>
              <w:rPr>
                <w:b/>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帐    号：21105001040006753</w:t>
            </w:r>
          </w:p>
        </w:tc>
        <w:tc>
          <w:tcPr>
            <w:tcW w:w="425" w:type="dxa"/>
          </w:tcPr>
          <w:p w14:paraId="34BB079C">
            <w:pPr>
              <w:pStyle w:val="13"/>
              <w:spacing w:line="360" w:lineRule="auto"/>
              <w:rPr>
                <w:rFonts w:ascii="宋体" w:hAnsi="宋体"/>
                <w:color w:val="000000" w:themeColor="text1"/>
                <w:highlight w:val="none"/>
                <w14:textFill>
                  <w14:solidFill>
                    <w14:schemeClr w14:val="tx1"/>
                  </w14:solidFill>
                </w14:textFill>
              </w:rPr>
            </w:pPr>
          </w:p>
        </w:tc>
        <w:tc>
          <w:tcPr>
            <w:tcW w:w="4394" w:type="dxa"/>
          </w:tcPr>
          <w:p w14:paraId="000F2248">
            <w:pPr>
              <w:pStyle w:val="13"/>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乙方（盖章）：</w:t>
            </w:r>
          </w:p>
          <w:p w14:paraId="6CE4D6C1">
            <w:pPr>
              <w:pStyle w:val="13"/>
              <w:spacing w:line="360" w:lineRule="auto"/>
              <w:ind w:firstLine="522" w:firstLineChars="200"/>
              <w:rPr>
                <w:rFonts w:hint="default" w:ascii="宋体" w:hAnsi="宋体" w:eastAsia="宋体"/>
                <w:b/>
                <w:color w:val="000000" w:themeColor="text1"/>
                <w:highlight w:val="none"/>
                <w:lang w:val="en-US" w:eastAsia="zh-CN"/>
                <w14:textFill>
                  <w14:solidFill>
                    <w14:schemeClr w14:val="tx1"/>
                  </w14:solidFill>
                </w14:textFill>
              </w:rPr>
            </w:pPr>
          </w:p>
          <w:p w14:paraId="35656BC4">
            <w:pPr>
              <w:pStyle w:val="13"/>
              <w:spacing w:line="360" w:lineRule="auto"/>
              <w:rPr>
                <w:rFonts w:ascii="宋体" w:hAnsi="宋体"/>
                <w:color w:val="000000" w:themeColor="text1"/>
                <w:highlight w:val="none"/>
                <w14:textFill>
                  <w14:solidFill>
                    <w14:schemeClr w14:val="tx1"/>
                  </w14:solidFill>
                </w14:textFill>
              </w:rPr>
            </w:pPr>
          </w:p>
          <w:p w14:paraId="707E9AAE">
            <w:pPr>
              <w:pStyle w:val="13"/>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法定代表人或委托代理人（签字）：</w:t>
            </w:r>
          </w:p>
          <w:p w14:paraId="3B197F0E">
            <w:pPr>
              <w:pStyle w:val="13"/>
              <w:spacing w:line="360" w:lineRule="auto"/>
              <w:rPr>
                <w:rFonts w:ascii="宋体" w:hAnsi="宋体"/>
                <w:color w:val="000000" w:themeColor="text1"/>
                <w:highlight w:val="none"/>
                <w14:textFill>
                  <w14:solidFill>
                    <w14:schemeClr w14:val="tx1"/>
                  </w14:solidFill>
                </w14:textFill>
              </w:rPr>
            </w:pPr>
          </w:p>
          <w:p w14:paraId="7E873232">
            <w:pPr>
              <w:pStyle w:val="13"/>
              <w:spacing w:line="360" w:lineRule="auto"/>
              <w:rPr>
                <w:rFonts w:ascii="宋体" w:hAnsi="宋体"/>
                <w:color w:val="000000" w:themeColor="text1"/>
                <w:highlight w:val="none"/>
                <w14:textFill>
                  <w14:solidFill>
                    <w14:schemeClr w14:val="tx1"/>
                  </w14:solidFill>
                </w14:textFill>
              </w:rPr>
            </w:pPr>
          </w:p>
          <w:p w14:paraId="48C63474">
            <w:pPr>
              <w:pStyle w:val="13"/>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联系电话：</w:t>
            </w:r>
          </w:p>
          <w:p w14:paraId="2DEC5775">
            <w:pPr>
              <w:pStyle w:val="13"/>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地    址：</w:t>
            </w:r>
          </w:p>
          <w:p w14:paraId="3B002F05">
            <w:pPr>
              <w:pStyle w:val="13"/>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开户银行：</w:t>
            </w:r>
          </w:p>
          <w:p w14:paraId="2B2CCCAD">
            <w:pPr>
              <w:pStyle w:val="13"/>
              <w:spacing w:line="360" w:lineRule="auto"/>
              <w:rPr>
                <w:rFonts w:ascii="宋体" w:hAnsi="宋体"/>
                <w:color w:val="000000" w:themeColor="text1"/>
                <w:highlight w:val="none"/>
                <w14:textFill>
                  <w14:solidFill>
                    <w14:schemeClr w14:val="tx1"/>
                  </w14:solidFill>
                </w14:textFill>
              </w:rPr>
            </w:pPr>
          </w:p>
          <w:p w14:paraId="4C817384">
            <w:pPr>
              <w:pStyle w:val="13"/>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帐    号：</w:t>
            </w:r>
          </w:p>
        </w:tc>
      </w:tr>
    </w:tbl>
    <w:p w14:paraId="3ADD11DB">
      <w:pPr>
        <w:snapToGrid w:val="0"/>
        <w:spacing w:line="360" w:lineRule="auto"/>
        <w:rPr>
          <w:b/>
          <w:color w:val="000000" w:themeColor="text1"/>
          <w:sz w:val="24"/>
          <w:highlight w:val="none"/>
          <w14:textFill>
            <w14:solidFill>
              <w14:schemeClr w14:val="tx1"/>
            </w14:solidFill>
          </w14:textFill>
        </w:rPr>
      </w:pPr>
    </w:p>
    <w:p w14:paraId="0D0ED22A">
      <w:pPr>
        <w:pStyle w:val="13"/>
        <w:spacing w:line="360" w:lineRule="auto"/>
        <w:rPr>
          <w:color w:val="000000" w:themeColor="text1"/>
          <w:highlight w:val="none"/>
          <w14:textFill>
            <w14:solidFill>
              <w14:schemeClr w14:val="tx1"/>
            </w14:solidFill>
          </w14:textFill>
        </w:rPr>
      </w:pPr>
    </w:p>
    <w:p w14:paraId="5950BDEF">
      <w:pPr>
        <w:pStyle w:val="13"/>
        <w:spacing w:line="360" w:lineRule="auto"/>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签订日期：   年   月   日</w:t>
      </w:r>
    </w:p>
    <w:p w14:paraId="28AAB2B9">
      <w:pPr>
        <w:widowControl/>
        <w:snapToGrid w:val="0"/>
        <w:spacing w:before="19" w:line="360" w:lineRule="auto"/>
        <w:jc w:val="left"/>
        <w:rPr>
          <w:color w:val="000000" w:themeColor="text1"/>
          <w:sz w:val="24"/>
          <w:highlight w:val="none"/>
          <w14:textFill>
            <w14:solidFill>
              <w14:schemeClr w14:val="tx1"/>
            </w14:solidFill>
          </w14:textFill>
        </w:rPr>
      </w:pPr>
    </w:p>
    <w:p w14:paraId="4CFD7E3A">
      <w:pPr>
        <w:widowControl/>
        <w:snapToGrid w:val="0"/>
        <w:spacing w:before="19" w:line="360" w:lineRule="auto"/>
        <w:ind w:firstLine="480" w:firstLineChars="200"/>
        <w:jc w:val="left"/>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政府分散采购机构声明：本合同标的经政府分散采购机构依法定程序采购，合同主要条款内容与招投标文件的内容一致。</w:t>
      </w:r>
    </w:p>
    <w:p w14:paraId="73857E4C">
      <w:pPr>
        <w:pStyle w:val="3"/>
        <w:spacing w:line="360" w:lineRule="auto"/>
        <w:rPr>
          <w:color w:val="000000" w:themeColor="text1"/>
          <w:highlight w:val="none"/>
          <w14:textFill>
            <w14:solidFill>
              <w14:schemeClr w14:val="tx1"/>
            </w14:solidFill>
          </w14:textFill>
        </w:rPr>
      </w:pPr>
    </w:p>
    <w:p w14:paraId="266BEA39">
      <w:pPr>
        <w:snapToGrid w:val="0"/>
        <w:spacing w:before="19" w:line="360" w:lineRule="auto"/>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招标代理人：</w:t>
      </w:r>
      <w:r>
        <w:rPr>
          <w:color w:val="000000" w:themeColor="text1"/>
          <w:sz w:val="24"/>
          <w:highlight w:val="none"/>
          <w:u w:val="single"/>
          <w14:textFill>
            <w14:solidFill>
              <w14:schemeClr w14:val="tx1"/>
            </w14:solidFill>
          </w14:textFill>
        </w:rPr>
        <w:t xml:space="preserve">  </w:t>
      </w:r>
    </w:p>
    <w:p w14:paraId="451BB44A">
      <w:pPr>
        <w:snapToGrid w:val="0"/>
        <w:spacing w:before="19" w:line="360" w:lineRule="auto"/>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经办人：_______________ </w:t>
      </w:r>
    </w:p>
    <w:p w14:paraId="095BCFCD">
      <w:pPr>
        <w:widowControl/>
        <w:snapToGrid w:val="0"/>
        <w:spacing w:before="19" w:line="360" w:lineRule="auto"/>
        <w:ind w:firstLine="720" w:firstLineChars="300"/>
        <w:rPr>
          <w:color w:val="000000" w:themeColor="text1"/>
          <w:highlight w:val="none"/>
          <w14:textFill>
            <w14:solidFill>
              <w14:schemeClr w14:val="tx1"/>
            </w14:solidFill>
          </w14:textFill>
        </w:rPr>
      </w:pPr>
      <w:r>
        <w:rPr>
          <w:color w:val="000000" w:themeColor="text1"/>
          <w:sz w:val="24"/>
          <w:highlight w:val="none"/>
          <w14:textFill>
            <w14:solidFill>
              <w14:schemeClr w14:val="tx1"/>
            </w14:solidFill>
          </w14:textFill>
        </w:rPr>
        <w:t xml:space="preserve">                                              年     月     日</w:t>
      </w:r>
    </w:p>
    <w:p w14:paraId="6D875E18">
      <w:pPr>
        <w:rPr>
          <w:b/>
          <w:bCs/>
          <w:color w:val="000000" w:themeColor="text1"/>
          <w:sz w:val="24"/>
          <w:highlight w:val="none"/>
          <w14:textFill>
            <w14:solidFill>
              <w14:schemeClr w14:val="tx1"/>
            </w14:solidFill>
          </w14:textFill>
        </w:rPr>
      </w:pPr>
    </w:p>
    <w:p w14:paraId="20ACD900">
      <w:pPr>
        <w:rPr>
          <w:color w:val="000000" w:themeColor="text1"/>
          <w:highlight w:val="none"/>
          <w14:textFill>
            <w14:solidFill>
              <w14:schemeClr w14:val="tx1"/>
            </w14:solidFill>
          </w14:textFill>
        </w:rPr>
        <w:sectPr>
          <w:pgSz w:w="11906" w:h="16838"/>
          <w:pgMar w:top="1440" w:right="1800" w:bottom="1440" w:left="1800" w:header="851" w:footer="567" w:gutter="0"/>
          <w:cols w:space="720" w:num="1"/>
          <w:docGrid w:type="lines" w:linePitch="312" w:charSpace="0"/>
        </w:sectPr>
      </w:pPr>
    </w:p>
    <w:p w14:paraId="2CEF9EB8">
      <w:pPr>
        <w:outlineLvl w:val="0"/>
        <w:rPr>
          <w:rFonts w:ascii="宋体" w:hAns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附件1中标通知书</w:t>
      </w:r>
    </w:p>
    <w:p w14:paraId="7FEEAF87">
      <w:pPr>
        <w:pStyle w:val="6"/>
        <w:ind w:left="0" w:leftChars="0" w:firstLine="0" w:firstLineChars="0"/>
        <w:rPr>
          <w:rFonts w:ascii="宋体" w:hAnsi="宋体" w:cs="宋体"/>
          <w:b/>
          <w:bCs/>
          <w:color w:val="000000" w:themeColor="text1"/>
          <w:highlight w:val="none"/>
          <w14:textFill>
            <w14:solidFill>
              <w14:schemeClr w14:val="tx1"/>
            </w14:solidFill>
          </w14:textFill>
        </w:rPr>
      </w:pPr>
    </w:p>
    <w:p w14:paraId="7D7557F0">
      <w:pPr>
        <w:pStyle w:val="4"/>
        <w:ind w:left="0"/>
        <w:jc w:val="left"/>
        <w:rPr>
          <w:rFonts w:ascii="宋体" w:hAnsi="宋体" w:eastAsia="宋体" w:cs="宋体"/>
          <w:b/>
          <w:bCs/>
          <w:color w:val="000000" w:themeColor="text1"/>
          <w:sz w:val="24"/>
          <w:szCs w:val="24"/>
          <w:highlight w:val="none"/>
          <w:lang w:val="en-US"/>
          <w14:textFill>
            <w14:solidFill>
              <w14:schemeClr w14:val="tx1"/>
            </w14:solidFill>
          </w14:textFill>
        </w:rPr>
      </w:pPr>
    </w:p>
    <w:p w14:paraId="7DD576E8">
      <w:pPr>
        <w:pStyle w:val="4"/>
        <w:ind w:left="0"/>
        <w:jc w:val="left"/>
        <w:rPr>
          <w:rFonts w:ascii="宋体" w:hAnsi="宋体" w:eastAsia="宋体" w:cs="宋体"/>
          <w:b/>
          <w:bCs/>
          <w:color w:val="000000" w:themeColor="text1"/>
          <w:sz w:val="24"/>
          <w:szCs w:val="24"/>
          <w:highlight w:val="none"/>
          <w:lang w:val="en-US"/>
          <w14:textFill>
            <w14:solidFill>
              <w14:schemeClr w14:val="tx1"/>
            </w14:solidFill>
          </w14:textFill>
        </w:rPr>
      </w:pPr>
    </w:p>
    <w:p w14:paraId="56A1EFE3">
      <w:pPr>
        <w:pStyle w:val="4"/>
        <w:ind w:left="0"/>
        <w:jc w:val="left"/>
        <w:rPr>
          <w:rFonts w:ascii="宋体" w:hAnsi="宋体" w:eastAsia="宋体" w:cs="宋体"/>
          <w:b/>
          <w:bCs/>
          <w:color w:val="000000" w:themeColor="text1"/>
          <w:sz w:val="24"/>
          <w:szCs w:val="24"/>
          <w:highlight w:val="none"/>
          <w:lang w:val="en-US"/>
          <w14:textFill>
            <w14:solidFill>
              <w14:schemeClr w14:val="tx1"/>
            </w14:solidFill>
          </w14:textFill>
        </w:rPr>
      </w:pPr>
    </w:p>
    <w:p w14:paraId="482538DC">
      <w:pPr>
        <w:rPr>
          <w:color w:val="000000" w:themeColor="text1"/>
          <w:highlight w:val="none"/>
          <w14:textFill>
            <w14:solidFill>
              <w14:schemeClr w14:val="tx1"/>
            </w14:solidFill>
          </w14:textFill>
        </w:rPr>
        <w:sectPr>
          <w:pgSz w:w="11906" w:h="16838"/>
          <w:pgMar w:top="1440" w:right="1800" w:bottom="1440" w:left="1800" w:header="851" w:footer="992" w:gutter="0"/>
          <w:cols w:space="720" w:num="1"/>
          <w:docGrid w:type="lines" w:linePitch="312" w:charSpace="0"/>
        </w:sectPr>
      </w:pPr>
    </w:p>
    <w:p w14:paraId="4795A2ED">
      <w:pPr>
        <w:outlineLvl w:val="0"/>
        <w:rPr>
          <w:rFonts w:hint="eastAsia" w:ascii="宋体" w:hAnsi="宋体" w:cs="宋体"/>
          <w:b/>
          <w:bCs/>
          <w:color w:val="000000" w:themeColor="text1"/>
          <w:sz w:val="28"/>
          <w:szCs w:val="28"/>
          <w:highlight w:val="none"/>
          <w14:textFill>
            <w14:solidFill>
              <w14:schemeClr w14:val="tx1"/>
            </w14:solidFill>
          </w14:textFill>
        </w:rPr>
      </w:pPr>
      <w:r>
        <w:rPr>
          <w:rFonts w:hint="eastAsia" w:ascii="宋体" w:hAnsi="宋体" w:cs="宋体"/>
          <w:b/>
          <w:bCs/>
          <w:color w:val="000000" w:themeColor="text1"/>
          <w:sz w:val="28"/>
          <w:szCs w:val="28"/>
          <w:highlight w:val="none"/>
          <w14:textFill>
            <w14:solidFill>
              <w14:schemeClr w14:val="tx1"/>
            </w14:solidFill>
          </w14:textFill>
        </w:rPr>
        <w:t>附件2分项报价明细表</w:t>
      </w:r>
    </w:p>
    <w:p w14:paraId="08E06893">
      <w:pPr>
        <w:pStyle w:val="6"/>
        <w:rPr>
          <w:color w:val="000000" w:themeColor="text1"/>
          <w:highlight w:val="none"/>
          <w14:textFill>
            <w14:solidFill>
              <w14:schemeClr w14:val="tx1"/>
            </w14:solidFill>
          </w14:textFill>
        </w:rPr>
      </w:pPr>
    </w:p>
    <w:tbl>
      <w:tblPr>
        <w:tblStyle w:val="14"/>
        <w:tblW w:w="4484" w:type="pct"/>
        <w:tblInd w:w="390" w:type="dxa"/>
        <w:tblLayout w:type="fixed"/>
        <w:tblCellMar>
          <w:top w:w="0" w:type="dxa"/>
          <w:left w:w="106" w:type="dxa"/>
          <w:bottom w:w="0" w:type="dxa"/>
          <w:right w:w="0" w:type="dxa"/>
        </w:tblCellMar>
      </w:tblPr>
      <w:tblGrid>
        <w:gridCol w:w="297"/>
        <w:gridCol w:w="1405"/>
        <w:gridCol w:w="1096"/>
        <w:gridCol w:w="933"/>
        <w:gridCol w:w="764"/>
        <w:gridCol w:w="1019"/>
        <w:gridCol w:w="1102"/>
        <w:gridCol w:w="931"/>
      </w:tblGrid>
      <w:tr w14:paraId="40F4A59F">
        <w:tblPrEx>
          <w:tblCellMar>
            <w:top w:w="0" w:type="dxa"/>
            <w:left w:w="106" w:type="dxa"/>
            <w:bottom w:w="0" w:type="dxa"/>
            <w:right w:w="0" w:type="dxa"/>
          </w:tblCellMar>
        </w:tblPrEx>
        <w:trPr>
          <w:trHeight w:val="953" w:hRule="atLeast"/>
        </w:trPr>
        <w:tc>
          <w:tcPr>
            <w:tcW w:w="197" w:type="pct"/>
            <w:tcBorders>
              <w:top w:val="single" w:color="000000" w:sz="4" w:space="0"/>
              <w:left w:val="single" w:color="000000" w:sz="4" w:space="0"/>
              <w:bottom w:val="single" w:color="000000" w:sz="4" w:space="0"/>
              <w:right w:val="single" w:color="000000" w:sz="4" w:space="0"/>
            </w:tcBorders>
            <w:vAlign w:val="center"/>
          </w:tcPr>
          <w:p w14:paraId="7BB00050">
            <w:pPr>
              <w:widowControl/>
              <w:spacing w:line="360" w:lineRule="auto"/>
              <w:ind w:left="10" w:hanging="10"/>
              <w:jc w:val="center"/>
              <w:rPr>
                <w:color w:val="000000" w:themeColor="text1"/>
                <w:sz w:val="24"/>
                <w:szCs w:val="22"/>
                <w:highlight w:val="none"/>
                <w14:textFill>
                  <w14:solidFill>
                    <w14:schemeClr w14:val="tx1"/>
                  </w14:solidFill>
                </w14:textFill>
              </w:rPr>
            </w:pPr>
            <w:r>
              <w:rPr>
                <w:color w:val="000000" w:themeColor="text1"/>
                <w:sz w:val="24"/>
                <w:szCs w:val="22"/>
                <w:highlight w:val="none"/>
                <w14:textFill>
                  <w14:solidFill>
                    <w14:schemeClr w14:val="tx1"/>
                  </w14:solidFill>
                </w14:textFill>
              </w:rPr>
              <w:t>序号</w:t>
            </w:r>
          </w:p>
        </w:tc>
        <w:tc>
          <w:tcPr>
            <w:tcW w:w="931" w:type="pct"/>
            <w:tcBorders>
              <w:top w:val="single" w:color="000000" w:sz="4" w:space="0"/>
              <w:left w:val="single" w:color="000000" w:sz="4" w:space="0"/>
              <w:bottom w:val="single" w:color="000000" w:sz="4" w:space="0"/>
              <w:right w:val="single" w:color="000000" w:sz="4" w:space="0"/>
            </w:tcBorders>
            <w:vAlign w:val="center"/>
          </w:tcPr>
          <w:p w14:paraId="38DC53C9">
            <w:pPr>
              <w:widowControl/>
              <w:spacing w:line="360" w:lineRule="auto"/>
              <w:ind w:left="65"/>
              <w:jc w:val="center"/>
              <w:rPr>
                <w:color w:val="000000" w:themeColor="text1"/>
                <w:sz w:val="24"/>
                <w:szCs w:val="22"/>
                <w:highlight w:val="none"/>
                <w14:textFill>
                  <w14:solidFill>
                    <w14:schemeClr w14:val="tx1"/>
                  </w14:solidFill>
                </w14:textFill>
              </w:rPr>
            </w:pPr>
            <w:r>
              <w:rPr>
                <w:color w:val="000000" w:themeColor="text1"/>
                <w:sz w:val="24"/>
                <w:szCs w:val="22"/>
                <w:highlight w:val="none"/>
                <w14:textFill>
                  <w14:solidFill>
                    <w14:schemeClr w14:val="tx1"/>
                  </w14:solidFill>
                </w14:textFill>
              </w:rPr>
              <w:t>品名名称</w:t>
            </w:r>
          </w:p>
        </w:tc>
        <w:tc>
          <w:tcPr>
            <w:tcW w:w="726" w:type="pct"/>
            <w:tcBorders>
              <w:top w:val="single" w:color="000000" w:sz="4" w:space="0"/>
              <w:left w:val="single" w:color="000000" w:sz="4" w:space="0"/>
              <w:bottom w:val="single" w:color="000000" w:sz="4" w:space="0"/>
              <w:right w:val="single" w:color="000000" w:sz="4" w:space="0"/>
            </w:tcBorders>
            <w:vAlign w:val="center"/>
          </w:tcPr>
          <w:p w14:paraId="756C7981">
            <w:pPr>
              <w:widowControl/>
              <w:spacing w:line="360" w:lineRule="auto"/>
              <w:ind w:left="10" w:hanging="10"/>
              <w:jc w:val="center"/>
              <w:rPr>
                <w:color w:val="000000" w:themeColor="text1"/>
                <w:sz w:val="24"/>
                <w:szCs w:val="22"/>
                <w:highlight w:val="none"/>
                <w14:textFill>
                  <w14:solidFill>
                    <w14:schemeClr w14:val="tx1"/>
                  </w14:solidFill>
                </w14:textFill>
              </w:rPr>
            </w:pPr>
            <w:r>
              <w:rPr>
                <w:color w:val="000000" w:themeColor="text1"/>
                <w:sz w:val="24"/>
                <w:szCs w:val="22"/>
                <w:highlight w:val="none"/>
                <w14:textFill>
                  <w14:solidFill>
                    <w14:schemeClr w14:val="tx1"/>
                  </w14:solidFill>
                </w14:textFill>
              </w:rPr>
              <w:t>厂商</w:t>
            </w:r>
          </w:p>
        </w:tc>
        <w:tc>
          <w:tcPr>
            <w:tcW w:w="618" w:type="pct"/>
            <w:tcBorders>
              <w:top w:val="single" w:color="000000" w:sz="4" w:space="0"/>
              <w:left w:val="single" w:color="000000" w:sz="4" w:space="0"/>
              <w:bottom w:val="single" w:color="000000" w:sz="4" w:space="0"/>
              <w:right w:val="single" w:color="000000" w:sz="4" w:space="0"/>
            </w:tcBorders>
            <w:vAlign w:val="center"/>
          </w:tcPr>
          <w:p w14:paraId="24500202">
            <w:pPr>
              <w:widowControl/>
              <w:spacing w:line="360" w:lineRule="auto"/>
              <w:ind w:right="68"/>
              <w:jc w:val="center"/>
              <w:rPr>
                <w:color w:val="000000" w:themeColor="text1"/>
                <w:sz w:val="24"/>
                <w:szCs w:val="22"/>
                <w:highlight w:val="none"/>
                <w14:textFill>
                  <w14:solidFill>
                    <w14:schemeClr w14:val="tx1"/>
                  </w14:solidFill>
                </w14:textFill>
              </w:rPr>
            </w:pPr>
            <w:r>
              <w:rPr>
                <w:color w:val="000000" w:themeColor="text1"/>
                <w:sz w:val="24"/>
                <w:szCs w:val="22"/>
                <w:highlight w:val="none"/>
                <w14:textFill>
                  <w14:solidFill>
                    <w14:schemeClr w14:val="tx1"/>
                  </w14:solidFill>
                </w14:textFill>
              </w:rPr>
              <w:t>品牌规格型号</w:t>
            </w:r>
          </w:p>
        </w:tc>
        <w:tc>
          <w:tcPr>
            <w:tcW w:w="506" w:type="pct"/>
            <w:tcBorders>
              <w:top w:val="single" w:color="000000" w:sz="4" w:space="0"/>
              <w:left w:val="single" w:color="000000" w:sz="4" w:space="0"/>
              <w:bottom w:val="single" w:color="000000" w:sz="4" w:space="0"/>
              <w:right w:val="single" w:color="000000" w:sz="4" w:space="0"/>
            </w:tcBorders>
            <w:vAlign w:val="center"/>
          </w:tcPr>
          <w:p w14:paraId="21F46912">
            <w:pPr>
              <w:widowControl/>
              <w:spacing w:line="360" w:lineRule="auto"/>
              <w:ind w:right="98"/>
              <w:jc w:val="center"/>
              <w:rPr>
                <w:color w:val="000000" w:themeColor="text1"/>
                <w:sz w:val="24"/>
                <w:szCs w:val="22"/>
                <w:highlight w:val="none"/>
                <w14:textFill>
                  <w14:solidFill>
                    <w14:schemeClr w14:val="tx1"/>
                  </w14:solidFill>
                </w14:textFill>
              </w:rPr>
            </w:pPr>
            <w:r>
              <w:rPr>
                <w:color w:val="000000" w:themeColor="text1"/>
                <w:sz w:val="24"/>
                <w:szCs w:val="22"/>
                <w:highlight w:val="none"/>
                <w14:textFill>
                  <w14:solidFill>
                    <w14:schemeClr w14:val="tx1"/>
                  </w14:solidFill>
                </w14:textFill>
              </w:rPr>
              <w:t>数量/单位</w:t>
            </w:r>
          </w:p>
        </w:tc>
        <w:tc>
          <w:tcPr>
            <w:tcW w:w="675" w:type="pct"/>
            <w:tcBorders>
              <w:top w:val="single" w:color="000000" w:sz="4" w:space="0"/>
              <w:left w:val="single" w:color="000000" w:sz="4" w:space="0"/>
              <w:bottom w:val="single" w:color="000000" w:sz="4" w:space="0"/>
              <w:right w:val="single" w:color="000000" w:sz="4" w:space="0"/>
            </w:tcBorders>
            <w:vAlign w:val="center"/>
          </w:tcPr>
          <w:p w14:paraId="40D83837">
            <w:pPr>
              <w:widowControl/>
              <w:spacing w:line="360" w:lineRule="auto"/>
              <w:ind w:right="106"/>
              <w:jc w:val="center"/>
              <w:rPr>
                <w:color w:val="000000" w:themeColor="text1"/>
                <w:sz w:val="24"/>
                <w:szCs w:val="22"/>
                <w:highlight w:val="none"/>
                <w14:textFill>
                  <w14:solidFill>
                    <w14:schemeClr w14:val="tx1"/>
                  </w14:solidFill>
                </w14:textFill>
              </w:rPr>
            </w:pPr>
            <w:r>
              <w:rPr>
                <w:color w:val="000000" w:themeColor="text1"/>
                <w:sz w:val="24"/>
                <w:szCs w:val="22"/>
                <w:highlight w:val="none"/>
                <w14:textFill>
                  <w14:solidFill>
                    <w14:schemeClr w14:val="tx1"/>
                  </w14:solidFill>
                </w14:textFill>
              </w:rPr>
              <w:t>单价</w:t>
            </w:r>
          </w:p>
        </w:tc>
        <w:tc>
          <w:tcPr>
            <w:tcW w:w="730" w:type="pct"/>
            <w:tcBorders>
              <w:top w:val="single" w:color="000000" w:sz="4" w:space="0"/>
              <w:left w:val="single" w:color="000000" w:sz="4" w:space="0"/>
              <w:bottom w:val="single" w:color="000000" w:sz="4" w:space="0"/>
              <w:right w:val="single" w:color="000000" w:sz="4" w:space="0"/>
            </w:tcBorders>
            <w:vAlign w:val="center"/>
          </w:tcPr>
          <w:p w14:paraId="62878256">
            <w:pPr>
              <w:widowControl/>
              <w:spacing w:line="360" w:lineRule="auto"/>
              <w:ind w:left="158"/>
              <w:jc w:val="left"/>
              <w:rPr>
                <w:color w:val="000000" w:themeColor="text1"/>
                <w:sz w:val="24"/>
                <w:szCs w:val="22"/>
                <w:highlight w:val="none"/>
                <w14:textFill>
                  <w14:solidFill>
                    <w14:schemeClr w14:val="tx1"/>
                  </w14:solidFill>
                </w14:textFill>
              </w:rPr>
            </w:pPr>
            <w:r>
              <w:rPr>
                <w:color w:val="000000" w:themeColor="text1"/>
                <w:sz w:val="24"/>
                <w:szCs w:val="22"/>
                <w:highlight w:val="none"/>
                <w14:textFill>
                  <w14:solidFill>
                    <w14:schemeClr w14:val="tx1"/>
                  </w14:solidFill>
                </w14:textFill>
              </w:rPr>
              <w:t>单项总价</w:t>
            </w:r>
          </w:p>
        </w:tc>
        <w:tc>
          <w:tcPr>
            <w:tcW w:w="618" w:type="pct"/>
            <w:tcBorders>
              <w:top w:val="single" w:color="000000" w:sz="4" w:space="0"/>
              <w:left w:val="single" w:color="000000" w:sz="4" w:space="0"/>
              <w:bottom w:val="single" w:color="000000" w:sz="4" w:space="0"/>
              <w:right w:val="single" w:color="000000" w:sz="4" w:space="0"/>
            </w:tcBorders>
            <w:vAlign w:val="center"/>
          </w:tcPr>
          <w:p w14:paraId="77FFF18E">
            <w:pPr>
              <w:widowControl/>
              <w:spacing w:line="360" w:lineRule="auto"/>
              <w:ind w:left="34"/>
              <w:jc w:val="center"/>
              <w:rPr>
                <w:color w:val="000000" w:themeColor="text1"/>
                <w:sz w:val="24"/>
                <w:szCs w:val="22"/>
                <w:highlight w:val="none"/>
                <w14:textFill>
                  <w14:solidFill>
                    <w14:schemeClr w14:val="tx1"/>
                  </w14:solidFill>
                </w14:textFill>
              </w:rPr>
            </w:pPr>
            <w:r>
              <w:rPr>
                <w:color w:val="000000" w:themeColor="text1"/>
                <w:sz w:val="24"/>
                <w:szCs w:val="22"/>
                <w:highlight w:val="none"/>
                <w14:textFill>
                  <w14:solidFill>
                    <w14:schemeClr w14:val="tx1"/>
                  </w14:solidFill>
                </w14:textFill>
              </w:rPr>
              <w:t>备注</w:t>
            </w:r>
          </w:p>
        </w:tc>
      </w:tr>
      <w:tr w14:paraId="31A130B9">
        <w:tblPrEx>
          <w:tblCellMar>
            <w:top w:w="0" w:type="dxa"/>
            <w:left w:w="106" w:type="dxa"/>
            <w:bottom w:w="0" w:type="dxa"/>
            <w:right w:w="0" w:type="dxa"/>
          </w:tblCellMar>
        </w:tblPrEx>
        <w:trPr>
          <w:trHeight w:val="560" w:hRule="atLeast"/>
        </w:trPr>
        <w:tc>
          <w:tcPr>
            <w:tcW w:w="197" w:type="pct"/>
            <w:tcBorders>
              <w:top w:val="single" w:color="000000" w:sz="4" w:space="0"/>
              <w:left w:val="single" w:color="000000" w:sz="4" w:space="0"/>
              <w:bottom w:val="single" w:color="000000" w:sz="4" w:space="0"/>
              <w:right w:val="single" w:color="000000" w:sz="4" w:space="0"/>
            </w:tcBorders>
            <w:vAlign w:val="center"/>
          </w:tcPr>
          <w:p w14:paraId="7A317B49">
            <w:pPr>
              <w:widowControl/>
              <w:spacing w:line="360" w:lineRule="auto"/>
              <w:ind w:left="2"/>
              <w:jc w:val="center"/>
              <w:rPr>
                <w:color w:val="000000" w:themeColor="text1"/>
                <w:sz w:val="24"/>
                <w:szCs w:val="22"/>
                <w:highlight w:val="none"/>
                <w14:textFill>
                  <w14:solidFill>
                    <w14:schemeClr w14:val="tx1"/>
                  </w14:solidFill>
                </w14:textFill>
              </w:rPr>
            </w:pPr>
            <w:r>
              <w:rPr>
                <w:rFonts w:hint="eastAsia"/>
                <w:color w:val="000000" w:themeColor="text1"/>
                <w:sz w:val="24"/>
                <w:szCs w:val="22"/>
                <w:highlight w:val="none"/>
                <w14:textFill>
                  <w14:solidFill>
                    <w14:schemeClr w14:val="tx1"/>
                  </w14:solidFill>
                </w14:textFill>
              </w:rPr>
              <w:t>1</w:t>
            </w:r>
          </w:p>
        </w:tc>
        <w:tc>
          <w:tcPr>
            <w:tcW w:w="2349" w:type="dxa"/>
            <w:tcBorders>
              <w:top w:val="single" w:color="000000" w:sz="4" w:space="0"/>
              <w:left w:val="single" w:color="000000" w:sz="4" w:space="0"/>
              <w:bottom w:val="single" w:color="000000" w:sz="4" w:space="0"/>
              <w:right w:val="single" w:color="000000" w:sz="4" w:space="0"/>
            </w:tcBorders>
            <w:vAlign w:val="center"/>
          </w:tcPr>
          <w:p w14:paraId="56431AAB">
            <w:pPr>
              <w:bidi w:val="0"/>
              <w:jc w:val="center"/>
              <w:rPr>
                <w:color w:val="000000" w:themeColor="text1"/>
                <w:sz w:val="24"/>
                <w:highlight w:val="none"/>
                <w14:textFill>
                  <w14:solidFill>
                    <w14:schemeClr w14:val="tx1"/>
                  </w14:solidFill>
                </w14:textFill>
              </w:rPr>
            </w:pPr>
          </w:p>
        </w:tc>
        <w:tc>
          <w:tcPr>
            <w:tcW w:w="726" w:type="pct"/>
            <w:tcBorders>
              <w:top w:val="single" w:color="000000" w:sz="4" w:space="0"/>
              <w:left w:val="single" w:color="000000" w:sz="4" w:space="0"/>
              <w:bottom w:val="single" w:color="000000" w:sz="4" w:space="0"/>
              <w:right w:val="single" w:color="000000" w:sz="4" w:space="0"/>
            </w:tcBorders>
            <w:vAlign w:val="center"/>
          </w:tcPr>
          <w:p w14:paraId="374D31B5">
            <w:pPr>
              <w:widowControl/>
              <w:spacing w:line="360" w:lineRule="auto"/>
              <w:jc w:val="left"/>
              <w:rPr>
                <w:color w:val="000000" w:themeColor="text1"/>
                <w:sz w:val="24"/>
                <w:szCs w:val="22"/>
                <w:highlight w:val="none"/>
                <w14:textFill>
                  <w14:solidFill>
                    <w14:schemeClr w14:val="tx1"/>
                  </w14:solidFill>
                </w14:textFill>
              </w:rPr>
            </w:pPr>
          </w:p>
        </w:tc>
        <w:tc>
          <w:tcPr>
            <w:tcW w:w="618" w:type="pct"/>
            <w:tcBorders>
              <w:top w:val="single" w:color="000000" w:sz="4" w:space="0"/>
              <w:left w:val="single" w:color="000000" w:sz="4" w:space="0"/>
              <w:bottom w:val="single" w:color="000000" w:sz="4" w:space="0"/>
              <w:right w:val="single" w:color="000000" w:sz="4" w:space="0"/>
            </w:tcBorders>
            <w:vAlign w:val="center"/>
          </w:tcPr>
          <w:p w14:paraId="343A3D21">
            <w:pPr>
              <w:widowControl/>
              <w:spacing w:line="360" w:lineRule="auto"/>
              <w:ind w:left="2"/>
              <w:jc w:val="center"/>
              <w:rPr>
                <w:color w:val="000000" w:themeColor="text1"/>
                <w:sz w:val="24"/>
                <w:szCs w:val="22"/>
                <w:highlight w:val="none"/>
                <w14:textFill>
                  <w14:solidFill>
                    <w14:schemeClr w14:val="tx1"/>
                  </w14:solidFill>
                </w14:textFill>
              </w:rPr>
            </w:pPr>
          </w:p>
        </w:tc>
        <w:tc>
          <w:tcPr>
            <w:tcW w:w="506" w:type="pct"/>
            <w:tcBorders>
              <w:top w:val="single" w:color="000000" w:sz="4" w:space="0"/>
              <w:left w:val="single" w:color="000000" w:sz="4" w:space="0"/>
              <w:bottom w:val="single" w:color="000000" w:sz="4" w:space="0"/>
              <w:right w:val="single" w:color="000000" w:sz="4" w:space="0"/>
            </w:tcBorders>
            <w:vAlign w:val="center"/>
          </w:tcPr>
          <w:p w14:paraId="32E6AAF9">
            <w:pPr>
              <w:widowControl/>
              <w:spacing w:line="360" w:lineRule="auto"/>
              <w:ind w:left="2"/>
              <w:jc w:val="center"/>
              <w:rPr>
                <w:color w:val="000000" w:themeColor="text1"/>
                <w:sz w:val="24"/>
                <w:szCs w:val="22"/>
                <w:highlight w:val="none"/>
                <w14:textFill>
                  <w14:solidFill>
                    <w14:schemeClr w14:val="tx1"/>
                  </w14:solidFill>
                </w14:textFill>
              </w:rPr>
            </w:pPr>
          </w:p>
        </w:tc>
        <w:tc>
          <w:tcPr>
            <w:tcW w:w="675" w:type="pct"/>
            <w:tcBorders>
              <w:top w:val="single" w:color="000000" w:sz="4" w:space="0"/>
              <w:left w:val="single" w:color="000000" w:sz="4" w:space="0"/>
              <w:bottom w:val="single" w:color="000000" w:sz="4" w:space="0"/>
              <w:right w:val="single" w:color="000000" w:sz="4" w:space="0"/>
            </w:tcBorders>
            <w:vAlign w:val="center"/>
          </w:tcPr>
          <w:p w14:paraId="2925E1DA">
            <w:pPr>
              <w:widowControl/>
              <w:spacing w:after="5" w:line="249" w:lineRule="auto"/>
              <w:ind w:right="139"/>
              <w:jc w:val="right"/>
              <w:textAlignment w:val="center"/>
              <w:rPr>
                <w:color w:val="000000" w:themeColor="text1"/>
                <w:sz w:val="24"/>
                <w:highlight w:val="none"/>
                <w14:textFill>
                  <w14:solidFill>
                    <w14:schemeClr w14:val="tx1"/>
                  </w14:solidFill>
                </w14:textFill>
              </w:rPr>
            </w:pPr>
          </w:p>
        </w:tc>
        <w:tc>
          <w:tcPr>
            <w:tcW w:w="730" w:type="pct"/>
            <w:tcBorders>
              <w:top w:val="single" w:color="000000" w:sz="4" w:space="0"/>
              <w:left w:val="single" w:color="000000" w:sz="4" w:space="0"/>
              <w:bottom w:val="single" w:color="000000" w:sz="4" w:space="0"/>
              <w:right w:val="single" w:color="000000" w:sz="4" w:space="0"/>
            </w:tcBorders>
            <w:vAlign w:val="center"/>
          </w:tcPr>
          <w:p w14:paraId="4D8561BC">
            <w:pPr>
              <w:widowControl/>
              <w:spacing w:after="5" w:line="249" w:lineRule="auto"/>
              <w:ind w:left="10" w:right="139" w:hanging="10"/>
              <w:jc w:val="right"/>
              <w:textAlignment w:val="center"/>
              <w:rPr>
                <w:color w:val="000000" w:themeColor="text1"/>
                <w:sz w:val="24"/>
                <w:highlight w:val="none"/>
                <w14:textFill>
                  <w14:solidFill>
                    <w14:schemeClr w14:val="tx1"/>
                  </w14:solidFill>
                </w14:textFill>
              </w:rPr>
            </w:pPr>
          </w:p>
        </w:tc>
        <w:tc>
          <w:tcPr>
            <w:tcW w:w="618" w:type="pct"/>
            <w:tcBorders>
              <w:top w:val="single" w:color="000000" w:sz="4" w:space="0"/>
              <w:left w:val="single" w:color="000000" w:sz="4" w:space="0"/>
              <w:bottom w:val="single" w:color="000000" w:sz="4" w:space="0"/>
              <w:right w:val="single" w:color="000000" w:sz="4" w:space="0"/>
            </w:tcBorders>
            <w:vAlign w:val="center"/>
          </w:tcPr>
          <w:p w14:paraId="6844E8DC">
            <w:pPr>
              <w:widowControl/>
              <w:spacing w:line="360" w:lineRule="auto"/>
              <w:ind w:right="-69"/>
              <w:rPr>
                <w:color w:val="000000" w:themeColor="text1"/>
                <w:sz w:val="24"/>
                <w:szCs w:val="22"/>
                <w:highlight w:val="none"/>
                <w14:textFill>
                  <w14:solidFill>
                    <w14:schemeClr w14:val="tx1"/>
                  </w14:solidFill>
                </w14:textFill>
              </w:rPr>
            </w:pPr>
          </w:p>
        </w:tc>
      </w:tr>
      <w:tr w14:paraId="37D341EE">
        <w:tblPrEx>
          <w:tblCellMar>
            <w:top w:w="0" w:type="dxa"/>
            <w:left w:w="106" w:type="dxa"/>
            <w:bottom w:w="0" w:type="dxa"/>
            <w:right w:w="0" w:type="dxa"/>
          </w:tblCellMar>
        </w:tblPrEx>
        <w:trPr>
          <w:trHeight w:val="557" w:hRule="atLeast"/>
        </w:trPr>
        <w:tc>
          <w:tcPr>
            <w:tcW w:w="197" w:type="pct"/>
            <w:tcBorders>
              <w:top w:val="single" w:color="000000" w:sz="4" w:space="0"/>
              <w:left w:val="single" w:color="000000" w:sz="4" w:space="0"/>
              <w:bottom w:val="single" w:color="000000" w:sz="4" w:space="0"/>
              <w:right w:val="single" w:color="000000" w:sz="4" w:space="0"/>
            </w:tcBorders>
            <w:vAlign w:val="center"/>
          </w:tcPr>
          <w:p w14:paraId="737E2DB9">
            <w:pPr>
              <w:widowControl/>
              <w:spacing w:line="360" w:lineRule="auto"/>
              <w:ind w:left="2"/>
              <w:jc w:val="center"/>
              <w:rPr>
                <w:color w:val="000000" w:themeColor="text1"/>
                <w:sz w:val="24"/>
                <w:szCs w:val="22"/>
                <w:highlight w:val="none"/>
                <w14:textFill>
                  <w14:solidFill>
                    <w14:schemeClr w14:val="tx1"/>
                  </w14:solidFill>
                </w14:textFill>
              </w:rPr>
            </w:pPr>
            <w:r>
              <w:rPr>
                <w:rFonts w:hint="eastAsia"/>
                <w:color w:val="000000" w:themeColor="text1"/>
                <w:sz w:val="24"/>
                <w:szCs w:val="22"/>
                <w:highlight w:val="none"/>
                <w14:textFill>
                  <w14:solidFill>
                    <w14:schemeClr w14:val="tx1"/>
                  </w14:solidFill>
                </w14:textFill>
              </w:rPr>
              <w:t>2</w:t>
            </w:r>
          </w:p>
        </w:tc>
        <w:tc>
          <w:tcPr>
            <w:tcW w:w="2349" w:type="dxa"/>
            <w:tcBorders>
              <w:top w:val="single" w:color="000000" w:sz="4" w:space="0"/>
              <w:left w:val="single" w:color="000000" w:sz="4" w:space="0"/>
              <w:bottom w:val="single" w:color="000000" w:sz="4" w:space="0"/>
              <w:right w:val="single" w:color="000000" w:sz="4" w:space="0"/>
            </w:tcBorders>
            <w:vAlign w:val="center"/>
          </w:tcPr>
          <w:p w14:paraId="08E35494">
            <w:pPr>
              <w:bidi w:val="0"/>
              <w:jc w:val="center"/>
              <w:rPr>
                <w:color w:val="000000" w:themeColor="text1"/>
                <w:sz w:val="24"/>
                <w:highlight w:val="none"/>
                <w14:textFill>
                  <w14:solidFill>
                    <w14:schemeClr w14:val="tx1"/>
                  </w14:solidFill>
                </w14:textFill>
              </w:rPr>
            </w:pPr>
          </w:p>
        </w:tc>
        <w:tc>
          <w:tcPr>
            <w:tcW w:w="726" w:type="pct"/>
            <w:tcBorders>
              <w:top w:val="single" w:color="000000" w:sz="4" w:space="0"/>
              <w:left w:val="single" w:color="000000" w:sz="4" w:space="0"/>
              <w:bottom w:val="single" w:color="000000" w:sz="4" w:space="0"/>
              <w:right w:val="single" w:color="000000" w:sz="4" w:space="0"/>
            </w:tcBorders>
            <w:vAlign w:val="center"/>
          </w:tcPr>
          <w:p w14:paraId="5676D6C2">
            <w:pPr>
              <w:widowControl/>
              <w:spacing w:line="360" w:lineRule="auto"/>
              <w:ind w:left="0"/>
              <w:jc w:val="left"/>
              <w:rPr>
                <w:color w:val="000000" w:themeColor="text1"/>
                <w:sz w:val="24"/>
                <w:szCs w:val="22"/>
                <w:highlight w:val="none"/>
                <w14:textFill>
                  <w14:solidFill>
                    <w14:schemeClr w14:val="tx1"/>
                  </w14:solidFill>
                </w14:textFill>
              </w:rPr>
            </w:pPr>
          </w:p>
        </w:tc>
        <w:tc>
          <w:tcPr>
            <w:tcW w:w="618" w:type="pct"/>
            <w:tcBorders>
              <w:top w:val="single" w:color="000000" w:sz="4" w:space="0"/>
              <w:left w:val="single" w:color="000000" w:sz="4" w:space="0"/>
              <w:bottom w:val="single" w:color="000000" w:sz="4" w:space="0"/>
              <w:right w:val="single" w:color="000000" w:sz="4" w:space="0"/>
            </w:tcBorders>
            <w:vAlign w:val="center"/>
          </w:tcPr>
          <w:p w14:paraId="58D9541D">
            <w:pPr>
              <w:widowControl/>
              <w:spacing w:line="360" w:lineRule="auto"/>
              <w:ind w:left="2"/>
              <w:jc w:val="center"/>
              <w:rPr>
                <w:color w:val="000000" w:themeColor="text1"/>
                <w:sz w:val="24"/>
                <w:szCs w:val="22"/>
                <w:highlight w:val="none"/>
                <w14:textFill>
                  <w14:solidFill>
                    <w14:schemeClr w14:val="tx1"/>
                  </w14:solidFill>
                </w14:textFill>
              </w:rPr>
            </w:pPr>
          </w:p>
        </w:tc>
        <w:tc>
          <w:tcPr>
            <w:tcW w:w="506" w:type="pct"/>
            <w:tcBorders>
              <w:top w:val="single" w:color="000000" w:sz="4" w:space="0"/>
              <w:left w:val="single" w:color="000000" w:sz="4" w:space="0"/>
              <w:bottom w:val="single" w:color="000000" w:sz="4" w:space="0"/>
              <w:right w:val="single" w:color="000000" w:sz="4" w:space="0"/>
            </w:tcBorders>
            <w:vAlign w:val="center"/>
          </w:tcPr>
          <w:p w14:paraId="52A85A71">
            <w:pPr>
              <w:widowControl/>
              <w:spacing w:line="360" w:lineRule="auto"/>
              <w:ind w:left="2"/>
              <w:jc w:val="center"/>
              <w:rPr>
                <w:color w:val="000000" w:themeColor="text1"/>
                <w:sz w:val="24"/>
                <w:szCs w:val="22"/>
                <w:highlight w:val="none"/>
                <w14:textFill>
                  <w14:solidFill>
                    <w14:schemeClr w14:val="tx1"/>
                  </w14:solidFill>
                </w14:textFill>
              </w:rPr>
            </w:pPr>
          </w:p>
        </w:tc>
        <w:tc>
          <w:tcPr>
            <w:tcW w:w="675" w:type="pct"/>
            <w:tcBorders>
              <w:top w:val="single" w:color="000000" w:sz="4" w:space="0"/>
              <w:left w:val="single" w:color="000000" w:sz="4" w:space="0"/>
              <w:bottom w:val="single" w:color="000000" w:sz="4" w:space="0"/>
              <w:right w:val="single" w:color="000000" w:sz="4" w:space="0"/>
            </w:tcBorders>
            <w:vAlign w:val="center"/>
          </w:tcPr>
          <w:p w14:paraId="11CCD3CF">
            <w:pPr>
              <w:widowControl/>
              <w:spacing w:after="5" w:line="249" w:lineRule="auto"/>
              <w:ind w:left="10" w:right="139" w:hanging="10"/>
              <w:jc w:val="right"/>
              <w:textAlignment w:val="center"/>
              <w:rPr>
                <w:color w:val="000000" w:themeColor="text1"/>
                <w:sz w:val="24"/>
                <w:highlight w:val="none"/>
                <w14:textFill>
                  <w14:solidFill>
                    <w14:schemeClr w14:val="tx1"/>
                  </w14:solidFill>
                </w14:textFill>
              </w:rPr>
            </w:pPr>
          </w:p>
        </w:tc>
        <w:tc>
          <w:tcPr>
            <w:tcW w:w="730" w:type="pct"/>
            <w:tcBorders>
              <w:top w:val="single" w:color="000000" w:sz="4" w:space="0"/>
              <w:left w:val="single" w:color="000000" w:sz="4" w:space="0"/>
              <w:bottom w:val="single" w:color="000000" w:sz="4" w:space="0"/>
              <w:right w:val="single" w:color="000000" w:sz="4" w:space="0"/>
            </w:tcBorders>
            <w:vAlign w:val="center"/>
          </w:tcPr>
          <w:p w14:paraId="0741F8EC">
            <w:pPr>
              <w:widowControl/>
              <w:spacing w:after="5" w:line="249" w:lineRule="auto"/>
              <w:ind w:left="10" w:right="139" w:hanging="10"/>
              <w:jc w:val="right"/>
              <w:textAlignment w:val="center"/>
              <w:rPr>
                <w:color w:val="000000" w:themeColor="text1"/>
                <w:sz w:val="24"/>
                <w:highlight w:val="none"/>
                <w14:textFill>
                  <w14:solidFill>
                    <w14:schemeClr w14:val="tx1"/>
                  </w14:solidFill>
                </w14:textFill>
              </w:rPr>
            </w:pPr>
          </w:p>
        </w:tc>
        <w:tc>
          <w:tcPr>
            <w:tcW w:w="618" w:type="pct"/>
            <w:tcBorders>
              <w:top w:val="single" w:color="000000" w:sz="4" w:space="0"/>
              <w:left w:val="single" w:color="000000" w:sz="4" w:space="0"/>
              <w:bottom w:val="single" w:color="000000" w:sz="4" w:space="0"/>
              <w:right w:val="single" w:color="000000" w:sz="4" w:space="0"/>
            </w:tcBorders>
            <w:vAlign w:val="center"/>
          </w:tcPr>
          <w:p w14:paraId="46200BEF">
            <w:pPr>
              <w:widowControl/>
              <w:spacing w:line="360" w:lineRule="auto"/>
              <w:jc w:val="left"/>
              <w:rPr>
                <w:color w:val="000000" w:themeColor="text1"/>
                <w:sz w:val="24"/>
                <w:szCs w:val="22"/>
                <w:highlight w:val="none"/>
                <w14:textFill>
                  <w14:solidFill>
                    <w14:schemeClr w14:val="tx1"/>
                  </w14:solidFill>
                </w14:textFill>
              </w:rPr>
            </w:pPr>
          </w:p>
        </w:tc>
      </w:tr>
      <w:tr w14:paraId="09CC80A2">
        <w:tblPrEx>
          <w:tblCellMar>
            <w:top w:w="0" w:type="dxa"/>
            <w:left w:w="106" w:type="dxa"/>
            <w:bottom w:w="0" w:type="dxa"/>
            <w:right w:w="0" w:type="dxa"/>
          </w:tblCellMar>
        </w:tblPrEx>
        <w:trPr>
          <w:trHeight w:val="557" w:hRule="atLeast"/>
        </w:trPr>
        <w:tc>
          <w:tcPr>
            <w:tcW w:w="197" w:type="pct"/>
            <w:tcBorders>
              <w:top w:val="single" w:color="000000" w:sz="4" w:space="0"/>
              <w:left w:val="single" w:color="000000" w:sz="4" w:space="0"/>
              <w:bottom w:val="single" w:color="000000" w:sz="4" w:space="0"/>
              <w:right w:val="single" w:color="000000" w:sz="4" w:space="0"/>
            </w:tcBorders>
            <w:vAlign w:val="center"/>
          </w:tcPr>
          <w:p w14:paraId="0A2F5952">
            <w:pPr>
              <w:widowControl/>
              <w:spacing w:line="360" w:lineRule="auto"/>
              <w:ind w:left="2"/>
              <w:jc w:val="center"/>
              <w:rPr>
                <w:color w:val="000000" w:themeColor="text1"/>
                <w:sz w:val="24"/>
                <w:szCs w:val="22"/>
                <w:highlight w:val="none"/>
                <w14:textFill>
                  <w14:solidFill>
                    <w14:schemeClr w14:val="tx1"/>
                  </w14:solidFill>
                </w14:textFill>
              </w:rPr>
            </w:pPr>
            <w:r>
              <w:rPr>
                <w:rFonts w:hint="eastAsia"/>
                <w:color w:val="000000" w:themeColor="text1"/>
                <w:sz w:val="24"/>
                <w:szCs w:val="22"/>
                <w:highlight w:val="none"/>
                <w14:textFill>
                  <w14:solidFill>
                    <w14:schemeClr w14:val="tx1"/>
                  </w14:solidFill>
                </w14:textFill>
              </w:rPr>
              <w:t>3</w:t>
            </w:r>
          </w:p>
        </w:tc>
        <w:tc>
          <w:tcPr>
            <w:tcW w:w="2349" w:type="dxa"/>
            <w:tcBorders>
              <w:top w:val="single" w:color="000000" w:sz="4" w:space="0"/>
              <w:left w:val="single" w:color="000000" w:sz="4" w:space="0"/>
              <w:bottom w:val="single" w:color="000000" w:sz="4" w:space="0"/>
              <w:right w:val="single" w:color="000000" w:sz="4" w:space="0"/>
            </w:tcBorders>
            <w:vAlign w:val="center"/>
          </w:tcPr>
          <w:p w14:paraId="3FA671DB">
            <w:pPr>
              <w:bidi w:val="0"/>
              <w:jc w:val="center"/>
              <w:rPr>
                <w:color w:val="000000" w:themeColor="text1"/>
                <w:sz w:val="24"/>
                <w:highlight w:val="none"/>
                <w14:textFill>
                  <w14:solidFill>
                    <w14:schemeClr w14:val="tx1"/>
                  </w14:solidFill>
                </w14:textFill>
              </w:rPr>
            </w:pPr>
          </w:p>
        </w:tc>
        <w:tc>
          <w:tcPr>
            <w:tcW w:w="726" w:type="pct"/>
            <w:tcBorders>
              <w:top w:val="single" w:color="000000" w:sz="4" w:space="0"/>
              <w:left w:val="single" w:color="000000" w:sz="4" w:space="0"/>
              <w:bottom w:val="single" w:color="000000" w:sz="4" w:space="0"/>
              <w:right w:val="single" w:color="000000" w:sz="4" w:space="0"/>
            </w:tcBorders>
            <w:vAlign w:val="center"/>
          </w:tcPr>
          <w:p w14:paraId="0729482A">
            <w:pPr>
              <w:widowControl/>
              <w:spacing w:line="360" w:lineRule="auto"/>
              <w:ind w:left="2"/>
              <w:jc w:val="left"/>
              <w:rPr>
                <w:color w:val="000000" w:themeColor="text1"/>
                <w:sz w:val="24"/>
                <w:szCs w:val="22"/>
                <w:highlight w:val="none"/>
                <w14:textFill>
                  <w14:solidFill>
                    <w14:schemeClr w14:val="tx1"/>
                  </w14:solidFill>
                </w14:textFill>
              </w:rPr>
            </w:pPr>
          </w:p>
        </w:tc>
        <w:tc>
          <w:tcPr>
            <w:tcW w:w="618" w:type="pct"/>
            <w:tcBorders>
              <w:top w:val="single" w:color="000000" w:sz="4" w:space="0"/>
              <w:left w:val="single" w:color="000000" w:sz="4" w:space="0"/>
              <w:bottom w:val="single" w:color="000000" w:sz="4" w:space="0"/>
              <w:right w:val="single" w:color="000000" w:sz="4" w:space="0"/>
            </w:tcBorders>
            <w:vAlign w:val="center"/>
          </w:tcPr>
          <w:p w14:paraId="54F60328">
            <w:pPr>
              <w:widowControl/>
              <w:spacing w:line="360" w:lineRule="auto"/>
              <w:ind w:left="2"/>
              <w:jc w:val="center"/>
              <w:rPr>
                <w:color w:val="000000" w:themeColor="text1"/>
                <w:sz w:val="24"/>
                <w:szCs w:val="22"/>
                <w:highlight w:val="none"/>
                <w14:textFill>
                  <w14:solidFill>
                    <w14:schemeClr w14:val="tx1"/>
                  </w14:solidFill>
                </w14:textFill>
              </w:rPr>
            </w:pPr>
          </w:p>
        </w:tc>
        <w:tc>
          <w:tcPr>
            <w:tcW w:w="506" w:type="pct"/>
            <w:tcBorders>
              <w:top w:val="single" w:color="000000" w:sz="4" w:space="0"/>
              <w:left w:val="single" w:color="000000" w:sz="4" w:space="0"/>
              <w:bottom w:val="single" w:color="000000" w:sz="4" w:space="0"/>
              <w:right w:val="single" w:color="000000" w:sz="4" w:space="0"/>
            </w:tcBorders>
            <w:vAlign w:val="center"/>
          </w:tcPr>
          <w:p w14:paraId="23B36972">
            <w:pPr>
              <w:widowControl/>
              <w:spacing w:line="360" w:lineRule="auto"/>
              <w:ind w:left="2"/>
              <w:jc w:val="center"/>
              <w:rPr>
                <w:color w:val="000000" w:themeColor="text1"/>
                <w:sz w:val="24"/>
                <w:szCs w:val="22"/>
                <w:highlight w:val="none"/>
                <w14:textFill>
                  <w14:solidFill>
                    <w14:schemeClr w14:val="tx1"/>
                  </w14:solidFill>
                </w14:textFill>
              </w:rPr>
            </w:pPr>
          </w:p>
        </w:tc>
        <w:tc>
          <w:tcPr>
            <w:tcW w:w="675" w:type="pct"/>
            <w:tcBorders>
              <w:top w:val="single" w:color="000000" w:sz="4" w:space="0"/>
              <w:left w:val="single" w:color="000000" w:sz="4" w:space="0"/>
              <w:bottom w:val="single" w:color="000000" w:sz="4" w:space="0"/>
              <w:right w:val="single" w:color="000000" w:sz="4" w:space="0"/>
            </w:tcBorders>
            <w:vAlign w:val="center"/>
          </w:tcPr>
          <w:p w14:paraId="196A03BF">
            <w:pPr>
              <w:widowControl/>
              <w:spacing w:after="5" w:line="249" w:lineRule="auto"/>
              <w:ind w:left="10" w:right="139" w:hanging="10"/>
              <w:jc w:val="right"/>
              <w:textAlignment w:val="center"/>
              <w:rPr>
                <w:color w:val="000000" w:themeColor="text1"/>
                <w:sz w:val="24"/>
                <w:highlight w:val="none"/>
                <w14:textFill>
                  <w14:solidFill>
                    <w14:schemeClr w14:val="tx1"/>
                  </w14:solidFill>
                </w14:textFill>
              </w:rPr>
            </w:pPr>
          </w:p>
        </w:tc>
        <w:tc>
          <w:tcPr>
            <w:tcW w:w="730" w:type="pct"/>
            <w:tcBorders>
              <w:top w:val="single" w:color="000000" w:sz="4" w:space="0"/>
              <w:left w:val="single" w:color="000000" w:sz="4" w:space="0"/>
              <w:bottom w:val="single" w:color="000000" w:sz="4" w:space="0"/>
              <w:right w:val="single" w:color="000000" w:sz="4" w:space="0"/>
            </w:tcBorders>
            <w:vAlign w:val="center"/>
          </w:tcPr>
          <w:p w14:paraId="76F3D4CB">
            <w:pPr>
              <w:widowControl/>
              <w:spacing w:after="5" w:line="249" w:lineRule="auto"/>
              <w:ind w:left="10" w:right="139" w:hanging="10"/>
              <w:jc w:val="right"/>
              <w:textAlignment w:val="center"/>
              <w:rPr>
                <w:color w:val="000000" w:themeColor="text1"/>
                <w:sz w:val="24"/>
                <w:highlight w:val="none"/>
                <w14:textFill>
                  <w14:solidFill>
                    <w14:schemeClr w14:val="tx1"/>
                  </w14:solidFill>
                </w14:textFill>
              </w:rPr>
            </w:pPr>
          </w:p>
        </w:tc>
        <w:tc>
          <w:tcPr>
            <w:tcW w:w="618" w:type="pct"/>
            <w:tcBorders>
              <w:top w:val="single" w:color="000000" w:sz="4" w:space="0"/>
              <w:left w:val="single" w:color="000000" w:sz="4" w:space="0"/>
              <w:bottom w:val="single" w:color="000000" w:sz="4" w:space="0"/>
              <w:right w:val="single" w:color="000000" w:sz="4" w:space="0"/>
            </w:tcBorders>
            <w:vAlign w:val="center"/>
          </w:tcPr>
          <w:p w14:paraId="349C6A08">
            <w:pPr>
              <w:widowControl/>
              <w:spacing w:line="360" w:lineRule="auto"/>
              <w:jc w:val="left"/>
              <w:rPr>
                <w:color w:val="000000" w:themeColor="text1"/>
                <w:sz w:val="24"/>
                <w:szCs w:val="22"/>
                <w:highlight w:val="none"/>
                <w14:textFill>
                  <w14:solidFill>
                    <w14:schemeClr w14:val="tx1"/>
                  </w14:solidFill>
                </w14:textFill>
              </w:rPr>
            </w:pPr>
          </w:p>
        </w:tc>
      </w:tr>
      <w:tr w14:paraId="2C4F26AC">
        <w:tblPrEx>
          <w:tblCellMar>
            <w:top w:w="0" w:type="dxa"/>
            <w:left w:w="106" w:type="dxa"/>
            <w:bottom w:w="0" w:type="dxa"/>
            <w:right w:w="0" w:type="dxa"/>
          </w:tblCellMar>
        </w:tblPrEx>
        <w:trPr>
          <w:trHeight w:val="557" w:hRule="atLeast"/>
        </w:trPr>
        <w:tc>
          <w:tcPr>
            <w:tcW w:w="197" w:type="pct"/>
            <w:tcBorders>
              <w:top w:val="single" w:color="000000" w:sz="4" w:space="0"/>
              <w:left w:val="single" w:color="000000" w:sz="4" w:space="0"/>
              <w:bottom w:val="single" w:color="000000" w:sz="4" w:space="0"/>
              <w:right w:val="single" w:color="000000" w:sz="4" w:space="0"/>
            </w:tcBorders>
            <w:vAlign w:val="center"/>
          </w:tcPr>
          <w:p w14:paraId="4FBCA480">
            <w:pPr>
              <w:widowControl/>
              <w:spacing w:line="360" w:lineRule="auto"/>
              <w:ind w:left="2"/>
              <w:jc w:val="center"/>
              <w:rPr>
                <w:color w:val="000000" w:themeColor="text1"/>
                <w:sz w:val="24"/>
                <w:szCs w:val="22"/>
                <w:highlight w:val="none"/>
                <w14:textFill>
                  <w14:solidFill>
                    <w14:schemeClr w14:val="tx1"/>
                  </w14:solidFill>
                </w14:textFill>
              </w:rPr>
            </w:pPr>
            <w:r>
              <w:rPr>
                <w:rFonts w:hint="eastAsia"/>
                <w:color w:val="000000" w:themeColor="text1"/>
                <w:sz w:val="24"/>
                <w:szCs w:val="22"/>
                <w:highlight w:val="none"/>
                <w14:textFill>
                  <w14:solidFill>
                    <w14:schemeClr w14:val="tx1"/>
                  </w14:solidFill>
                </w14:textFill>
              </w:rPr>
              <w:t>4</w:t>
            </w:r>
          </w:p>
        </w:tc>
        <w:tc>
          <w:tcPr>
            <w:tcW w:w="2349" w:type="dxa"/>
            <w:tcBorders>
              <w:top w:val="single" w:color="000000" w:sz="4" w:space="0"/>
              <w:left w:val="single" w:color="000000" w:sz="4" w:space="0"/>
              <w:bottom w:val="single" w:color="000000" w:sz="4" w:space="0"/>
              <w:right w:val="single" w:color="000000" w:sz="4" w:space="0"/>
            </w:tcBorders>
            <w:vAlign w:val="center"/>
          </w:tcPr>
          <w:p w14:paraId="429EAF24">
            <w:pPr>
              <w:bidi w:val="0"/>
              <w:jc w:val="center"/>
              <w:rPr>
                <w:color w:val="000000" w:themeColor="text1"/>
                <w:sz w:val="24"/>
                <w:highlight w:val="none"/>
                <w14:textFill>
                  <w14:solidFill>
                    <w14:schemeClr w14:val="tx1"/>
                  </w14:solidFill>
                </w14:textFill>
              </w:rPr>
            </w:pPr>
          </w:p>
        </w:tc>
        <w:tc>
          <w:tcPr>
            <w:tcW w:w="726" w:type="pct"/>
            <w:tcBorders>
              <w:top w:val="single" w:color="000000" w:sz="4" w:space="0"/>
              <w:left w:val="single" w:color="000000" w:sz="4" w:space="0"/>
              <w:bottom w:val="single" w:color="000000" w:sz="4" w:space="0"/>
              <w:right w:val="single" w:color="000000" w:sz="4" w:space="0"/>
            </w:tcBorders>
            <w:vAlign w:val="center"/>
          </w:tcPr>
          <w:p w14:paraId="59CC3AEC">
            <w:pPr>
              <w:widowControl/>
              <w:spacing w:line="360" w:lineRule="auto"/>
              <w:ind w:left="2"/>
              <w:jc w:val="left"/>
              <w:rPr>
                <w:color w:val="000000" w:themeColor="text1"/>
                <w:sz w:val="24"/>
                <w:szCs w:val="22"/>
                <w:highlight w:val="none"/>
                <w14:textFill>
                  <w14:solidFill>
                    <w14:schemeClr w14:val="tx1"/>
                  </w14:solidFill>
                </w14:textFill>
              </w:rPr>
            </w:pPr>
          </w:p>
        </w:tc>
        <w:tc>
          <w:tcPr>
            <w:tcW w:w="618" w:type="pct"/>
            <w:tcBorders>
              <w:top w:val="single" w:color="000000" w:sz="4" w:space="0"/>
              <w:left w:val="single" w:color="000000" w:sz="4" w:space="0"/>
              <w:bottom w:val="single" w:color="000000" w:sz="4" w:space="0"/>
              <w:right w:val="single" w:color="000000" w:sz="4" w:space="0"/>
            </w:tcBorders>
            <w:vAlign w:val="center"/>
          </w:tcPr>
          <w:p w14:paraId="2CE808C6">
            <w:pPr>
              <w:widowControl/>
              <w:spacing w:line="360" w:lineRule="auto"/>
              <w:ind w:left="2"/>
              <w:jc w:val="center"/>
              <w:rPr>
                <w:color w:val="000000" w:themeColor="text1"/>
                <w:sz w:val="24"/>
                <w:szCs w:val="22"/>
                <w:highlight w:val="none"/>
                <w14:textFill>
                  <w14:solidFill>
                    <w14:schemeClr w14:val="tx1"/>
                  </w14:solidFill>
                </w14:textFill>
              </w:rPr>
            </w:pPr>
          </w:p>
        </w:tc>
        <w:tc>
          <w:tcPr>
            <w:tcW w:w="506" w:type="pct"/>
            <w:tcBorders>
              <w:top w:val="single" w:color="000000" w:sz="4" w:space="0"/>
              <w:left w:val="single" w:color="000000" w:sz="4" w:space="0"/>
              <w:bottom w:val="single" w:color="000000" w:sz="4" w:space="0"/>
              <w:right w:val="single" w:color="000000" w:sz="4" w:space="0"/>
            </w:tcBorders>
            <w:vAlign w:val="center"/>
          </w:tcPr>
          <w:p w14:paraId="50385D8D">
            <w:pPr>
              <w:widowControl/>
              <w:spacing w:line="360" w:lineRule="auto"/>
              <w:ind w:left="2"/>
              <w:jc w:val="center"/>
              <w:rPr>
                <w:color w:val="000000" w:themeColor="text1"/>
                <w:sz w:val="24"/>
                <w:szCs w:val="22"/>
                <w:highlight w:val="none"/>
                <w14:textFill>
                  <w14:solidFill>
                    <w14:schemeClr w14:val="tx1"/>
                  </w14:solidFill>
                </w14:textFill>
              </w:rPr>
            </w:pPr>
          </w:p>
        </w:tc>
        <w:tc>
          <w:tcPr>
            <w:tcW w:w="675" w:type="pct"/>
            <w:tcBorders>
              <w:top w:val="single" w:color="000000" w:sz="4" w:space="0"/>
              <w:left w:val="single" w:color="000000" w:sz="4" w:space="0"/>
              <w:bottom w:val="single" w:color="000000" w:sz="4" w:space="0"/>
              <w:right w:val="single" w:color="000000" w:sz="4" w:space="0"/>
            </w:tcBorders>
            <w:vAlign w:val="center"/>
          </w:tcPr>
          <w:p w14:paraId="3D088509">
            <w:pPr>
              <w:widowControl/>
              <w:spacing w:after="5" w:line="249" w:lineRule="auto"/>
              <w:ind w:left="10" w:right="139" w:hanging="10"/>
              <w:jc w:val="right"/>
              <w:textAlignment w:val="center"/>
              <w:rPr>
                <w:rFonts w:eastAsia="等线"/>
                <w:color w:val="000000" w:themeColor="text1"/>
                <w:kern w:val="0"/>
                <w:sz w:val="24"/>
                <w:highlight w:val="none"/>
                <w:lang w:bidi="ar"/>
                <w14:textFill>
                  <w14:solidFill>
                    <w14:schemeClr w14:val="tx1"/>
                  </w14:solidFill>
                </w14:textFill>
              </w:rPr>
            </w:pPr>
          </w:p>
        </w:tc>
        <w:tc>
          <w:tcPr>
            <w:tcW w:w="730" w:type="pct"/>
            <w:tcBorders>
              <w:top w:val="single" w:color="000000" w:sz="4" w:space="0"/>
              <w:left w:val="single" w:color="000000" w:sz="4" w:space="0"/>
              <w:bottom w:val="single" w:color="000000" w:sz="4" w:space="0"/>
              <w:right w:val="single" w:color="000000" w:sz="4" w:space="0"/>
            </w:tcBorders>
            <w:vAlign w:val="center"/>
          </w:tcPr>
          <w:p w14:paraId="72EF4630">
            <w:pPr>
              <w:widowControl/>
              <w:spacing w:after="5" w:line="249" w:lineRule="auto"/>
              <w:ind w:left="10" w:right="139" w:hanging="10"/>
              <w:jc w:val="right"/>
              <w:textAlignment w:val="center"/>
              <w:rPr>
                <w:rFonts w:eastAsia="等线"/>
                <w:color w:val="000000" w:themeColor="text1"/>
                <w:kern w:val="0"/>
                <w:sz w:val="24"/>
                <w:highlight w:val="none"/>
                <w:lang w:bidi="ar"/>
                <w14:textFill>
                  <w14:solidFill>
                    <w14:schemeClr w14:val="tx1"/>
                  </w14:solidFill>
                </w14:textFill>
              </w:rPr>
            </w:pPr>
          </w:p>
        </w:tc>
        <w:tc>
          <w:tcPr>
            <w:tcW w:w="618" w:type="pct"/>
            <w:tcBorders>
              <w:top w:val="single" w:color="000000" w:sz="4" w:space="0"/>
              <w:left w:val="single" w:color="000000" w:sz="4" w:space="0"/>
              <w:bottom w:val="single" w:color="000000" w:sz="4" w:space="0"/>
              <w:right w:val="single" w:color="000000" w:sz="4" w:space="0"/>
            </w:tcBorders>
            <w:vAlign w:val="center"/>
          </w:tcPr>
          <w:p w14:paraId="0E722441">
            <w:pPr>
              <w:widowControl/>
              <w:spacing w:line="360" w:lineRule="auto"/>
              <w:jc w:val="left"/>
              <w:rPr>
                <w:color w:val="000000" w:themeColor="text1"/>
                <w:sz w:val="24"/>
                <w:szCs w:val="22"/>
                <w:highlight w:val="none"/>
                <w14:textFill>
                  <w14:solidFill>
                    <w14:schemeClr w14:val="tx1"/>
                  </w14:solidFill>
                </w14:textFill>
              </w:rPr>
            </w:pPr>
          </w:p>
        </w:tc>
      </w:tr>
      <w:tr w14:paraId="5431E8CB">
        <w:tblPrEx>
          <w:tblCellMar>
            <w:top w:w="0" w:type="dxa"/>
            <w:left w:w="106" w:type="dxa"/>
            <w:bottom w:w="0" w:type="dxa"/>
            <w:right w:w="0" w:type="dxa"/>
          </w:tblCellMar>
        </w:tblPrEx>
        <w:trPr>
          <w:trHeight w:val="557" w:hRule="atLeast"/>
        </w:trPr>
        <w:tc>
          <w:tcPr>
            <w:tcW w:w="197" w:type="pct"/>
            <w:tcBorders>
              <w:top w:val="single" w:color="000000" w:sz="4" w:space="0"/>
              <w:left w:val="single" w:color="000000" w:sz="4" w:space="0"/>
              <w:bottom w:val="single" w:color="000000" w:sz="4" w:space="0"/>
              <w:right w:val="single" w:color="000000" w:sz="4" w:space="0"/>
            </w:tcBorders>
            <w:vAlign w:val="center"/>
          </w:tcPr>
          <w:p w14:paraId="4D3D795F">
            <w:pPr>
              <w:widowControl/>
              <w:spacing w:line="360" w:lineRule="auto"/>
              <w:ind w:left="2"/>
              <w:jc w:val="center"/>
              <w:rPr>
                <w:rFonts w:hint="eastAsia" w:eastAsia="宋体"/>
                <w:color w:val="000000" w:themeColor="text1"/>
                <w:sz w:val="24"/>
                <w:szCs w:val="22"/>
                <w:highlight w:val="none"/>
                <w:lang w:val="en-US" w:eastAsia="zh-CN"/>
                <w14:textFill>
                  <w14:solidFill>
                    <w14:schemeClr w14:val="tx1"/>
                  </w14:solidFill>
                </w14:textFill>
              </w:rPr>
            </w:pPr>
            <w:r>
              <w:rPr>
                <w:rFonts w:hint="eastAsia"/>
                <w:color w:val="000000" w:themeColor="text1"/>
                <w:sz w:val="24"/>
                <w:szCs w:val="22"/>
                <w:highlight w:val="none"/>
                <w:lang w:val="en-US" w:eastAsia="zh-CN"/>
                <w14:textFill>
                  <w14:solidFill>
                    <w14:schemeClr w14:val="tx1"/>
                  </w14:solidFill>
                </w14:textFill>
              </w:rPr>
              <w:t>5</w:t>
            </w:r>
          </w:p>
        </w:tc>
        <w:tc>
          <w:tcPr>
            <w:tcW w:w="2349" w:type="dxa"/>
            <w:tcBorders>
              <w:top w:val="single" w:color="000000" w:sz="4" w:space="0"/>
              <w:left w:val="single" w:color="000000" w:sz="4" w:space="0"/>
              <w:bottom w:val="single" w:color="000000" w:sz="4" w:space="0"/>
              <w:right w:val="single" w:color="000000" w:sz="4" w:space="0"/>
            </w:tcBorders>
            <w:vAlign w:val="center"/>
          </w:tcPr>
          <w:p w14:paraId="338DA9E1">
            <w:pPr>
              <w:bidi w:val="0"/>
              <w:jc w:val="center"/>
              <w:rPr>
                <w:rFonts w:hint="eastAsia" w:ascii="宋体" w:hAnsi="宋体" w:cs="宋体"/>
                <w:color w:val="000000" w:themeColor="text1"/>
                <w:kern w:val="0"/>
                <w:sz w:val="24"/>
                <w:highlight w:val="none"/>
                <w:lang w:bidi="ar"/>
                <w14:textFill>
                  <w14:solidFill>
                    <w14:schemeClr w14:val="tx1"/>
                  </w14:solidFill>
                </w14:textFill>
              </w:rPr>
            </w:pPr>
          </w:p>
        </w:tc>
        <w:tc>
          <w:tcPr>
            <w:tcW w:w="726" w:type="pct"/>
            <w:tcBorders>
              <w:top w:val="single" w:color="000000" w:sz="4" w:space="0"/>
              <w:left w:val="single" w:color="000000" w:sz="4" w:space="0"/>
              <w:bottom w:val="single" w:color="000000" w:sz="4" w:space="0"/>
              <w:right w:val="single" w:color="000000" w:sz="4" w:space="0"/>
            </w:tcBorders>
            <w:vAlign w:val="center"/>
          </w:tcPr>
          <w:p w14:paraId="00578FD9">
            <w:pPr>
              <w:widowControl/>
              <w:spacing w:line="360" w:lineRule="auto"/>
              <w:ind w:left="2"/>
              <w:jc w:val="left"/>
              <w:rPr>
                <w:rFonts w:hint="eastAsia" w:eastAsia="宋体"/>
                <w:color w:val="000000" w:themeColor="text1"/>
                <w:sz w:val="24"/>
                <w:szCs w:val="22"/>
                <w:highlight w:val="none"/>
                <w:lang w:val="en-US" w:eastAsia="zh-CN"/>
                <w14:textFill>
                  <w14:solidFill>
                    <w14:schemeClr w14:val="tx1"/>
                  </w14:solidFill>
                </w14:textFill>
              </w:rPr>
            </w:pPr>
          </w:p>
        </w:tc>
        <w:tc>
          <w:tcPr>
            <w:tcW w:w="618" w:type="pct"/>
            <w:tcBorders>
              <w:top w:val="single" w:color="000000" w:sz="4" w:space="0"/>
              <w:left w:val="single" w:color="000000" w:sz="4" w:space="0"/>
              <w:bottom w:val="single" w:color="000000" w:sz="4" w:space="0"/>
              <w:right w:val="single" w:color="000000" w:sz="4" w:space="0"/>
            </w:tcBorders>
            <w:vAlign w:val="center"/>
          </w:tcPr>
          <w:p w14:paraId="34631E97">
            <w:pPr>
              <w:widowControl/>
              <w:spacing w:line="360" w:lineRule="auto"/>
              <w:ind w:left="2"/>
              <w:jc w:val="center"/>
              <w:rPr>
                <w:rFonts w:hint="default"/>
                <w:color w:val="000000" w:themeColor="text1"/>
                <w:sz w:val="24"/>
                <w:szCs w:val="22"/>
                <w:highlight w:val="none"/>
                <w:lang w:val="en-US"/>
                <w14:textFill>
                  <w14:solidFill>
                    <w14:schemeClr w14:val="tx1"/>
                  </w14:solidFill>
                </w14:textFill>
              </w:rPr>
            </w:pPr>
          </w:p>
        </w:tc>
        <w:tc>
          <w:tcPr>
            <w:tcW w:w="506" w:type="pct"/>
            <w:tcBorders>
              <w:top w:val="single" w:color="000000" w:sz="4" w:space="0"/>
              <w:left w:val="single" w:color="000000" w:sz="4" w:space="0"/>
              <w:bottom w:val="single" w:color="000000" w:sz="4" w:space="0"/>
              <w:right w:val="single" w:color="000000" w:sz="4" w:space="0"/>
            </w:tcBorders>
            <w:vAlign w:val="center"/>
          </w:tcPr>
          <w:p w14:paraId="3DAC1073">
            <w:pPr>
              <w:widowControl/>
              <w:spacing w:line="360" w:lineRule="auto"/>
              <w:ind w:left="2"/>
              <w:jc w:val="center"/>
              <w:rPr>
                <w:rFonts w:hint="eastAsia"/>
                <w:color w:val="000000" w:themeColor="text1"/>
                <w:sz w:val="24"/>
                <w:szCs w:val="22"/>
                <w:highlight w:val="none"/>
                <w14:textFill>
                  <w14:solidFill>
                    <w14:schemeClr w14:val="tx1"/>
                  </w14:solidFill>
                </w14:textFill>
              </w:rPr>
            </w:pPr>
          </w:p>
        </w:tc>
        <w:tc>
          <w:tcPr>
            <w:tcW w:w="675" w:type="pct"/>
            <w:tcBorders>
              <w:top w:val="single" w:color="000000" w:sz="4" w:space="0"/>
              <w:left w:val="single" w:color="000000" w:sz="4" w:space="0"/>
              <w:bottom w:val="single" w:color="000000" w:sz="4" w:space="0"/>
              <w:right w:val="single" w:color="000000" w:sz="4" w:space="0"/>
            </w:tcBorders>
            <w:vAlign w:val="center"/>
          </w:tcPr>
          <w:p w14:paraId="7842C474">
            <w:pPr>
              <w:widowControl/>
              <w:spacing w:after="5" w:line="249" w:lineRule="auto"/>
              <w:ind w:left="10" w:right="139" w:hanging="10"/>
              <w:jc w:val="right"/>
              <w:textAlignment w:val="center"/>
              <w:rPr>
                <w:rFonts w:hint="eastAsia" w:eastAsia="等线"/>
                <w:color w:val="000000" w:themeColor="text1"/>
                <w:kern w:val="0"/>
                <w:sz w:val="24"/>
                <w:highlight w:val="none"/>
                <w:lang w:bidi="ar"/>
                <w14:textFill>
                  <w14:solidFill>
                    <w14:schemeClr w14:val="tx1"/>
                  </w14:solidFill>
                </w14:textFill>
              </w:rPr>
            </w:pPr>
          </w:p>
        </w:tc>
        <w:tc>
          <w:tcPr>
            <w:tcW w:w="730" w:type="pct"/>
            <w:tcBorders>
              <w:top w:val="single" w:color="000000" w:sz="4" w:space="0"/>
              <w:left w:val="single" w:color="000000" w:sz="4" w:space="0"/>
              <w:bottom w:val="single" w:color="000000" w:sz="4" w:space="0"/>
              <w:right w:val="single" w:color="000000" w:sz="4" w:space="0"/>
            </w:tcBorders>
            <w:vAlign w:val="center"/>
          </w:tcPr>
          <w:p w14:paraId="61406F24">
            <w:pPr>
              <w:widowControl/>
              <w:spacing w:after="5" w:line="249" w:lineRule="auto"/>
              <w:ind w:left="10" w:right="139" w:hanging="10"/>
              <w:jc w:val="right"/>
              <w:textAlignment w:val="center"/>
              <w:rPr>
                <w:rFonts w:hint="eastAsia" w:eastAsia="等线"/>
                <w:color w:val="000000" w:themeColor="text1"/>
                <w:kern w:val="0"/>
                <w:sz w:val="24"/>
                <w:highlight w:val="none"/>
                <w:lang w:bidi="ar"/>
                <w14:textFill>
                  <w14:solidFill>
                    <w14:schemeClr w14:val="tx1"/>
                  </w14:solidFill>
                </w14:textFill>
              </w:rPr>
            </w:pPr>
          </w:p>
        </w:tc>
        <w:tc>
          <w:tcPr>
            <w:tcW w:w="618" w:type="pct"/>
            <w:tcBorders>
              <w:top w:val="single" w:color="000000" w:sz="4" w:space="0"/>
              <w:left w:val="single" w:color="000000" w:sz="4" w:space="0"/>
              <w:bottom w:val="single" w:color="000000" w:sz="4" w:space="0"/>
              <w:right w:val="single" w:color="000000" w:sz="4" w:space="0"/>
            </w:tcBorders>
            <w:vAlign w:val="center"/>
          </w:tcPr>
          <w:p w14:paraId="6DB868AF">
            <w:pPr>
              <w:widowControl/>
              <w:spacing w:line="360" w:lineRule="auto"/>
              <w:jc w:val="left"/>
              <w:rPr>
                <w:rFonts w:hint="eastAsia"/>
                <w:color w:val="000000" w:themeColor="text1"/>
                <w:sz w:val="24"/>
                <w:szCs w:val="22"/>
                <w:highlight w:val="none"/>
                <w14:textFill>
                  <w14:solidFill>
                    <w14:schemeClr w14:val="tx1"/>
                  </w14:solidFill>
                </w14:textFill>
              </w:rPr>
            </w:pPr>
          </w:p>
        </w:tc>
      </w:tr>
      <w:tr w14:paraId="09FAECD5">
        <w:tblPrEx>
          <w:tblCellMar>
            <w:top w:w="0" w:type="dxa"/>
            <w:left w:w="106" w:type="dxa"/>
            <w:bottom w:w="0" w:type="dxa"/>
            <w:right w:w="0" w:type="dxa"/>
          </w:tblCellMar>
        </w:tblPrEx>
        <w:trPr>
          <w:trHeight w:val="557" w:hRule="atLeast"/>
        </w:trPr>
        <w:tc>
          <w:tcPr>
            <w:tcW w:w="197" w:type="pct"/>
            <w:tcBorders>
              <w:top w:val="single" w:color="000000" w:sz="4" w:space="0"/>
              <w:left w:val="single" w:color="000000" w:sz="4" w:space="0"/>
              <w:bottom w:val="single" w:color="000000" w:sz="4" w:space="0"/>
              <w:right w:val="single" w:color="000000" w:sz="4" w:space="0"/>
            </w:tcBorders>
            <w:vAlign w:val="center"/>
          </w:tcPr>
          <w:p w14:paraId="1F469555">
            <w:pPr>
              <w:widowControl/>
              <w:spacing w:line="360" w:lineRule="auto"/>
              <w:ind w:left="2"/>
              <w:jc w:val="center"/>
              <w:rPr>
                <w:rFonts w:hint="eastAsia" w:eastAsia="宋体"/>
                <w:color w:val="000000" w:themeColor="text1"/>
                <w:sz w:val="24"/>
                <w:szCs w:val="22"/>
                <w:highlight w:val="none"/>
                <w:lang w:val="en-US" w:eastAsia="zh-CN"/>
                <w14:textFill>
                  <w14:solidFill>
                    <w14:schemeClr w14:val="tx1"/>
                  </w14:solidFill>
                </w14:textFill>
              </w:rPr>
            </w:pPr>
            <w:r>
              <w:rPr>
                <w:rFonts w:hint="eastAsia"/>
                <w:color w:val="000000" w:themeColor="text1"/>
                <w:sz w:val="24"/>
                <w:szCs w:val="22"/>
                <w:highlight w:val="none"/>
                <w:lang w:val="en-US" w:eastAsia="zh-CN"/>
                <w14:textFill>
                  <w14:solidFill>
                    <w14:schemeClr w14:val="tx1"/>
                  </w14:solidFill>
                </w14:textFill>
              </w:rPr>
              <w:t>6</w:t>
            </w:r>
          </w:p>
        </w:tc>
        <w:tc>
          <w:tcPr>
            <w:tcW w:w="2349" w:type="dxa"/>
            <w:tcBorders>
              <w:top w:val="single" w:color="000000" w:sz="4" w:space="0"/>
              <w:left w:val="single" w:color="000000" w:sz="4" w:space="0"/>
              <w:bottom w:val="single" w:color="000000" w:sz="4" w:space="0"/>
              <w:right w:val="single" w:color="000000" w:sz="4" w:space="0"/>
            </w:tcBorders>
            <w:vAlign w:val="center"/>
          </w:tcPr>
          <w:p w14:paraId="408BF460">
            <w:pPr>
              <w:bidi w:val="0"/>
              <w:jc w:val="center"/>
              <w:rPr>
                <w:rFonts w:hint="eastAsia" w:ascii="宋体" w:hAnsi="宋体" w:cs="宋体"/>
                <w:color w:val="000000" w:themeColor="text1"/>
                <w:kern w:val="0"/>
                <w:sz w:val="24"/>
                <w:highlight w:val="none"/>
                <w:lang w:bidi="ar"/>
                <w14:textFill>
                  <w14:solidFill>
                    <w14:schemeClr w14:val="tx1"/>
                  </w14:solidFill>
                </w14:textFill>
              </w:rPr>
            </w:pPr>
          </w:p>
        </w:tc>
        <w:tc>
          <w:tcPr>
            <w:tcW w:w="726" w:type="pct"/>
            <w:tcBorders>
              <w:top w:val="single" w:color="000000" w:sz="4" w:space="0"/>
              <w:left w:val="single" w:color="000000" w:sz="4" w:space="0"/>
              <w:bottom w:val="single" w:color="000000" w:sz="4" w:space="0"/>
              <w:right w:val="single" w:color="000000" w:sz="4" w:space="0"/>
            </w:tcBorders>
            <w:vAlign w:val="center"/>
          </w:tcPr>
          <w:p w14:paraId="77B737CD">
            <w:pPr>
              <w:widowControl/>
              <w:spacing w:line="360" w:lineRule="auto"/>
              <w:ind w:left="2"/>
              <w:jc w:val="left"/>
              <w:rPr>
                <w:rFonts w:hint="default" w:eastAsia="宋体"/>
                <w:color w:val="000000" w:themeColor="text1"/>
                <w:sz w:val="24"/>
                <w:szCs w:val="22"/>
                <w:highlight w:val="none"/>
                <w:lang w:val="en-US" w:eastAsia="zh-CN"/>
                <w14:textFill>
                  <w14:solidFill>
                    <w14:schemeClr w14:val="tx1"/>
                  </w14:solidFill>
                </w14:textFill>
              </w:rPr>
            </w:pPr>
          </w:p>
        </w:tc>
        <w:tc>
          <w:tcPr>
            <w:tcW w:w="618" w:type="pct"/>
            <w:tcBorders>
              <w:top w:val="single" w:color="000000" w:sz="4" w:space="0"/>
              <w:left w:val="single" w:color="000000" w:sz="4" w:space="0"/>
              <w:bottom w:val="single" w:color="000000" w:sz="4" w:space="0"/>
              <w:right w:val="single" w:color="000000" w:sz="4" w:space="0"/>
            </w:tcBorders>
            <w:vAlign w:val="center"/>
          </w:tcPr>
          <w:p w14:paraId="54F350D1">
            <w:pPr>
              <w:widowControl/>
              <w:spacing w:line="360" w:lineRule="auto"/>
              <w:ind w:left="2"/>
              <w:jc w:val="center"/>
              <w:rPr>
                <w:rFonts w:hint="default" w:eastAsia="宋体"/>
                <w:color w:val="000000" w:themeColor="text1"/>
                <w:sz w:val="24"/>
                <w:szCs w:val="22"/>
                <w:highlight w:val="none"/>
                <w:lang w:val="en-US" w:eastAsia="zh-CN"/>
                <w14:textFill>
                  <w14:solidFill>
                    <w14:schemeClr w14:val="tx1"/>
                  </w14:solidFill>
                </w14:textFill>
              </w:rPr>
            </w:pPr>
          </w:p>
        </w:tc>
        <w:tc>
          <w:tcPr>
            <w:tcW w:w="506" w:type="pct"/>
            <w:tcBorders>
              <w:top w:val="single" w:color="000000" w:sz="4" w:space="0"/>
              <w:left w:val="single" w:color="000000" w:sz="4" w:space="0"/>
              <w:bottom w:val="single" w:color="000000" w:sz="4" w:space="0"/>
              <w:right w:val="single" w:color="000000" w:sz="4" w:space="0"/>
            </w:tcBorders>
            <w:vAlign w:val="center"/>
          </w:tcPr>
          <w:p w14:paraId="7DB00786">
            <w:pPr>
              <w:widowControl/>
              <w:spacing w:line="360" w:lineRule="auto"/>
              <w:ind w:left="2"/>
              <w:jc w:val="center"/>
              <w:rPr>
                <w:rFonts w:hint="eastAsia"/>
                <w:color w:val="000000" w:themeColor="text1"/>
                <w:sz w:val="24"/>
                <w:szCs w:val="22"/>
                <w:highlight w:val="none"/>
                <w14:textFill>
                  <w14:solidFill>
                    <w14:schemeClr w14:val="tx1"/>
                  </w14:solidFill>
                </w14:textFill>
              </w:rPr>
            </w:pPr>
          </w:p>
        </w:tc>
        <w:tc>
          <w:tcPr>
            <w:tcW w:w="675" w:type="pct"/>
            <w:tcBorders>
              <w:top w:val="single" w:color="000000" w:sz="4" w:space="0"/>
              <w:left w:val="single" w:color="000000" w:sz="4" w:space="0"/>
              <w:bottom w:val="single" w:color="000000" w:sz="4" w:space="0"/>
              <w:right w:val="single" w:color="000000" w:sz="4" w:space="0"/>
            </w:tcBorders>
            <w:vAlign w:val="center"/>
          </w:tcPr>
          <w:p w14:paraId="72F51AEB">
            <w:pPr>
              <w:widowControl/>
              <w:spacing w:after="5" w:line="249" w:lineRule="auto"/>
              <w:ind w:left="10" w:right="139" w:hanging="10"/>
              <w:jc w:val="right"/>
              <w:textAlignment w:val="center"/>
              <w:rPr>
                <w:rFonts w:hint="eastAsia" w:eastAsia="等线"/>
                <w:color w:val="000000" w:themeColor="text1"/>
                <w:kern w:val="0"/>
                <w:sz w:val="24"/>
                <w:highlight w:val="none"/>
                <w:lang w:bidi="ar"/>
                <w14:textFill>
                  <w14:solidFill>
                    <w14:schemeClr w14:val="tx1"/>
                  </w14:solidFill>
                </w14:textFill>
              </w:rPr>
            </w:pPr>
          </w:p>
        </w:tc>
        <w:tc>
          <w:tcPr>
            <w:tcW w:w="730" w:type="pct"/>
            <w:tcBorders>
              <w:top w:val="single" w:color="000000" w:sz="4" w:space="0"/>
              <w:left w:val="single" w:color="000000" w:sz="4" w:space="0"/>
              <w:bottom w:val="single" w:color="000000" w:sz="4" w:space="0"/>
              <w:right w:val="single" w:color="000000" w:sz="4" w:space="0"/>
            </w:tcBorders>
            <w:vAlign w:val="center"/>
          </w:tcPr>
          <w:p w14:paraId="595C14B7">
            <w:pPr>
              <w:widowControl/>
              <w:spacing w:after="5" w:line="249" w:lineRule="auto"/>
              <w:ind w:left="10" w:right="139" w:hanging="10"/>
              <w:jc w:val="right"/>
              <w:textAlignment w:val="center"/>
              <w:rPr>
                <w:rFonts w:hint="eastAsia" w:eastAsia="等线"/>
                <w:color w:val="000000" w:themeColor="text1"/>
                <w:kern w:val="0"/>
                <w:sz w:val="24"/>
                <w:highlight w:val="none"/>
                <w:lang w:bidi="ar"/>
                <w14:textFill>
                  <w14:solidFill>
                    <w14:schemeClr w14:val="tx1"/>
                  </w14:solidFill>
                </w14:textFill>
              </w:rPr>
            </w:pPr>
          </w:p>
        </w:tc>
        <w:tc>
          <w:tcPr>
            <w:tcW w:w="618" w:type="pct"/>
            <w:tcBorders>
              <w:top w:val="single" w:color="000000" w:sz="4" w:space="0"/>
              <w:left w:val="single" w:color="000000" w:sz="4" w:space="0"/>
              <w:bottom w:val="single" w:color="000000" w:sz="4" w:space="0"/>
              <w:right w:val="single" w:color="000000" w:sz="4" w:space="0"/>
            </w:tcBorders>
            <w:vAlign w:val="center"/>
          </w:tcPr>
          <w:p w14:paraId="767D861C">
            <w:pPr>
              <w:widowControl/>
              <w:spacing w:line="360" w:lineRule="auto"/>
              <w:jc w:val="left"/>
              <w:rPr>
                <w:rFonts w:hint="eastAsia"/>
                <w:color w:val="000000" w:themeColor="text1"/>
                <w:sz w:val="24"/>
                <w:szCs w:val="22"/>
                <w:highlight w:val="none"/>
                <w14:textFill>
                  <w14:solidFill>
                    <w14:schemeClr w14:val="tx1"/>
                  </w14:solidFill>
                </w14:textFill>
              </w:rPr>
            </w:pPr>
          </w:p>
        </w:tc>
      </w:tr>
    </w:tbl>
    <w:p w14:paraId="563C5576">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楷体_GB2312">
    <w:altName w:val="楷体"/>
    <w:panose1 w:val="02010609030101010101"/>
    <w:charset w:val="00"/>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F746E1"/>
    <w:multiLevelType w:val="singleLevel"/>
    <w:tmpl w:val="92F746E1"/>
    <w:lvl w:ilvl="0" w:tentative="0">
      <w:start w:val="1"/>
      <w:numFmt w:val="decimal"/>
      <w:suff w:val="nothing"/>
      <w:lvlText w:val="%1．"/>
      <w:lvlJc w:val="left"/>
    </w:lvl>
  </w:abstractNum>
  <w:abstractNum w:abstractNumId="1">
    <w:nsid w:val="B45A34F4"/>
    <w:multiLevelType w:val="singleLevel"/>
    <w:tmpl w:val="B45A34F4"/>
    <w:lvl w:ilvl="0" w:tentative="0">
      <w:start w:val="1"/>
      <w:numFmt w:val="decimal"/>
      <w:suff w:val="nothing"/>
      <w:lvlText w:val="%1．"/>
      <w:lvlJc w:val="left"/>
    </w:lvl>
  </w:abstractNum>
  <w:abstractNum w:abstractNumId="2">
    <w:nsid w:val="F0BC7F7D"/>
    <w:multiLevelType w:val="singleLevel"/>
    <w:tmpl w:val="F0BC7F7D"/>
    <w:lvl w:ilvl="0" w:tentative="0">
      <w:start w:val="1"/>
      <w:numFmt w:val="decimal"/>
      <w:suff w:val="nothing"/>
      <w:lvlText w:val="%1．"/>
      <w:lvlJc w:val="left"/>
    </w:lvl>
  </w:abstractNum>
  <w:abstractNum w:abstractNumId="3">
    <w:nsid w:val="FF6DAE0E"/>
    <w:multiLevelType w:val="singleLevel"/>
    <w:tmpl w:val="FF6DAE0E"/>
    <w:lvl w:ilvl="0" w:tentative="0">
      <w:start w:val="1"/>
      <w:numFmt w:val="decimal"/>
      <w:suff w:val="nothing"/>
      <w:lvlText w:val="%1．"/>
      <w:lvlJc w:val="left"/>
    </w:lvl>
  </w:abstractNum>
  <w:abstractNum w:abstractNumId="4">
    <w:nsid w:val="33643768"/>
    <w:multiLevelType w:val="multilevel"/>
    <w:tmpl w:val="33643768"/>
    <w:lvl w:ilvl="0" w:tentative="0">
      <w:start w:val="1"/>
      <w:numFmt w:val="decimal"/>
      <w:suff w:val="nothing"/>
      <w:lvlText w:val="%1、"/>
      <w:lvlJc w:val="left"/>
      <w:pPr>
        <w:ind w:left="0" w:leftChars="0" w:firstLine="0" w:firstLineChars="0"/>
      </w:pPr>
      <w:rPr>
        <w:rFonts w:hint="default"/>
      </w:rPr>
    </w:lvl>
    <w:lvl w:ilvl="1" w:tentative="0">
      <w:start w:val="1"/>
      <w:numFmt w:val="decimal"/>
      <w:pStyle w:val="2"/>
      <w:suff w:val="nothing"/>
      <w:lvlText w:val="%1.%2、"/>
      <w:lvlJc w:val="left"/>
      <w:pPr>
        <w:ind w:left="0" w:leftChars="0" w:firstLine="0" w:firstLineChars="0"/>
      </w:pPr>
      <w:rPr>
        <w:rFonts w:hint="default"/>
      </w:rPr>
    </w:lvl>
    <w:lvl w:ilvl="2" w:tentative="0">
      <w:start w:val="1"/>
      <w:numFmt w:val="decimal"/>
      <w:suff w:val="nothing"/>
      <w:lvlText w:val="%1.%2.%3、"/>
      <w:lvlJc w:val="left"/>
      <w:pPr>
        <w:ind w:left="0" w:leftChars="0" w:firstLine="0" w:firstLineChars="0"/>
      </w:pPr>
      <w:rPr>
        <w:rFonts w:hint="default"/>
      </w:rPr>
    </w:lvl>
    <w:lvl w:ilvl="3" w:tentative="0">
      <w:start w:val="1"/>
      <w:numFmt w:val="decimal"/>
      <w:suff w:val="nothing"/>
      <w:lvlText w:val="%1.%2.%3.%4、"/>
      <w:lvlJc w:val="left"/>
      <w:pPr>
        <w:ind w:left="0" w:leftChars="0" w:firstLine="0" w:firstLineChars="0"/>
      </w:pPr>
      <w:rPr>
        <w:rFonts w:hint="default"/>
      </w:rPr>
    </w:lvl>
    <w:lvl w:ilvl="4" w:tentative="0">
      <w:start w:val="1"/>
      <w:numFmt w:val="decimal"/>
      <w:suff w:val="nothing"/>
      <w:lvlText w:val="%1.%2.%3.%4.%5、"/>
      <w:lvlJc w:val="left"/>
      <w:pPr>
        <w:ind w:left="0" w:leftChars="0" w:firstLine="0" w:firstLineChars="0"/>
      </w:pPr>
      <w:rPr>
        <w:rFonts w:hint="default"/>
      </w:rPr>
    </w:lvl>
    <w:lvl w:ilvl="5" w:tentative="0">
      <w:start w:val="1"/>
      <w:numFmt w:val="decimal"/>
      <w:suff w:val="nothing"/>
      <w:lvlText w:val="%1.%2.%3.%4.%5.%6、"/>
      <w:lvlJc w:val="left"/>
      <w:pPr>
        <w:ind w:left="0" w:leftChars="0" w:firstLine="0" w:firstLineChars="0"/>
      </w:pPr>
      <w:rPr>
        <w:rFonts w:hint="default"/>
      </w:rPr>
    </w:lvl>
    <w:lvl w:ilvl="6" w:tentative="0">
      <w:start w:val="1"/>
      <w:numFmt w:val="decimal"/>
      <w:suff w:val="nothing"/>
      <w:lvlText w:val="%1.%2.%3.%4.%5.%6.%7、"/>
      <w:lvlJc w:val="left"/>
      <w:pPr>
        <w:ind w:left="0" w:leftChars="0" w:firstLine="0" w:firstLineChars="0"/>
      </w:pPr>
      <w:rPr>
        <w:rFonts w:hint="default"/>
      </w:rPr>
    </w:lvl>
    <w:lvl w:ilvl="7" w:tentative="0">
      <w:start w:val="1"/>
      <w:numFmt w:val="decimal"/>
      <w:suff w:val="nothing"/>
      <w:lvlText w:val="%1.%2.%3.%4.%5.%6.%7.%8、"/>
      <w:lvlJc w:val="left"/>
      <w:pPr>
        <w:ind w:left="0" w:leftChars="0" w:firstLine="0" w:firstLineChars="0"/>
      </w:pPr>
      <w:rPr>
        <w:rFonts w:hint="default"/>
      </w:rPr>
    </w:lvl>
    <w:lvl w:ilvl="8" w:tentative="0">
      <w:start w:val="1"/>
      <w:numFmt w:val="decimal"/>
      <w:suff w:val="nothing"/>
      <w:lvlText w:val="%1.%2.%3.%4.%5.%6.%7.%8.%9、"/>
      <w:lvlJc w:val="left"/>
      <w:pPr>
        <w:ind w:left="0" w:leftChars="0" w:firstLine="0" w:firstLineChars="0"/>
      </w:pPr>
      <w:rPr>
        <w:rFonts w:hint="default"/>
      </w:rPr>
    </w:lvl>
  </w:abstractNum>
  <w:abstractNum w:abstractNumId="5">
    <w:nsid w:val="442DB4CD"/>
    <w:multiLevelType w:val="singleLevel"/>
    <w:tmpl w:val="442DB4CD"/>
    <w:lvl w:ilvl="0" w:tentative="0">
      <w:start w:val="1"/>
      <w:numFmt w:val="decimal"/>
      <w:suff w:val="nothing"/>
      <w:lvlText w:val="%1．"/>
      <w:lvlJc w:val="left"/>
    </w:lvl>
  </w:abstractNum>
  <w:abstractNum w:abstractNumId="6">
    <w:nsid w:val="4CDBDB7F"/>
    <w:multiLevelType w:val="singleLevel"/>
    <w:tmpl w:val="4CDBDB7F"/>
    <w:lvl w:ilvl="0" w:tentative="0">
      <w:start w:val="2"/>
      <w:numFmt w:val="decimal"/>
      <w:suff w:val="nothing"/>
      <w:lvlText w:val="（%1）"/>
      <w:lvlJc w:val="left"/>
    </w:lvl>
  </w:abstractNum>
  <w:abstractNum w:abstractNumId="7">
    <w:nsid w:val="53F2CD13"/>
    <w:multiLevelType w:val="singleLevel"/>
    <w:tmpl w:val="53F2CD13"/>
    <w:lvl w:ilvl="0" w:tentative="0">
      <w:start w:val="1"/>
      <w:numFmt w:val="chineseCounting"/>
      <w:suff w:val="nothing"/>
      <w:lvlText w:val="%1、"/>
      <w:lvlJc w:val="left"/>
    </w:lvl>
  </w:abstractNum>
  <w:abstractNum w:abstractNumId="8">
    <w:nsid w:val="6CC9287D"/>
    <w:multiLevelType w:val="multilevel"/>
    <w:tmpl w:val="6CC9287D"/>
    <w:lvl w:ilvl="0" w:tentative="0">
      <w:start w:val="1"/>
      <w:numFmt w:val="japaneseCounting"/>
      <w:lvlText w:val="第%1条"/>
      <w:lvlJc w:val="left"/>
      <w:pPr>
        <w:ind w:left="984" w:hanging="984"/>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7788AE09"/>
    <w:multiLevelType w:val="singleLevel"/>
    <w:tmpl w:val="7788AE09"/>
    <w:lvl w:ilvl="0" w:tentative="0">
      <w:start w:val="1"/>
      <w:numFmt w:val="decimal"/>
      <w:suff w:val="nothing"/>
      <w:lvlText w:val="（%1）"/>
      <w:lvlJc w:val="left"/>
    </w:lvl>
  </w:abstractNum>
  <w:num w:numId="1">
    <w:abstractNumId w:val="4"/>
  </w:num>
  <w:num w:numId="2">
    <w:abstractNumId w:val="7"/>
  </w:num>
  <w:num w:numId="3">
    <w:abstractNumId w:val="6"/>
  </w:num>
  <w:num w:numId="4">
    <w:abstractNumId w:val="8"/>
  </w:num>
  <w:num w:numId="5">
    <w:abstractNumId w:val="0"/>
  </w:num>
  <w:num w:numId="6">
    <w:abstractNumId w:val="9"/>
  </w:num>
  <w:num w:numId="7">
    <w:abstractNumId w:val="2"/>
  </w:num>
  <w:num w:numId="8">
    <w:abstractNumId w:val="3"/>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DE4BA5"/>
    <w:rsid w:val="0A012C63"/>
    <w:rsid w:val="0E231F8A"/>
    <w:rsid w:val="249A6FB4"/>
    <w:rsid w:val="2EDE4BA5"/>
    <w:rsid w:val="33023C31"/>
    <w:rsid w:val="387C4A55"/>
    <w:rsid w:val="3B9C3360"/>
    <w:rsid w:val="401B4669"/>
    <w:rsid w:val="575D2EF1"/>
    <w:rsid w:val="6F686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imes New Roman"/>
      <w:kern w:val="2"/>
      <w:sz w:val="32"/>
      <w:szCs w:val="24"/>
      <w:lang w:val="en-US" w:eastAsia="zh-CN" w:bidi="ar-SA"/>
    </w:rPr>
  </w:style>
  <w:style w:type="paragraph" w:styleId="2">
    <w:name w:val="heading 3"/>
    <w:basedOn w:val="1"/>
    <w:next w:val="1"/>
    <w:unhideWhenUsed/>
    <w:qFormat/>
    <w:uiPriority w:val="0"/>
    <w:pPr>
      <w:keepNext/>
      <w:keepLines/>
      <w:numPr>
        <w:ilvl w:val="1"/>
        <w:numId w:val="1"/>
      </w:numPr>
      <w:adjustRightInd w:val="0"/>
      <w:snapToGrid w:val="0"/>
      <w:spacing w:line="413" w:lineRule="auto"/>
      <w:jc w:val="center"/>
      <w:outlineLvl w:val="2"/>
    </w:pPr>
    <w:rPr>
      <w:rFonts w:ascii="宋体" w:hAnsi="宋体" w:eastAsia="宋体" w:cs="宋体"/>
      <w:b/>
      <w:kern w:val="2"/>
      <w:sz w:val="30"/>
      <w:szCs w:val="30"/>
      <w:lang w:val="zh-CN" w:bidi="zh-CN"/>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before="60" w:beforeLines="0"/>
      <w:ind w:firstLine="420" w:firstLineChars="200"/>
    </w:pPr>
  </w:style>
  <w:style w:type="paragraph" w:styleId="4">
    <w:name w:val="Body Text"/>
    <w:basedOn w:val="1"/>
    <w:next w:val="1"/>
    <w:qFormat/>
    <w:uiPriority w:val="1"/>
    <w:pPr>
      <w:widowControl/>
      <w:spacing w:after="120"/>
      <w:jc w:val="left"/>
    </w:pPr>
    <w:rPr>
      <w:rFonts w:ascii="Times New Roman"/>
      <w:sz w:val="20"/>
      <w:lang w:val="zh-CN"/>
    </w:rPr>
  </w:style>
  <w:style w:type="paragraph" w:styleId="5">
    <w:name w:val="Body Text Indent"/>
    <w:basedOn w:val="1"/>
    <w:qFormat/>
    <w:uiPriority w:val="0"/>
    <w:pPr>
      <w:spacing w:after="120"/>
      <w:ind w:left="420" w:leftChars="200"/>
    </w:pPr>
    <w:rPr>
      <w:rFonts w:ascii="Times New Roman"/>
      <w:sz w:val="20"/>
      <w:lang w:val="zh-CN"/>
    </w:rPr>
  </w:style>
  <w:style w:type="paragraph" w:styleId="6">
    <w:name w:val="Body Text First Indent 2"/>
    <w:basedOn w:val="5"/>
    <w:next w:val="4"/>
    <w:qFormat/>
    <w:uiPriority w:val="0"/>
    <w:pPr>
      <w:ind w:firstLine="420" w:firstLineChars="200"/>
    </w:pPr>
    <w:rPr>
      <w:rFonts w:ascii="Arial" w:hAnsi="Arial"/>
      <w:b/>
      <w:sz w:val="2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正文"/>
    <w:basedOn w:val="1"/>
    <w:qFormat/>
    <w:uiPriority w:val="0"/>
    <w:pPr>
      <w:ind w:left="928" w:right="210" w:rightChars="100" w:hanging="360"/>
    </w:pPr>
    <w:rPr>
      <w:rFonts w:hAnsi="宋体"/>
      <w:b/>
      <w:sz w:val="21"/>
      <w:szCs w:val="21"/>
    </w:rPr>
  </w:style>
  <w:style w:type="paragraph" w:customStyle="1" w:styleId="11">
    <w:name w:val="l正文"/>
    <w:basedOn w:val="1"/>
    <w:qFormat/>
    <w:uiPriority w:val="0"/>
    <w:pPr>
      <w:spacing w:line="300" w:lineRule="auto"/>
      <w:ind w:firstLine="200" w:firstLineChars="200"/>
      <w:jc w:val="left"/>
    </w:pPr>
    <w:rPr>
      <w:rFonts w:ascii="楷体_GB2312" w:hAnsi="Times" w:eastAsia="楷体_GB2312" w:cs="等线"/>
      <w:sz w:val="24"/>
      <w:szCs w:val="24"/>
    </w:rPr>
  </w:style>
  <w:style w:type="paragraph" w:customStyle="1" w:styleId="12">
    <w:name w:val="首行缩进"/>
    <w:basedOn w:val="1"/>
    <w:qFormat/>
    <w:uiPriority w:val="0"/>
    <w:pPr>
      <w:spacing w:line="360" w:lineRule="auto"/>
      <w:ind w:firstLine="200" w:firstLineChars="200"/>
    </w:pPr>
    <w:rPr>
      <w:sz w:val="24"/>
    </w:rPr>
  </w:style>
  <w:style w:type="paragraph" w:customStyle="1" w:styleId="13">
    <w:name w:val="表格文字"/>
    <w:basedOn w:val="1"/>
    <w:qFormat/>
    <w:uiPriority w:val="0"/>
    <w:pPr>
      <w:spacing w:before="25" w:after="25"/>
      <w:jc w:val="left"/>
    </w:pPr>
    <w:rPr>
      <w:bCs/>
      <w:spacing w:val="10"/>
      <w:kern w:val="0"/>
      <w:sz w:val="24"/>
      <w:szCs w:val="20"/>
    </w:rPr>
  </w:style>
  <w:style w:type="table" w:customStyle="1" w:styleId="14">
    <w:name w:val="TableGri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70</Pages>
  <Words>20836</Words>
  <Characters>21557</Characters>
  <Lines>0</Lines>
  <Paragraphs>0</Paragraphs>
  <TotalTime>2</TotalTime>
  <ScaleCrop>false</ScaleCrop>
  <LinksUpToDate>false</LinksUpToDate>
  <CharactersWithSpaces>22893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2025-03-17T01:31:00Z</dcterms:created>
  <dc:creator>菲</dc:creator>
  <cp:lastModifiedBy>菲</cp:lastModifiedBy>
  <dcterms:modified xsi:type="dcterms:W3CDTF">2025-03-27T07:43:50Z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2FB17339EE3D44DD9E1968B9E683196F_13</vt:lpwstr>
  </property>
  <property fmtid="{D5CDD505-2E9C-101B-9397-08002B2CF9AE}" pid="4" name="KSOTemplateDocerSaveRecord">
    <vt:lpwstr>eyJoZGlkIjoiZGEyNzY0ZmI0Y2JhNWZlZTZlNjg3OWIxZTNmODI5ZTMiLCJ1c2VySWQiOiI1ODQwNDQwMjQifQ==</vt:lpwstr>
  </property>
</Properties>
</file>