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2024年超长期特别国债“以旧换新”项目医疗设备集中采购（十三）</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[GXTC-C]20250400003[GK]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国信招标集团股份有限公司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2024年超长期特别国债“以旧换新”项目医疗设备集中采购（十三）</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[GXTC-C]20250400003[GK]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2024年超长期特别国债“以旧换新”项目医疗设备集中采购（十三）</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2,800,000.00元</w:t>
      </w:r>
      <w:r>
        <w:rPr>
          <w:rFonts w:ascii="仿宋_GB2312" w:hAnsi="仿宋_GB2312" w:cs="仿宋_GB2312" w:eastAsia="仿宋_GB2312"/>
        </w:rPr>
        <w:t>贰佰捌拾万元整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2、本项目采购信息指定发布媒体为中国政府采购网（网址www.ccgp.gov.cn）、海南省政府采购网(网址https://ccgp- hainan.gov.cn/maincms-web/) 。关于本项目采购文件的补遗、澄清及变更信息以上述网站公告为准，代理机构不再另行通知，采购文件与更正公告的内容相互矛盾时，以最后发出的更正公告内容为准。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 及其他文件； 4、注意事项： 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国信招标集团股份有限公司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海口市金贸西路8号诚田国际商务大厦5楼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李凤荣、何英英、罗玉妹、陈佳佳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采购包1：900,000.00元</w:t>
            </w:r>
          </w:p>
          <w:p>
            <w:pPr>
              <w:pStyle w:val="null3"/>
              <w:jc w:val="left"/>
            </w:pPr>
            <w:r>
              <w:rPr>
                <w:rFonts w:ascii="仿宋_GB2312" w:hAnsi="仿宋_GB2312" w:cs="仿宋_GB2312" w:eastAsia="仿宋_GB2312"/>
              </w:rPr>
              <w:t>采购包2：950,000.00元</w:t>
            </w:r>
          </w:p>
          <w:p>
            <w:pPr>
              <w:pStyle w:val="null3"/>
              <w:jc w:val="left"/>
            </w:pPr>
            <w:r>
              <w:rPr>
                <w:rFonts w:ascii="仿宋_GB2312" w:hAnsi="仿宋_GB2312" w:cs="仿宋_GB2312" w:eastAsia="仿宋_GB2312"/>
              </w:rPr>
              <w:t>采购包3：540,000.00元</w:t>
            </w:r>
          </w:p>
          <w:p>
            <w:pPr>
              <w:pStyle w:val="null3"/>
              <w:jc w:val="left"/>
            </w:pPr>
            <w:r>
              <w:rPr>
                <w:rFonts w:ascii="仿宋_GB2312" w:hAnsi="仿宋_GB2312" w:cs="仿宋_GB2312" w:eastAsia="仿宋_GB2312"/>
              </w:rPr>
              <w:t>采购包4：280,000.00元</w:t>
            </w:r>
          </w:p>
          <w:p>
            <w:pPr>
              <w:pStyle w:val="null3"/>
              <w:jc w:val="left"/>
            </w:pPr>
            <w:r>
              <w:rPr>
                <w:rFonts w:ascii="仿宋_GB2312" w:hAnsi="仿宋_GB2312" w:cs="仿宋_GB2312" w:eastAsia="仿宋_GB2312"/>
              </w:rPr>
              <w:t>采购包5：130,000.00元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设备到货、安装调试以及培训结束，验收合格后，乙方向丙方提交设备使用说明书、维修手册、合格证、保修单、安装验收报告和正规的全额税务发票等全部材料，并通过正式验收合格后，乙方向甲方或丙方提交合同总价款 5%的银行保函原件（期限为设备验收合格之日起一年）。2、设备验收合格之日起一年后，经确认乙方所提供设备无任何产品质量、售后问题，退还乙方合同总价款 5%的银行保函原件。</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设备到货、安装调试以及培训结束，验收合格后，乙方向丙方提交设备使用说明书、维修手册、合格证、保修单、安装验收报告和正规的全额税务发票等全部材料，并通过正式验收合格后，乙方向甲方或丙方提交合同总价款 5%的银行保函原件（期限为设备验收合格之日起一年）。2、设备验收合格之日起一年后，经确认乙方所提供设备无任何产品质量、售后问题，退还乙方合同总价款 5%的银行保函原件。</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设备到货、安装调试以及培训结束，验收合格后，乙方向丙方提交设备使用说明书、维修手册、合格证、保修单、安装验收报告和正规的全额税务发票等全部材料，并通过正式验收合格后，乙方向甲方或丙方提交合同总价款 5%的银行保函原件（期限为设备验收合格之日起一年）。2、设备验收合格之日起一年后，经确认乙方所提供设备无任何产品质量、售后问题，退还乙方合同总价款 5%的银行保函原件。</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设备到货、安装调试以及培训结束，验收合格后，乙方向丙方提交设备使用说明书、维修手册、合格证、保修单、安装验收报告和正规的全额税务发票等全部材料，并通过正式验收合格后，乙方向甲方或丙方提交合同总价款 5%的银行保函原件（期限为设备验收合格之日起一年）。2、设备验收合格之日起一年后，经确认乙方所提供设备无任何产品质量、售后问题，退还乙方合同总价款 5%的银行保函原件。</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设备到货、安装调试以及培训结束，验收合格后，乙方向丙方提交设备使用说明书、维修手册、合格证、保修单、安装验收报告和正规的全额税务发票等全部材料，并通过正式验收合格后，乙方向甲方或丙方提交合同总价款 5%的银行保函原件（期限为设备验收合格之日起一年）。2、设备验收合格之日起一年后，经确认乙方所提供设备无任何产品质量、售后问题，退还乙方合同总价款 5%的银行保函原件。</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代理服务费收费标准：按照《海南省物价局关于降低部分招标代理机构服务收费标准的通知》（琼价费管【2011】225号）文件规定的货物类收费标准，以中标金额为计算基数，向中标人收取。 缴纳方式：本项目的招标代理服务费向中标人收取。 中标人在收到中标服务费缴费通知后5个工作日内向招标代理机构一次性支付招标服务费。 账户名称：国信招标集团股份有限公司 开户银行：中信银行北京首体南路支行 账号：8110 7010 1320 1540 086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 部门将其列入不良企业名单的权利，若给采购人造成损失的，应给予赔偿，若其为中标单位，将取消其中标资格。 2、本项目不允许联合体，招标文件中涉及到联合体的条款均不执行。 3、投标人自行踏勘，凡参加投标的投标人都将视其为对现场情况已充分了解。 4、投标报价不得高于预算价或最高限价（高于预算价或最高限价则按废标处理）。 5、中小企业声明： （1）参加政府采购活动中，如果投标人提供的货物由中小企业制造，提供制造商中小企业声明函，如果制造商委托受托人实际生产或制造，以受托人提供的中小企业声明函为准，满足条件享受《政府采购促进中小企业发展管理办法》规定的中小企业扶持政策。 （2）经查询，如果投标人未如实提供生产或制造商信息，视为弄虚作假，投标无效。 （3）参加政府采购活动的中小企业提供《中小企业声明函》，未提供的，视为放弃享受小微企业价格扣除优惠政策。 6、本项目资格要求中特定资格要求所要求提供投标货物的证书，是指投标文件格式的 分项报价表中产品名称的证书。 7、为了保障资金安全，投标人须提供资金安全保障承诺（详见第六章投标文件格式要求）。 8、评标委员会由1名采购人代表和4名评标专家组成。 9、资格审查主体：采购人和采购代理机构。 10、合同以附件合同文本为准。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联系人：李凤荣、何英英</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地址：海口市龙华区金贸西路诚田国际商务大厦5楼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1、项目名称：2024年超长期特别国债“以旧换新”项目医疗设备集中采购（十三）</w:t>
      </w:r>
    </w:p>
    <w:p>
      <w:pPr>
        <w:pStyle w:val="null3"/>
        <w:jc w:val="both"/>
      </w:pPr>
      <w:r>
        <w:rPr>
          <w:rFonts w:ascii="仿宋_GB2312" w:hAnsi="仿宋_GB2312" w:cs="仿宋_GB2312" w:eastAsia="仿宋_GB2312"/>
          <w:sz w:val="24"/>
        </w:rPr>
        <w:t>2、采购预算（最高限价）：280万元</w:t>
      </w:r>
    </w:p>
    <w:p>
      <w:pPr>
        <w:pStyle w:val="null3"/>
        <w:jc w:val="both"/>
      </w:pPr>
      <w:r>
        <w:rPr>
          <w:rFonts w:ascii="仿宋_GB2312" w:hAnsi="仿宋_GB2312" w:cs="仿宋_GB2312" w:eastAsia="仿宋_GB2312"/>
          <w:sz w:val="24"/>
        </w:rPr>
        <w:t>注：超出采购预算金额（最高</w:t>
      </w:r>
      <w:r>
        <w:rPr>
          <w:rFonts w:ascii="仿宋_GB2312" w:hAnsi="仿宋_GB2312" w:cs="仿宋_GB2312" w:eastAsia="仿宋_GB2312"/>
          <w:sz w:val="24"/>
        </w:rPr>
        <w:t>总</w:t>
      </w:r>
      <w:r>
        <w:rPr>
          <w:rFonts w:ascii="仿宋_GB2312" w:hAnsi="仿宋_GB2312" w:cs="仿宋_GB2312" w:eastAsia="仿宋_GB2312"/>
          <w:sz w:val="24"/>
        </w:rPr>
        <w:t>限价</w:t>
      </w:r>
      <w:r>
        <w:rPr>
          <w:rFonts w:ascii="仿宋_GB2312" w:hAnsi="仿宋_GB2312" w:cs="仿宋_GB2312" w:eastAsia="仿宋_GB2312"/>
          <w:sz w:val="24"/>
        </w:rPr>
        <w:t>、单价限价</w:t>
      </w:r>
      <w:r>
        <w:rPr>
          <w:rFonts w:ascii="仿宋_GB2312" w:hAnsi="仿宋_GB2312" w:cs="仿宋_GB2312" w:eastAsia="仿宋_GB2312"/>
          <w:sz w:val="24"/>
        </w:rPr>
        <w:t>）的报价，按无效投标处理。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16"/>
        <w:gridCol w:w="1260"/>
        <w:gridCol w:w="1204"/>
        <w:gridCol w:w="3067"/>
        <w:gridCol w:w="1302"/>
        <w:gridCol w:w="826"/>
      </w:tblGrid>
      <w:tr>
        <w:tc>
          <w:tcPr>
            <w:tcW w:type="dxa" w:w="61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标包</w:t>
            </w:r>
          </w:p>
        </w:tc>
        <w:tc>
          <w:tcPr>
            <w:tcW w:type="dxa" w:w="126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标的名称</w:t>
            </w:r>
          </w:p>
        </w:tc>
        <w:tc>
          <w:tcPr>
            <w:tcW w:type="dxa" w:w="120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最高限价</w:t>
            </w:r>
          </w:p>
        </w:tc>
        <w:tc>
          <w:tcPr>
            <w:tcW w:type="dxa" w:w="30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数量</w:t>
            </w:r>
          </w:p>
        </w:tc>
        <w:tc>
          <w:tcPr>
            <w:tcW w:type="dxa" w:w="130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单价限价</w:t>
            </w:r>
          </w:p>
        </w:tc>
        <w:tc>
          <w:tcPr>
            <w:tcW w:type="dxa" w:w="82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是否接受进口</w:t>
            </w:r>
          </w:p>
        </w:tc>
      </w:tr>
      <w:tr>
        <w:tc>
          <w:tcPr>
            <w:tcW w:type="dxa" w:w="6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12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心电图机一</w:t>
            </w:r>
          </w:p>
        </w:tc>
        <w:tc>
          <w:tcPr>
            <w:tcW w:type="dxa" w:w="12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90万元</w:t>
            </w:r>
          </w:p>
        </w:tc>
        <w:tc>
          <w:tcPr>
            <w:tcW w:type="dxa" w:w="30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9台（套）</w:t>
            </w:r>
          </w:p>
        </w:tc>
        <w:tc>
          <w:tcPr>
            <w:tcW w:type="dxa" w:w="13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10万元</w:t>
            </w:r>
          </w:p>
        </w:tc>
        <w:tc>
          <w:tcPr>
            <w:tcW w:type="dxa" w:w="8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否</w:t>
            </w:r>
          </w:p>
        </w:tc>
      </w:tr>
      <w:tr>
        <w:tc>
          <w:tcPr>
            <w:tcW w:type="dxa" w:w="6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12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心电图机二</w:t>
            </w:r>
          </w:p>
        </w:tc>
        <w:tc>
          <w:tcPr>
            <w:tcW w:type="dxa" w:w="12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95万元</w:t>
            </w:r>
          </w:p>
        </w:tc>
        <w:tc>
          <w:tcPr>
            <w:tcW w:type="dxa" w:w="30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19台（套）</w:t>
            </w:r>
          </w:p>
        </w:tc>
        <w:tc>
          <w:tcPr>
            <w:tcW w:type="dxa" w:w="13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5万元</w:t>
            </w:r>
          </w:p>
        </w:tc>
        <w:tc>
          <w:tcPr>
            <w:tcW w:type="dxa" w:w="8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否</w:t>
            </w:r>
          </w:p>
        </w:tc>
      </w:tr>
      <w:tr>
        <w:tc>
          <w:tcPr>
            <w:tcW w:type="dxa" w:w="6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w:t>
            </w:r>
          </w:p>
        </w:tc>
        <w:tc>
          <w:tcPr>
            <w:tcW w:type="dxa" w:w="12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心电图机三</w:t>
            </w:r>
          </w:p>
        </w:tc>
        <w:tc>
          <w:tcPr>
            <w:tcW w:type="dxa" w:w="12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54万元</w:t>
            </w:r>
          </w:p>
        </w:tc>
        <w:tc>
          <w:tcPr>
            <w:tcW w:type="dxa" w:w="30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18台（套）</w:t>
            </w:r>
          </w:p>
        </w:tc>
        <w:tc>
          <w:tcPr>
            <w:tcW w:type="dxa" w:w="13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3万元</w:t>
            </w:r>
          </w:p>
        </w:tc>
        <w:tc>
          <w:tcPr>
            <w:tcW w:type="dxa" w:w="8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否</w:t>
            </w:r>
          </w:p>
        </w:tc>
      </w:tr>
      <w:tr>
        <w:tc>
          <w:tcPr>
            <w:tcW w:type="dxa" w:w="61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w:t>
            </w:r>
          </w:p>
        </w:tc>
        <w:tc>
          <w:tcPr>
            <w:tcW w:type="dxa" w:w="126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心电图机四</w:t>
            </w:r>
          </w:p>
        </w:tc>
        <w:tc>
          <w:tcPr>
            <w:tcW w:type="dxa" w:w="120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28万元</w:t>
            </w:r>
          </w:p>
        </w:tc>
        <w:tc>
          <w:tcPr>
            <w:tcW w:type="dxa" w:w="30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心电图机四（</w:t>
            </w:r>
            <w:r>
              <w:rPr>
                <w:rFonts w:ascii="仿宋_GB2312" w:hAnsi="仿宋_GB2312" w:cs="仿宋_GB2312" w:eastAsia="仿宋_GB2312"/>
                <w:sz w:val="22"/>
                <w:color w:val="000000"/>
              </w:rPr>
              <w:t>1）：13台（套）</w:t>
            </w:r>
          </w:p>
        </w:tc>
        <w:tc>
          <w:tcPr>
            <w:tcW w:type="dxa" w:w="13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2万元</w:t>
            </w:r>
          </w:p>
        </w:tc>
        <w:tc>
          <w:tcPr>
            <w:tcW w:type="dxa" w:w="82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否</w:t>
            </w:r>
          </w:p>
        </w:tc>
      </w:tr>
      <w:tr>
        <w:tc>
          <w:tcPr>
            <w:tcW w:type="dxa" w:w="616"/>
            <w:vMerge/>
            <w:tcBorders>
              <w:top w:val="none" w:color="000000" w:sz="4"/>
              <w:left w:val="single" w:color="000000" w:sz="4"/>
              <w:bottom w:val="single" w:color="000000" w:sz="4"/>
              <w:right w:val="single" w:color="000000" w:sz="4"/>
            </w:tcBorders>
          </w:tcPr>
          <w:p/>
        </w:tc>
        <w:tc>
          <w:tcPr>
            <w:tcW w:type="dxa" w:w="1260"/>
            <w:vMerge/>
            <w:tcBorders>
              <w:top w:val="none" w:color="000000" w:sz="4"/>
              <w:left w:val="single" w:color="000000" w:sz="4"/>
              <w:bottom w:val="single" w:color="000000" w:sz="4"/>
              <w:right w:val="single" w:color="000000" w:sz="4"/>
            </w:tcBorders>
          </w:tcPr>
          <w:p/>
        </w:tc>
        <w:tc>
          <w:tcPr>
            <w:tcW w:type="dxa" w:w="1204"/>
            <w:vMerge/>
            <w:tcBorders>
              <w:top w:val="none" w:color="000000" w:sz="4"/>
              <w:left w:val="single" w:color="000000" w:sz="4"/>
              <w:bottom w:val="single" w:color="000000" w:sz="4"/>
              <w:right w:val="single" w:color="000000" w:sz="4"/>
            </w:tcBorders>
          </w:tcPr>
          <w:p/>
        </w:tc>
        <w:tc>
          <w:tcPr>
            <w:tcW w:type="dxa" w:w="30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心电图机四（</w:t>
            </w:r>
            <w:r>
              <w:rPr>
                <w:rFonts w:ascii="仿宋_GB2312" w:hAnsi="仿宋_GB2312" w:cs="仿宋_GB2312" w:eastAsia="仿宋_GB2312"/>
                <w:sz w:val="22"/>
                <w:color w:val="000000"/>
              </w:rPr>
              <w:t>2）:4台（套）</w:t>
            </w:r>
          </w:p>
        </w:tc>
        <w:tc>
          <w:tcPr>
            <w:tcW w:type="dxa" w:w="13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0.5万元</w:t>
            </w:r>
          </w:p>
        </w:tc>
        <w:tc>
          <w:tcPr>
            <w:tcW w:type="dxa" w:w="826"/>
            <w:vMerge/>
            <w:tcBorders>
              <w:top w:val="none" w:color="000000" w:sz="4"/>
              <w:left w:val="single" w:color="000000" w:sz="4"/>
              <w:bottom w:val="single" w:color="000000" w:sz="4"/>
              <w:right w:val="single" w:color="000000" w:sz="4"/>
            </w:tcBorders>
          </w:tcPr>
          <w:p/>
        </w:tc>
      </w:tr>
      <w:tr>
        <w:tc>
          <w:tcPr>
            <w:tcW w:type="dxa" w:w="61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w:t>
            </w:r>
          </w:p>
        </w:tc>
        <w:tc>
          <w:tcPr>
            <w:tcW w:type="dxa" w:w="126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心电图机五</w:t>
            </w:r>
          </w:p>
        </w:tc>
        <w:tc>
          <w:tcPr>
            <w:tcW w:type="dxa" w:w="120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13万元</w:t>
            </w:r>
          </w:p>
        </w:tc>
        <w:tc>
          <w:tcPr>
            <w:tcW w:type="dxa" w:w="30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心电图机五</w:t>
            </w:r>
            <w:r>
              <w:rPr>
                <w:rFonts w:ascii="仿宋_GB2312" w:hAnsi="仿宋_GB2312" w:cs="仿宋_GB2312" w:eastAsia="仿宋_GB2312"/>
                <w:sz w:val="22"/>
                <w:color w:val="000000"/>
              </w:rPr>
              <w:t>(1)：1台（套）</w:t>
            </w:r>
          </w:p>
        </w:tc>
        <w:tc>
          <w:tcPr>
            <w:tcW w:type="dxa" w:w="13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10万元</w:t>
            </w:r>
          </w:p>
        </w:tc>
        <w:tc>
          <w:tcPr>
            <w:tcW w:type="dxa" w:w="82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否</w:t>
            </w:r>
          </w:p>
        </w:tc>
      </w:tr>
      <w:tr>
        <w:tc>
          <w:tcPr>
            <w:tcW w:type="dxa" w:w="616"/>
            <w:vMerge/>
            <w:tcBorders>
              <w:top w:val="none" w:color="000000" w:sz="4"/>
              <w:left w:val="single" w:color="000000" w:sz="4"/>
              <w:bottom w:val="single" w:color="000000" w:sz="4"/>
              <w:right w:val="single" w:color="000000" w:sz="4"/>
            </w:tcBorders>
          </w:tcPr>
          <w:p/>
        </w:tc>
        <w:tc>
          <w:tcPr>
            <w:tcW w:type="dxa" w:w="1260"/>
            <w:vMerge/>
            <w:tcBorders>
              <w:top w:val="none" w:color="000000" w:sz="4"/>
              <w:left w:val="single" w:color="000000" w:sz="4"/>
              <w:bottom w:val="single" w:color="000000" w:sz="4"/>
              <w:right w:val="single" w:color="000000" w:sz="4"/>
            </w:tcBorders>
          </w:tcPr>
          <w:p/>
        </w:tc>
        <w:tc>
          <w:tcPr>
            <w:tcW w:type="dxa" w:w="1204"/>
            <w:vMerge/>
            <w:tcBorders>
              <w:top w:val="none" w:color="000000" w:sz="4"/>
              <w:left w:val="single" w:color="000000" w:sz="4"/>
              <w:bottom w:val="single" w:color="000000" w:sz="4"/>
              <w:right w:val="single" w:color="000000" w:sz="4"/>
            </w:tcBorders>
          </w:tcPr>
          <w:p/>
        </w:tc>
        <w:tc>
          <w:tcPr>
            <w:tcW w:type="dxa" w:w="30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心电图机五</w:t>
            </w:r>
            <w:r>
              <w:rPr>
                <w:rFonts w:ascii="仿宋_GB2312" w:hAnsi="仿宋_GB2312" w:cs="仿宋_GB2312" w:eastAsia="仿宋_GB2312"/>
                <w:sz w:val="22"/>
                <w:color w:val="000000"/>
              </w:rPr>
              <w:t>(2)：1</w:t>
            </w:r>
            <w:r>
              <w:rPr>
                <w:rFonts w:ascii="仿宋_GB2312" w:hAnsi="仿宋_GB2312" w:cs="仿宋_GB2312" w:eastAsia="仿宋_GB2312"/>
                <w:sz w:val="22"/>
                <w:color w:val="000000"/>
              </w:rPr>
              <w:t>台（套）</w:t>
            </w:r>
          </w:p>
        </w:tc>
        <w:tc>
          <w:tcPr>
            <w:tcW w:type="dxa" w:w="13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3万元</w:t>
            </w:r>
          </w:p>
        </w:tc>
        <w:tc>
          <w:tcPr>
            <w:tcW w:type="dxa" w:w="826"/>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4"/>
        </w:rPr>
        <w:t>3、交货期：合同签订后在收到发货通知之日起</w:t>
      </w:r>
      <w:r>
        <w:rPr>
          <w:rFonts w:ascii="仿宋_GB2312" w:hAnsi="仿宋_GB2312" w:cs="仿宋_GB2312" w:eastAsia="仿宋_GB2312"/>
          <w:sz w:val="24"/>
        </w:rPr>
        <w:t>30日内交付合同标的物设备到货。</w:t>
      </w:r>
    </w:p>
    <w:p>
      <w:pPr>
        <w:pStyle w:val="null3"/>
        <w:jc w:val="both"/>
      </w:pPr>
      <w:r>
        <w:rPr>
          <w:rFonts w:ascii="仿宋_GB2312" w:hAnsi="仿宋_GB2312" w:cs="仿宋_GB2312" w:eastAsia="仿宋_GB2312"/>
          <w:sz w:val="24"/>
        </w:rPr>
        <w:t>4、交货地点：丙方指定地点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心电图机一</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950,000.00</w:t>
      </w:r>
    </w:p>
    <w:p>
      <w:pPr>
        <w:pStyle w:val="null3"/>
        <w:jc w:val="left"/>
      </w:pPr>
      <w:r>
        <w:rPr>
          <w:rFonts w:ascii="仿宋_GB2312" w:hAnsi="仿宋_GB2312" w:cs="仿宋_GB2312" w:eastAsia="仿宋_GB2312"/>
        </w:rPr>
        <w:t>采购包最高限价（元）: 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心电图机二</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540,000.00</w:t>
      </w:r>
    </w:p>
    <w:p>
      <w:pPr>
        <w:pStyle w:val="null3"/>
        <w:jc w:val="left"/>
      </w:pPr>
      <w:r>
        <w:rPr>
          <w:rFonts w:ascii="仿宋_GB2312" w:hAnsi="仿宋_GB2312" w:cs="仿宋_GB2312" w:eastAsia="仿宋_GB2312"/>
        </w:rPr>
        <w:t>采购包最高限价（元）: 540,000.00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心电图机三</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280,000.00</w:t>
      </w:r>
    </w:p>
    <w:p>
      <w:pPr>
        <w:pStyle w:val="null3"/>
        <w:jc w:val="left"/>
      </w:pPr>
      <w:r>
        <w:rPr>
          <w:rFonts w:ascii="仿宋_GB2312" w:hAnsi="仿宋_GB2312" w:cs="仿宋_GB2312" w:eastAsia="仿宋_GB2312"/>
        </w:rPr>
        <w:t>采购包最高限价（元）: 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心电图机四（1）</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心电图机四（2）</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130,000.00</w:t>
      </w:r>
    </w:p>
    <w:p>
      <w:pPr>
        <w:pStyle w:val="null3"/>
        <w:jc w:val="left"/>
      </w:pPr>
      <w:r>
        <w:rPr>
          <w:rFonts w:ascii="仿宋_GB2312" w:hAnsi="仿宋_GB2312" w:cs="仿宋_GB2312" w:eastAsia="仿宋_GB2312"/>
        </w:rPr>
        <w:t>采购包最高限价（元）: 130,000.00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心电图机五（1）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心电图机五（2）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心电图机一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单价最高限价：10万元</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心电图机二</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单价最高限价：5万元</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心电图机三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单价最高限价：3万元</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心电图机四（1）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单价最高限价：2万元</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心电图机四（2）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单价最高限价：0.5万元</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心电图机五（1）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心电图机五（2）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标的名称：心电图机一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技术参数要求详见采购需求附件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标的名称：心电图机二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技术参数要求详见采购需求附件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标的名称：心电图机三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技术参数要求详见采购需求附件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标的名称：心电图机四（1）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技术参数要求详见采购需求附件</w:t>
            </w:r>
          </w:p>
        </w:tc>
      </w:tr>
    </w:tbl>
    <w:p>
      <w:pPr>
        <w:pStyle w:val="null3"/>
        <w:jc w:val="left"/>
      </w:pPr>
      <w:r>
        <w:rPr>
          <w:rFonts w:ascii="仿宋_GB2312" w:hAnsi="仿宋_GB2312" w:cs="仿宋_GB2312" w:eastAsia="仿宋_GB2312"/>
        </w:rPr>
        <w:t>标的名称：心电图机四（2）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技术参数要求详见采购需求附件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标的名称：心电图机五（1）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技术参数要求详见采购需求附件</w:t>
            </w:r>
          </w:p>
        </w:tc>
      </w:tr>
    </w:tbl>
    <w:p>
      <w:pPr>
        <w:pStyle w:val="null3"/>
        <w:jc w:val="left"/>
      </w:pPr>
      <w:r>
        <w:rPr>
          <w:rFonts w:ascii="仿宋_GB2312" w:hAnsi="仿宋_GB2312" w:cs="仿宋_GB2312" w:eastAsia="仿宋_GB2312"/>
        </w:rPr>
        <w:t>标的名称：心电图机五（2）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商务要求详见采购需求附件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商务要求详见采购需求附件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商务要求详见采购需求附件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商务要求详见采购需求附件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商务要求详见采购需求附件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投标人符合特定资格条件的证明材料 投标人控股股东名称、控股公司的名称和存在管理、被管理关系的单位名称声明 投标人是否属于为本项目提供整体设计、规范编制或者项目管理、监理、检测等服务的投标人声明</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投标人符合特定资格条件的证明材料 投标人是否属于为本项目提供整体设计、规范编制或者项目管理、监理、检测等服务的投标人声明 投标人控股股东名称、控股公司的名称和存在管理、被管理关系的单位名称说明</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证明投标人符合特定资格条件的证明材料 投标人是否属于为本项目提供整体设计、规范编制或者项目管理、监理、检测等服务的投标人声明 投标人控股股东名称、控股公司的名称和存在管理、被管理关系的单位名称说明</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证明投标人符合特定资格条件的证明材料 投标人是否属于为本项目提供整体设计、规范编制或者项目管理、监理、检测等服务的投标人声明 投标人控股股东名称、控股公司的名称和存在管理、被管理关系的单位名称说明</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证明投标人符合特定资格条件的证明材料 投标人是否属于为本项目提供整体设计、规范编制或者项目管理、监理、检测等服务的投标人声明 投标人控股股东名称、控股公司的名称和存在管理、被管理关系的单位名称说明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①投标货物属于第一类医疗器械产品须提供医疗器械备案凭证，属于第二类、第三类医疗器械产品则须提供完整的医疗器械注册证。 ②投标人若为经营企业，须提供生产企业资质：投标货物若属于第一类医疗器械产品，须提供医疗器械生产备案凭证；投标货物若属于第二类、三类医疗器械产品，须提供医疗器械生产许可证。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投标人符合特定资格条件的证明材料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①投标货物属于第一类医疗器械产品须提供医疗器械备案凭证，属于第二类、第三类医疗器械产品则须提供完整的医疗器械注册证。 ②投标人若为经营企业，须提供生产企业资质：投标货物若属于第一类医疗器械产品，须提供医疗器械生产备案凭证；投标货物若属于第二类、三类医疗器械产品，须提供医疗器械生产许可证。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投标人符合特定资格条件的证明材料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①投标货物属于第一类医疗器械产品须提供医疗器械备案凭证，属于第二类、第三类医疗器械产品则须提供完整的医疗器械注册证。 ②投标人若为经营企业，须提供生产企业资质：投标货物若属于第一类医疗器械产品，须提供医疗器械生产备案凭证；投标货物若属于第二类、三类医疗器械产品，须提供医疗器械生产许可证。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证明投标人符合特定资格条件的证明材料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①投标货物属于第一类医疗器械产品须提供医疗器械备案凭证，属于第二类、第三类医疗器械产品则须提供完整的医疗器械注册证。 ②投标人若为经营企业，须提供生产企业资质：投标货物若属于第一类医疗器械产品，须提供医疗器械生产备案凭证；投标货物若属于第二类、三类医疗器械产品，须提供医疗器械生产许可证。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证明投标人符合特定资格条件的证明材料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①投标货物属于第一类医疗器械产品须提供医疗器械备案凭证，属于第二类、第三类医疗器械产品则须提供完整的医疗器械注册证。 ②投标人若为经营企业，须提供生产企业资质：投标货物若属于第一类医疗器械产品，须提供医疗器械生产备案凭证；投标货物若属于第二类、三类医疗器械产品，须提供医疗器械生产许可证。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证明投标人符合特定资格条件的证明材料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重要技术参数（标▲号）共7条，完全满足得21分，每有1条不满足扣3分，该项最低得0分。 ★号、▲号条款技术参数需按要求提供技术支持证明材料，技术支持资料包括以下任意一种形式： （1）投标货物制造商公开发布的印刷资料； （2）检测机构出具的检测报告； （3）货物制造商盖章的技术参数确认函； （4）产品彩页； （5）货物制造商盖章的产品白皮书。 其中：第★四 配置要求、★五 售后服务提供承诺书。 漏报技术条款视为不满足。</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 一般技术参数（非▲号、★号的其他参数）的响应共35条，按以下要求赋分： A：一般技术参数完全满足，得24分； B：一般技术参数不满足1-10项区间时，每不满足一条参数扣1分； C：一般技术参数不满足11-35项区间时， 每不满足一条参数扣0.56分； 最低得0分，漏报技术条款视为不满足。 注：上述1-10项、11-35项与参数的不满足条款数量相关，不涉及参数所对应序号。 示例：如一般参数负偏离15项，投标人扣分=10项×1分+（15项-10项）×0.56分=10×1+5×0.56=12.8分，得分=24分-12.8分=11.2分。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 根据所投产品的技术性能指标与招标文件采购需求要求的技术参数的满足程度进行评分： 重要技术参数（标▲号）共6条，完全满足得24分，每有1条不满足扣4分，该项最低得0分。 ★号、▲号条款技术参数需按要求提供技术支持证明材料，技术支持资料包括以下任意一种形式（加盖投标人公章）： （1）投标货物制造商公开发布的印刷资料； （2）检测机构出具的检测报告； （3）货物制造商盖章的技术参数确认函； （4）产品彩页； （5）货物制造商盖章的产品白皮书。 其中：第★四配置要求、★五售后服务 提供承诺书。 漏报技术条款视为不满足。</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 一般技术参数（非▲号、★号的其他参数）的响应共29条，按以下要求赋分： A：一般技术参数完全满足，得21分； B：一般技术参数不满足1-9项区间时，每不满足一条参数扣1分； C：一般技术参数不满足10-29项区间时， 每不满足一条参数扣0.6分； 最低得0分，漏报技术条款视为不满足。 注：上述1-9项、10-29项与参数的不满足条款数量相关，不涉及参数所对应序号。 示例：如一般参数负偏离15项，投标人扣分=9项×1分+（15项-9项）×0.6分=9×1+6×0.6=12.6分，得分=21分-12.6分=8.4分。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重要技术参数（标▲号）共2条，完全满足得10分，每有1条不满足扣5分。该项最低得0分。 ★号、▲号条款技术参数需按要求提供技术支持证明材料，技术支持资料包括以下任意一种形式： （1）投标货物制造商公开发布的印刷资料； （2）检测机构出具的检测报告； （3）货物制造商盖章的技术参数确认函； （4）产品彩页； （5）货物制造商盖章的产品白皮书。 其中：第★四配置要求、★五售后服务提供承诺书。 漏报技术条款视为不满足。</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 一般技术参数（非▲号、★号的其他参数）的响应共39条，按以下要求赋分： A：一般技术参数完全满足，得35分； B：一般技术参数不满足1-6项区间时，每不满足一条参数扣2分； C：一般技术参数不满足7-39项区间时， 每不满足一条参数扣0.7分； 最低得0分，漏报技术条款视为不满足。 注：上述1-6项、7-39项与参数的不满足条款数量相关，不涉及参数所对应序号。 示例：如一般参数负偏离15项，投标人扣分=6项×2分+（15项-6项）×0.7分=12+6.3=18.3分，得分=35分-18.3分=16.7分。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 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重要技术参数（标▲号）共2条，完全满足得10分，每有一条不满足扣5分。 ★号、▲号条款技术参数需按要求提供技术支持证明材料，技术支持资 料包括以下任意一种形式： （1）投标货物制造商公开发布的印刷资料； （2）检测机构出具的检测报告； （3）货物制造商盖章的技术参数确认函； （4）产品彩页； （5）货物制造商盖章的产品白皮书。 其中：第★四配置要求、★五售后服务 提供承诺书。 漏报技术条款视为不满足。</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 一般技术参数（非▲号、★号的其他参数）的响应共59条，按以下要求赋分： A：一般技术参数完全满足，得35分； B：一般技术参数不满足1-9项区间时，每不满足一条参数扣1分； C：一般技术参数不满足10-59项区间时， 每不满足一条参数扣0.52分； 最低得0分。 注：上述1-9项、10-59项与参数的不满足条款数量相关，不涉及参数所对应序号。 示例：如一般参数负偏离15项，投标人扣分=9项×1分+（15项-9项）×0.52分=9×1+6×0.52=12.12分，得分=35分-12.12分=22.88分。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 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重要技术参数（标▲号）共10条，一条参数满足得2分，完全满足，得20分。 ★号、▲号条款技术参数需按要求提供技术支持证明材料，技术支持资料包括以下任意一种形式： （1）投标货物制造商公开发布的印刷资料； （2）检测机构出具的检测报告； （3）货物制造商盖章的技术参数确认函； （4）产品彩页； （5）货物制造商盖章的产品白皮书。 其中：第★四配置要求、★五售后服务 提供承诺书。 漏报技术条款视为不满足。</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 一般技术参数（非▲号、★号的其他参数）的响应共61条，按以下要求赋分： A：一般技术参数完全满足，得25分； B：一般技术参数不满足1-10项区间时，每不满足一条参数扣1分； C：一般技术参数不满足11-61项区间时， 每不满足一条参数扣0.3分。 最低得0分。漏报技术条款视为不满足。 注：上述1-10项、11-61项与参数的不满足条款数量相关，不涉及参数所对应序号。 示例：如一般参数负偏离15项，投标人扣分=10项×1分+（15项-10项）×0.3分=10×1+5×0.3=11.5分，得分=25分-11.5分=13.5分。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心电图机一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心电图机一</w:t>
            </w:r>
          </w:p>
        </w:tc>
        <w:tc>
          <w:tcPr>
            <w:tcW w:type="dxa" w:w="755"/>
          </w:tcPr>
          <w:p>
            <w:pPr>
              <w:pStyle w:val="null3"/>
              <w:jc w:val="left"/>
            </w:pPr>
            <w:r>
              <w:rPr>
                <w:rFonts w:ascii="仿宋_GB2312" w:hAnsi="仿宋_GB2312" w:cs="仿宋_GB2312" w:eastAsia="仿宋_GB2312"/>
              </w:rPr>
              <w:t xml:space="preserve"> 9.00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心电图机二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心电图机二</w:t>
            </w:r>
          </w:p>
        </w:tc>
        <w:tc>
          <w:tcPr>
            <w:tcW w:type="dxa" w:w="755"/>
          </w:tcPr>
          <w:p>
            <w:pPr>
              <w:pStyle w:val="null3"/>
              <w:jc w:val="left"/>
            </w:pPr>
            <w:r>
              <w:rPr>
                <w:rFonts w:ascii="仿宋_GB2312" w:hAnsi="仿宋_GB2312" w:cs="仿宋_GB2312" w:eastAsia="仿宋_GB2312"/>
              </w:rPr>
              <w:t xml:space="preserve"> 19.00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心电图机三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心电图机三</w:t>
            </w:r>
          </w:p>
        </w:tc>
        <w:tc>
          <w:tcPr>
            <w:tcW w:type="dxa" w:w="755"/>
          </w:tcPr>
          <w:p>
            <w:pPr>
              <w:pStyle w:val="null3"/>
              <w:jc w:val="left"/>
            </w:pPr>
            <w:r>
              <w:rPr>
                <w:rFonts w:ascii="仿宋_GB2312" w:hAnsi="仿宋_GB2312" w:cs="仿宋_GB2312" w:eastAsia="仿宋_GB2312"/>
              </w:rPr>
              <w:t xml:space="preserve"> 18.00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心电图机四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心电图机四（1）</w:t>
            </w:r>
          </w:p>
        </w:tc>
        <w:tc>
          <w:tcPr>
            <w:tcW w:type="dxa" w:w="755"/>
          </w:tcPr>
          <w:p>
            <w:pPr>
              <w:pStyle w:val="null3"/>
              <w:jc w:val="left"/>
            </w:pPr>
            <w:r>
              <w:rPr>
                <w:rFonts w:ascii="仿宋_GB2312" w:hAnsi="仿宋_GB2312" w:cs="仿宋_GB2312" w:eastAsia="仿宋_GB2312"/>
              </w:rPr>
              <w:t xml:space="preserve"> 13.00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心电图机四（2）</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心电图机五</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心电图机五（1）</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心电图机五（2）</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详见附件：投标人符合特定资格条件的证明材料</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详见附件：投标人控股股东名称、控股公司的名称和存在管理、被管理关系的单位名称说明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详见附件：投标人符合特定资格条件的证明材料</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详见附件：投标人控股股东名称、控股公司的名称和存在管理、被管理关系的单位名称说明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详见附件：证明投标人符合特定资格条件的证明材料</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详见附件：投标人控股股东名称、控股公司的名称和存在管理、被管理关系的单位名称说明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详见附件：证明投标人符合特定资格条件的证明材料</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详见附件：投标人控股股东名称、控股公司的名称和存在管理、被管理关系的单位名称说明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详见附件：证明投标人符合特定资格条件的证明材料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