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DCEC5D">
      <w:pPr>
        <w:pStyle w:val="2"/>
        <w:spacing w:line="480" w:lineRule="auto"/>
        <w:jc w:val="center"/>
        <w:rPr>
          <w:rFonts w:hint="eastAsia" w:ascii="仿宋" w:hAnsi="仿宋" w:eastAsia="仿宋" w:cs="仿宋"/>
          <w:b/>
          <w:bCs/>
          <w:color w:val="auto"/>
          <w:sz w:val="56"/>
          <w:szCs w:val="36"/>
          <w:highlight w:val="none"/>
          <w:lang w:eastAsia="zh-CN"/>
        </w:rPr>
      </w:pPr>
      <w:bookmarkStart w:id="1" w:name="_GoBack"/>
      <w:r>
        <w:rPr>
          <w:rFonts w:hint="eastAsia" w:ascii="仿宋" w:hAnsi="仿宋" w:eastAsia="仿宋" w:cs="仿宋"/>
          <w:b/>
          <w:bCs/>
          <w:color w:val="auto"/>
          <w:sz w:val="56"/>
          <w:szCs w:val="36"/>
          <w:highlight w:val="none"/>
        </w:rPr>
        <w:t>合同文本</w:t>
      </w:r>
      <w:r>
        <w:rPr>
          <w:rFonts w:hint="eastAsia" w:ascii="仿宋" w:hAnsi="仿宋" w:eastAsia="仿宋" w:cs="仿宋"/>
          <w:b/>
          <w:bCs/>
          <w:color w:val="auto"/>
          <w:sz w:val="56"/>
          <w:szCs w:val="36"/>
          <w:highlight w:val="none"/>
          <w:lang w:eastAsia="zh-CN"/>
        </w:rPr>
        <w:t>（</w:t>
      </w:r>
      <w:r>
        <w:rPr>
          <w:rFonts w:hint="eastAsia" w:ascii="仿宋" w:hAnsi="仿宋" w:eastAsia="仿宋" w:cs="仿宋"/>
          <w:b/>
          <w:bCs/>
          <w:color w:val="auto"/>
          <w:sz w:val="56"/>
          <w:szCs w:val="36"/>
          <w:highlight w:val="none"/>
          <w:lang w:val="en-US" w:eastAsia="zh-CN"/>
        </w:rPr>
        <w:t>仅供参考</w:t>
      </w:r>
      <w:r>
        <w:rPr>
          <w:rFonts w:hint="eastAsia" w:ascii="仿宋" w:hAnsi="仿宋" w:eastAsia="仿宋" w:cs="仿宋"/>
          <w:b/>
          <w:bCs/>
          <w:color w:val="auto"/>
          <w:sz w:val="56"/>
          <w:szCs w:val="36"/>
          <w:highlight w:val="none"/>
          <w:lang w:eastAsia="zh-CN"/>
        </w:rPr>
        <w:t>）</w:t>
      </w:r>
    </w:p>
    <w:bookmarkEnd w:id="1"/>
    <w:p w14:paraId="69FCBE62">
      <w:pPr>
        <w:spacing w:line="480" w:lineRule="auto"/>
        <w:rPr>
          <w:rFonts w:hint="eastAsia" w:ascii="仿宋" w:hAnsi="仿宋" w:eastAsia="仿宋" w:cs="仿宋"/>
          <w:b/>
          <w:color w:val="auto"/>
          <w:sz w:val="36"/>
          <w:highlight w:val="none"/>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686"/>
        <w:gridCol w:w="390"/>
        <w:gridCol w:w="1635"/>
        <w:gridCol w:w="1470"/>
        <w:gridCol w:w="1348"/>
        <w:gridCol w:w="782"/>
        <w:gridCol w:w="230"/>
        <w:gridCol w:w="6"/>
      </w:tblGrid>
      <w:tr w14:paraId="2E1AA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cantSplit/>
          <w:trHeight w:val="585" w:hRule="atLeast"/>
        </w:trPr>
        <w:tc>
          <w:tcPr>
            <w:tcW w:w="3317" w:type="dxa"/>
            <w:gridSpan w:val="3"/>
            <w:tcBorders>
              <w:top w:val="nil"/>
              <w:left w:val="nil"/>
              <w:bottom w:val="nil"/>
              <w:right w:val="nil"/>
            </w:tcBorders>
            <w:vAlign w:val="bottom"/>
          </w:tcPr>
          <w:p w14:paraId="7C30D61B">
            <w:pPr>
              <w:pStyle w:val="10"/>
              <w:spacing w:line="480" w:lineRule="auto"/>
              <w:ind w:firstLine="2052" w:firstLineChars="733"/>
              <w:rPr>
                <w:rFonts w:hint="eastAsia" w:ascii="仿宋" w:hAnsi="仿宋" w:eastAsia="仿宋" w:cs="仿宋"/>
                <w:color w:val="auto"/>
                <w:highlight w:val="none"/>
              </w:rPr>
            </w:pPr>
            <w:bookmarkStart w:id="0" w:name="_Toc76653112"/>
          </w:p>
        </w:tc>
        <w:tc>
          <w:tcPr>
            <w:tcW w:w="1635" w:type="dxa"/>
            <w:tcBorders>
              <w:top w:val="nil"/>
              <w:left w:val="nil"/>
              <w:bottom w:val="nil"/>
              <w:right w:val="nil"/>
            </w:tcBorders>
            <w:vAlign w:val="bottom"/>
          </w:tcPr>
          <w:p w14:paraId="231397FE">
            <w:pPr>
              <w:pStyle w:val="10"/>
              <w:spacing w:line="480" w:lineRule="auto"/>
              <w:jc w:val="center"/>
              <w:rPr>
                <w:rFonts w:hint="eastAsia" w:ascii="仿宋" w:hAnsi="仿宋" w:eastAsia="仿宋" w:cs="仿宋"/>
                <w:b/>
                <w:bCs/>
                <w:color w:val="auto"/>
                <w:highlight w:val="none"/>
              </w:rPr>
            </w:pPr>
            <w:r>
              <w:rPr>
                <w:rFonts w:hint="eastAsia" w:ascii="仿宋" w:hAnsi="仿宋" w:eastAsia="仿宋" w:cs="仿宋"/>
                <w:color w:val="auto"/>
                <w:highlight w:val="none"/>
              </w:rPr>
              <w:br w:type="page"/>
            </w:r>
            <w:r>
              <w:rPr>
                <w:rFonts w:hint="eastAsia" w:ascii="仿宋" w:hAnsi="仿宋" w:eastAsia="仿宋" w:cs="仿宋"/>
                <w:color w:val="auto"/>
                <w:highlight w:val="none"/>
              </w:rPr>
              <w:t>分类号</w:t>
            </w:r>
          </w:p>
        </w:tc>
        <w:tc>
          <w:tcPr>
            <w:tcW w:w="1470" w:type="dxa"/>
            <w:tcBorders>
              <w:top w:val="nil"/>
              <w:left w:val="nil"/>
              <w:bottom w:val="dashSmallGap" w:color="auto" w:sz="4" w:space="0"/>
              <w:right w:val="nil"/>
            </w:tcBorders>
            <w:vAlign w:val="bottom"/>
          </w:tcPr>
          <w:p w14:paraId="4F5D9C05">
            <w:pPr>
              <w:pStyle w:val="10"/>
              <w:spacing w:line="480" w:lineRule="auto"/>
              <w:rPr>
                <w:rFonts w:hint="eastAsia" w:ascii="仿宋" w:hAnsi="仿宋" w:eastAsia="仿宋" w:cs="仿宋"/>
                <w:color w:val="auto"/>
                <w:highlight w:val="none"/>
              </w:rPr>
            </w:pPr>
          </w:p>
        </w:tc>
        <w:tc>
          <w:tcPr>
            <w:tcW w:w="1348" w:type="dxa"/>
            <w:tcBorders>
              <w:top w:val="nil"/>
              <w:left w:val="nil"/>
              <w:bottom w:val="nil"/>
              <w:right w:val="nil"/>
            </w:tcBorders>
            <w:vAlign w:val="bottom"/>
          </w:tcPr>
          <w:p w14:paraId="10610493">
            <w:pPr>
              <w:pStyle w:val="10"/>
              <w:spacing w:line="480" w:lineRule="auto"/>
              <w:ind w:firstLine="280" w:firstLineChars="100"/>
              <w:rPr>
                <w:rFonts w:hint="eastAsia" w:ascii="仿宋" w:hAnsi="仿宋" w:eastAsia="仿宋" w:cs="仿宋"/>
                <w:color w:val="auto"/>
                <w:highlight w:val="none"/>
              </w:rPr>
            </w:pPr>
            <w:r>
              <w:rPr>
                <w:rFonts w:hint="eastAsia" w:ascii="仿宋" w:hAnsi="仿宋" w:eastAsia="仿宋" w:cs="仿宋"/>
                <w:color w:val="auto"/>
                <w:highlight w:val="none"/>
              </w:rPr>
              <w:t>归 属</w:t>
            </w:r>
          </w:p>
        </w:tc>
        <w:tc>
          <w:tcPr>
            <w:tcW w:w="1012" w:type="dxa"/>
            <w:gridSpan w:val="2"/>
            <w:tcBorders>
              <w:top w:val="nil"/>
              <w:left w:val="nil"/>
              <w:bottom w:val="dashSmallGap" w:color="auto" w:sz="4" w:space="0"/>
              <w:right w:val="nil"/>
            </w:tcBorders>
            <w:vAlign w:val="bottom"/>
          </w:tcPr>
          <w:p w14:paraId="330529FF">
            <w:pPr>
              <w:pStyle w:val="10"/>
              <w:spacing w:line="480" w:lineRule="auto"/>
              <w:rPr>
                <w:rFonts w:hint="eastAsia" w:ascii="仿宋" w:hAnsi="仿宋" w:eastAsia="仿宋" w:cs="仿宋"/>
                <w:color w:val="auto"/>
                <w:highlight w:val="none"/>
              </w:rPr>
            </w:pPr>
          </w:p>
        </w:tc>
      </w:tr>
      <w:tr w14:paraId="2F9D1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cantSplit/>
          <w:trHeight w:val="585" w:hRule="atLeast"/>
        </w:trPr>
        <w:tc>
          <w:tcPr>
            <w:tcW w:w="3317" w:type="dxa"/>
            <w:gridSpan w:val="3"/>
            <w:tcBorders>
              <w:top w:val="nil"/>
              <w:left w:val="nil"/>
              <w:bottom w:val="nil"/>
              <w:right w:val="nil"/>
            </w:tcBorders>
            <w:vAlign w:val="bottom"/>
          </w:tcPr>
          <w:p w14:paraId="266702C3">
            <w:pPr>
              <w:pStyle w:val="10"/>
              <w:spacing w:line="480" w:lineRule="auto"/>
              <w:ind w:firstLine="2240" w:firstLineChars="800"/>
              <w:rPr>
                <w:rFonts w:hint="eastAsia" w:ascii="仿宋" w:hAnsi="仿宋" w:eastAsia="仿宋" w:cs="仿宋"/>
                <w:color w:val="auto"/>
                <w:highlight w:val="none"/>
              </w:rPr>
            </w:pPr>
          </w:p>
        </w:tc>
        <w:tc>
          <w:tcPr>
            <w:tcW w:w="1635" w:type="dxa"/>
            <w:tcBorders>
              <w:top w:val="nil"/>
              <w:left w:val="nil"/>
              <w:bottom w:val="nil"/>
              <w:right w:val="nil"/>
            </w:tcBorders>
            <w:vAlign w:val="bottom"/>
          </w:tcPr>
          <w:p w14:paraId="5B9E4952">
            <w:pPr>
              <w:pStyle w:val="10"/>
              <w:spacing w:line="480" w:lineRule="auto"/>
              <w:ind w:firstLine="280" w:firstLineChars="100"/>
              <w:rPr>
                <w:rFonts w:hint="eastAsia" w:ascii="仿宋" w:hAnsi="仿宋" w:eastAsia="仿宋" w:cs="仿宋"/>
                <w:color w:val="auto"/>
                <w:highlight w:val="none"/>
              </w:rPr>
            </w:pPr>
            <w:r>
              <w:rPr>
                <w:rFonts w:hint="eastAsia" w:ascii="仿宋" w:hAnsi="仿宋" w:eastAsia="仿宋" w:cs="仿宋"/>
                <w:color w:val="auto"/>
                <w:highlight w:val="none"/>
              </w:rPr>
              <w:t>年  度</w:t>
            </w:r>
          </w:p>
        </w:tc>
        <w:tc>
          <w:tcPr>
            <w:tcW w:w="1470" w:type="dxa"/>
            <w:tcBorders>
              <w:top w:val="dashSmallGap" w:color="auto" w:sz="4" w:space="0"/>
              <w:left w:val="nil"/>
              <w:bottom w:val="dashSmallGap" w:color="auto" w:sz="4" w:space="0"/>
              <w:right w:val="nil"/>
            </w:tcBorders>
            <w:vAlign w:val="bottom"/>
          </w:tcPr>
          <w:p w14:paraId="4E9E404C">
            <w:pPr>
              <w:pStyle w:val="10"/>
              <w:spacing w:line="480" w:lineRule="auto"/>
              <w:rPr>
                <w:rFonts w:hint="eastAsia" w:ascii="仿宋" w:hAnsi="仿宋" w:eastAsia="仿宋" w:cs="仿宋"/>
                <w:color w:val="auto"/>
                <w:highlight w:val="none"/>
              </w:rPr>
            </w:pPr>
          </w:p>
        </w:tc>
        <w:tc>
          <w:tcPr>
            <w:tcW w:w="1348" w:type="dxa"/>
            <w:tcBorders>
              <w:top w:val="nil"/>
              <w:left w:val="nil"/>
              <w:bottom w:val="nil"/>
              <w:right w:val="nil"/>
            </w:tcBorders>
            <w:vAlign w:val="bottom"/>
          </w:tcPr>
          <w:p w14:paraId="23B71C98">
            <w:pPr>
              <w:pStyle w:val="10"/>
              <w:spacing w:line="480" w:lineRule="auto"/>
              <w:ind w:firstLine="280" w:firstLineChars="100"/>
              <w:rPr>
                <w:rFonts w:hint="eastAsia" w:ascii="仿宋" w:hAnsi="仿宋" w:eastAsia="仿宋" w:cs="仿宋"/>
                <w:color w:val="auto"/>
                <w:highlight w:val="none"/>
              </w:rPr>
            </w:pPr>
            <w:r>
              <w:rPr>
                <w:rFonts w:hint="eastAsia" w:ascii="仿宋" w:hAnsi="仿宋" w:eastAsia="仿宋" w:cs="仿宋"/>
                <w:color w:val="auto"/>
                <w:highlight w:val="none"/>
              </w:rPr>
              <w:t>编 号</w:t>
            </w:r>
          </w:p>
        </w:tc>
        <w:tc>
          <w:tcPr>
            <w:tcW w:w="1012" w:type="dxa"/>
            <w:gridSpan w:val="2"/>
            <w:tcBorders>
              <w:top w:val="dashSmallGap" w:color="auto" w:sz="4" w:space="0"/>
              <w:left w:val="nil"/>
              <w:bottom w:val="dashSmallGap" w:color="auto" w:sz="4" w:space="0"/>
              <w:right w:val="nil"/>
            </w:tcBorders>
            <w:vAlign w:val="bottom"/>
          </w:tcPr>
          <w:p w14:paraId="2EE55F92">
            <w:pPr>
              <w:pStyle w:val="10"/>
              <w:spacing w:line="480" w:lineRule="auto"/>
              <w:rPr>
                <w:rFonts w:hint="eastAsia" w:ascii="仿宋" w:hAnsi="仿宋" w:eastAsia="仿宋" w:cs="仿宋"/>
                <w:color w:val="auto"/>
                <w:highlight w:val="none"/>
              </w:rPr>
            </w:pPr>
          </w:p>
        </w:tc>
      </w:tr>
      <w:tr w14:paraId="5C8DD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92" w:hRule="atLeast"/>
        </w:trPr>
        <w:tc>
          <w:tcPr>
            <w:tcW w:w="8782" w:type="dxa"/>
            <w:gridSpan w:val="8"/>
            <w:tcBorders>
              <w:top w:val="nil"/>
              <w:left w:val="nil"/>
              <w:bottom w:val="nil"/>
              <w:right w:val="nil"/>
            </w:tcBorders>
          </w:tcPr>
          <w:p w14:paraId="4E333860">
            <w:pPr>
              <w:pStyle w:val="10"/>
              <w:spacing w:line="480" w:lineRule="auto"/>
              <w:rPr>
                <w:rFonts w:hint="eastAsia" w:ascii="仿宋" w:hAnsi="仿宋" w:eastAsia="仿宋" w:cs="仿宋"/>
                <w:color w:val="auto"/>
                <w:sz w:val="44"/>
                <w:highlight w:val="none"/>
              </w:rPr>
            </w:pPr>
          </w:p>
        </w:tc>
      </w:tr>
      <w:tr w14:paraId="14F4B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Pr>
        <w:tc>
          <w:tcPr>
            <w:tcW w:w="8782" w:type="dxa"/>
            <w:gridSpan w:val="8"/>
            <w:tcBorders>
              <w:top w:val="nil"/>
              <w:left w:val="nil"/>
              <w:bottom w:val="nil"/>
              <w:right w:val="nil"/>
            </w:tcBorders>
          </w:tcPr>
          <w:p w14:paraId="044421FD">
            <w:pPr>
              <w:pStyle w:val="11"/>
              <w:spacing w:line="480" w:lineRule="auto"/>
              <w:rPr>
                <w:rFonts w:hint="eastAsia" w:ascii="仿宋" w:hAnsi="仿宋" w:eastAsia="仿宋" w:cs="仿宋"/>
                <w:b/>
                <w:color w:val="auto"/>
                <w:sz w:val="56"/>
                <w:szCs w:val="56"/>
                <w:highlight w:val="none"/>
                <w:lang w:eastAsia="zh-CN"/>
              </w:rPr>
            </w:pPr>
            <w:r>
              <w:rPr>
                <w:rFonts w:hint="eastAsia" w:ascii="仿宋" w:hAnsi="仿宋" w:eastAsia="仿宋" w:cs="仿宋"/>
                <w:b/>
                <w:color w:val="auto"/>
                <w:sz w:val="56"/>
                <w:szCs w:val="56"/>
                <w:highlight w:val="none"/>
                <w:lang w:eastAsia="zh-CN"/>
              </w:rPr>
              <w:drawing>
                <wp:inline distT="0" distB="0" distL="114300" distR="114300">
                  <wp:extent cx="1268730" cy="1268095"/>
                  <wp:effectExtent l="0" t="0" r="7620" b="8255"/>
                  <wp:docPr id="4" name="图片 4" descr="新院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新院徽"/>
                          <pic:cNvPicPr>
                            <a:picLocks noChangeAspect="1"/>
                          </pic:cNvPicPr>
                        </pic:nvPicPr>
                        <pic:blipFill>
                          <a:blip r:embed="rId5"/>
                          <a:stretch>
                            <a:fillRect/>
                          </a:stretch>
                        </pic:blipFill>
                        <pic:spPr>
                          <a:xfrm>
                            <a:off x="0" y="0"/>
                            <a:ext cx="1268730" cy="1268095"/>
                          </a:xfrm>
                          <a:prstGeom prst="rect">
                            <a:avLst/>
                          </a:prstGeom>
                        </pic:spPr>
                      </pic:pic>
                    </a:graphicData>
                  </a:graphic>
                </wp:inline>
              </w:drawing>
            </w:r>
          </w:p>
          <w:p w14:paraId="2AB4FF13">
            <w:pPr>
              <w:pStyle w:val="11"/>
              <w:spacing w:line="480" w:lineRule="auto"/>
              <w:rPr>
                <w:rFonts w:hint="eastAsia" w:ascii="仿宋" w:hAnsi="仿宋" w:eastAsia="仿宋" w:cs="仿宋"/>
                <w:b/>
                <w:color w:val="auto"/>
                <w:highlight w:val="none"/>
              </w:rPr>
            </w:pPr>
            <w:r>
              <w:rPr>
                <w:rFonts w:hint="eastAsia" w:ascii="仿宋" w:hAnsi="仿宋" w:eastAsia="仿宋" w:cs="仿宋"/>
                <w:b/>
                <w:color w:val="auto"/>
                <w:sz w:val="56"/>
                <w:szCs w:val="56"/>
                <w:highlight w:val="none"/>
              </w:rPr>
              <w:t>海南医</w:t>
            </w:r>
            <w:r>
              <w:rPr>
                <w:rFonts w:hint="eastAsia" w:ascii="仿宋" w:hAnsi="仿宋" w:eastAsia="仿宋" w:cs="仿宋"/>
                <w:b/>
                <w:color w:val="auto"/>
                <w:sz w:val="56"/>
                <w:szCs w:val="56"/>
                <w:highlight w:val="none"/>
                <w:lang w:eastAsia="zh-CN"/>
              </w:rPr>
              <w:t>科大学</w:t>
            </w:r>
            <w:r>
              <w:rPr>
                <w:rFonts w:hint="eastAsia" w:ascii="仿宋" w:hAnsi="仿宋" w:eastAsia="仿宋" w:cs="仿宋"/>
                <w:b/>
                <w:color w:val="auto"/>
                <w:sz w:val="56"/>
                <w:szCs w:val="56"/>
                <w:highlight w:val="none"/>
              </w:rPr>
              <w:t>第一附属医院</w:t>
            </w:r>
          </w:p>
        </w:tc>
      </w:tr>
      <w:tr w14:paraId="3B774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545" w:hRule="atLeast"/>
        </w:trPr>
        <w:tc>
          <w:tcPr>
            <w:tcW w:w="8782" w:type="dxa"/>
            <w:gridSpan w:val="8"/>
            <w:tcBorders>
              <w:top w:val="nil"/>
              <w:left w:val="nil"/>
              <w:bottom w:val="nil"/>
              <w:right w:val="nil"/>
            </w:tcBorders>
          </w:tcPr>
          <w:p w14:paraId="7B5BC855">
            <w:pPr>
              <w:pStyle w:val="12"/>
              <w:spacing w:line="480" w:lineRule="auto"/>
              <w:rPr>
                <w:rFonts w:hint="eastAsia" w:ascii="仿宋" w:hAnsi="仿宋" w:eastAsia="仿宋" w:cs="仿宋"/>
                <w:color w:val="auto"/>
                <w:highlight w:val="none"/>
              </w:rPr>
            </w:pPr>
            <w:r>
              <w:rPr>
                <w:rFonts w:hint="eastAsia" w:ascii="仿宋" w:hAnsi="仿宋" w:eastAsia="仿宋" w:cs="仿宋"/>
                <w:color w:val="auto"/>
                <w:highlight w:val="none"/>
              </w:rPr>
              <w:t>设备招标采购合同</w:t>
            </w:r>
          </w:p>
          <w:p w14:paraId="1411CF3C">
            <w:pPr>
              <w:pStyle w:val="12"/>
              <w:spacing w:line="480" w:lineRule="auto"/>
              <w:rPr>
                <w:rFonts w:hint="eastAsia" w:ascii="仿宋" w:hAnsi="仿宋" w:eastAsia="仿宋" w:cs="仿宋"/>
                <w:color w:val="auto"/>
                <w:highlight w:val="none"/>
              </w:rPr>
            </w:pPr>
          </w:p>
        </w:tc>
      </w:tr>
      <w:tr w14:paraId="6D60B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1241" w:type="dxa"/>
            <w:vMerge w:val="restart"/>
            <w:tcBorders>
              <w:top w:val="nil"/>
              <w:left w:val="nil"/>
              <w:bottom w:val="nil"/>
              <w:right w:val="nil"/>
            </w:tcBorders>
            <w:vAlign w:val="center"/>
          </w:tcPr>
          <w:p w14:paraId="1A308270">
            <w:pPr>
              <w:adjustRightInd w:val="0"/>
              <w:snapToGrid w:val="0"/>
              <w:spacing w:line="480" w:lineRule="auto"/>
              <w:rPr>
                <w:rFonts w:hint="eastAsia" w:ascii="仿宋" w:hAnsi="仿宋" w:eastAsia="仿宋" w:cs="仿宋"/>
                <w:color w:val="auto"/>
                <w:sz w:val="52"/>
                <w:highlight w:val="none"/>
              </w:rPr>
            </w:pPr>
          </w:p>
        </w:tc>
        <w:tc>
          <w:tcPr>
            <w:tcW w:w="1686" w:type="dxa"/>
            <w:tcBorders>
              <w:top w:val="nil"/>
              <w:left w:val="nil"/>
              <w:bottom w:val="nil"/>
              <w:right w:val="nil"/>
            </w:tcBorders>
            <w:vAlign w:val="center"/>
          </w:tcPr>
          <w:p w14:paraId="2AF830AA">
            <w:pPr>
              <w:pStyle w:val="13"/>
              <w:spacing w:line="480" w:lineRule="auto"/>
              <w:ind w:firstLine="0" w:firstLineChars="0"/>
              <w:rPr>
                <w:rFonts w:hint="eastAsia" w:ascii="仿宋" w:hAnsi="仿宋" w:eastAsia="仿宋" w:cs="仿宋"/>
                <w:color w:val="auto"/>
                <w:highlight w:val="none"/>
              </w:rPr>
            </w:pPr>
            <w:r>
              <w:rPr>
                <w:rFonts w:hint="eastAsia" w:ascii="仿宋" w:hAnsi="仿宋" w:eastAsia="仿宋" w:cs="仿宋"/>
                <w:color w:val="auto"/>
                <w:highlight w:val="none"/>
              </w:rPr>
              <w:t>项目名称：</w:t>
            </w:r>
          </w:p>
        </w:tc>
        <w:tc>
          <w:tcPr>
            <w:tcW w:w="5625" w:type="dxa"/>
            <w:gridSpan w:val="5"/>
            <w:tcBorders>
              <w:top w:val="nil"/>
              <w:left w:val="nil"/>
              <w:bottom w:val="nil"/>
              <w:right w:val="nil"/>
            </w:tcBorders>
            <w:vAlign w:val="center"/>
          </w:tcPr>
          <w:p w14:paraId="189BE515">
            <w:pPr>
              <w:pStyle w:val="13"/>
              <w:spacing w:line="480" w:lineRule="auto"/>
              <w:ind w:firstLine="0" w:firstLineChars="0"/>
              <w:rPr>
                <w:rFonts w:hint="eastAsia" w:ascii="仿宋" w:hAnsi="仿宋" w:eastAsia="仿宋" w:cs="仿宋"/>
                <w:color w:val="auto"/>
                <w:spacing w:val="20"/>
                <w:highlight w:val="none"/>
              </w:rPr>
            </w:pPr>
          </w:p>
        </w:tc>
        <w:tc>
          <w:tcPr>
            <w:tcW w:w="236" w:type="dxa"/>
            <w:gridSpan w:val="2"/>
            <w:vMerge w:val="restart"/>
            <w:tcBorders>
              <w:top w:val="nil"/>
              <w:left w:val="nil"/>
              <w:bottom w:val="nil"/>
              <w:right w:val="nil"/>
            </w:tcBorders>
            <w:vAlign w:val="center"/>
          </w:tcPr>
          <w:p w14:paraId="5A04644A">
            <w:pPr>
              <w:adjustRightInd w:val="0"/>
              <w:snapToGrid w:val="0"/>
              <w:spacing w:line="480" w:lineRule="auto"/>
              <w:rPr>
                <w:rFonts w:hint="eastAsia" w:ascii="仿宋" w:hAnsi="仿宋" w:eastAsia="仿宋" w:cs="仿宋"/>
                <w:color w:val="auto"/>
                <w:sz w:val="52"/>
                <w:highlight w:val="none"/>
              </w:rPr>
            </w:pPr>
          </w:p>
        </w:tc>
      </w:tr>
      <w:tr w14:paraId="4E433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1241" w:type="dxa"/>
            <w:vMerge w:val="continue"/>
            <w:tcBorders>
              <w:top w:val="nil"/>
              <w:left w:val="nil"/>
              <w:bottom w:val="nil"/>
              <w:right w:val="nil"/>
            </w:tcBorders>
            <w:vAlign w:val="center"/>
          </w:tcPr>
          <w:p w14:paraId="3A6F5D7E">
            <w:pPr>
              <w:widowControl/>
              <w:spacing w:line="480" w:lineRule="auto"/>
              <w:rPr>
                <w:rFonts w:hint="eastAsia" w:ascii="仿宋" w:hAnsi="仿宋" w:eastAsia="仿宋" w:cs="仿宋"/>
                <w:color w:val="auto"/>
                <w:sz w:val="52"/>
                <w:highlight w:val="none"/>
              </w:rPr>
            </w:pPr>
          </w:p>
        </w:tc>
        <w:tc>
          <w:tcPr>
            <w:tcW w:w="1686" w:type="dxa"/>
            <w:tcBorders>
              <w:top w:val="nil"/>
              <w:left w:val="nil"/>
              <w:bottom w:val="nil"/>
              <w:right w:val="nil"/>
            </w:tcBorders>
            <w:vAlign w:val="center"/>
          </w:tcPr>
          <w:p w14:paraId="7C4BA462">
            <w:pPr>
              <w:pStyle w:val="13"/>
              <w:spacing w:line="480" w:lineRule="auto"/>
              <w:ind w:firstLine="0" w:firstLineChars="0"/>
              <w:rPr>
                <w:rFonts w:hint="eastAsia" w:ascii="仿宋" w:hAnsi="仿宋" w:eastAsia="仿宋" w:cs="仿宋"/>
                <w:color w:val="auto"/>
                <w:highlight w:val="none"/>
              </w:rPr>
            </w:pPr>
            <w:r>
              <w:rPr>
                <w:rFonts w:hint="eastAsia" w:ascii="仿宋" w:hAnsi="仿宋" w:eastAsia="仿宋" w:cs="仿宋"/>
                <w:color w:val="auto"/>
                <w:highlight w:val="none"/>
              </w:rPr>
              <w:t>供货单位：</w:t>
            </w:r>
          </w:p>
        </w:tc>
        <w:tc>
          <w:tcPr>
            <w:tcW w:w="5625" w:type="dxa"/>
            <w:gridSpan w:val="5"/>
            <w:tcBorders>
              <w:top w:val="nil"/>
              <w:left w:val="nil"/>
              <w:bottom w:val="nil"/>
              <w:right w:val="nil"/>
            </w:tcBorders>
            <w:vAlign w:val="center"/>
          </w:tcPr>
          <w:p w14:paraId="62563E02">
            <w:pPr>
              <w:pStyle w:val="13"/>
              <w:spacing w:line="480" w:lineRule="auto"/>
              <w:ind w:firstLine="0" w:firstLineChars="0"/>
              <w:rPr>
                <w:rFonts w:hint="eastAsia" w:ascii="仿宋" w:hAnsi="仿宋" w:eastAsia="仿宋" w:cs="仿宋"/>
                <w:color w:val="auto"/>
                <w:highlight w:val="none"/>
              </w:rPr>
            </w:pPr>
          </w:p>
        </w:tc>
        <w:tc>
          <w:tcPr>
            <w:tcW w:w="236" w:type="dxa"/>
            <w:gridSpan w:val="2"/>
            <w:vMerge w:val="continue"/>
            <w:tcBorders>
              <w:top w:val="nil"/>
              <w:left w:val="nil"/>
              <w:bottom w:val="nil"/>
              <w:right w:val="nil"/>
            </w:tcBorders>
            <w:vAlign w:val="center"/>
          </w:tcPr>
          <w:p w14:paraId="00533E8E">
            <w:pPr>
              <w:widowControl/>
              <w:spacing w:line="480" w:lineRule="auto"/>
              <w:jc w:val="distribute"/>
              <w:rPr>
                <w:rFonts w:hint="eastAsia" w:ascii="仿宋" w:hAnsi="仿宋" w:eastAsia="仿宋" w:cs="仿宋"/>
                <w:color w:val="auto"/>
                <w:sz w:val="52"/>
                <w:highlight w:val="none"/>
              </w:rPr>
            </w:pPr>
          </w:p>
        </w:tc>
      </w:tr>
      <w:tr w14:paraId="2731F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1241" w:type="dxa"/>
            <w:vMerge w:val="continue"/>
            <w:tcBorders>
              <w:top w:val="nil"/>
              <w:left w:val="nil"/>
              <w:bottom w:val="nil"/>
              <w:right w:val="nil"/>
            </w:tcBorders>
            <w:vAlign w:val="center"/>
          </w:tcPr>
          <w:p w14:paraId="3F7A0306">
            <w:pPr>
              <w:widowControl/>
              <w:spacing w:line="480" w:lineRule="auto"/>
              <w:rPr>
                <w:rFonts w:hint="eastAsia" w:ascii="仿宋" w:hAnsi="仿宋" w:eastAsia="仿宋" w:cs="仿宋"/>
                <w:color w:val="auto"/>
                <w:sz w:val="52"/>
                <w:highlight w:val="none"/>
              </w:rPr>
            </w:pPr>
          </w:p>
        </w:tc>
        <w:tc>
          <w:tcPr>
            <w:tcW w:w="1686" w:type="dxa"/>
            <w:tcBorders>
              <w:top w:val="nil"/>
              <w:left w:val="nil"/>
              <w:bottom w:val="nil"/>
              <w:right w:val="nil"/>
            </w:tcBorders>
            <w:vAlign w:val="center"/>
          </w:tcPr>
          <w:p w14:paraId="65F9ADE3">
            <w:pPr>
              <w:pStyle w:val="13"/>
              <w:spacing w:line="480" w:lineRule="auto"/>
              <w:ind w:firstLine="0" w:firstLineChars="0"/>
              <w:rPr>
                <w:rFonts w:hint="eastAsia" w:ascii="仿宋" w:hAnsi="仿宋" w:eastAsia="仿宋" w:cs="仿宋"/>
                <w:color w:val="auto"/>
                <w:highlight w:val="none"/>
              </w:rPr>
            </w:pPr>
            <w:r>
              <w:rPr>
                <w:rFonts w:hint="eastAsia" w:ascii="仿宋" w:hAnsi="仿宋" w:eastAsia="仿宋" w:cs="仿宋"/>
                <w:color w:val="auto"/>
                <w:highlight w:val="none"/>
              </w:rPr>
              <w:t>单位地址：</w:t>
            </w:r>
          </w:p>
        </w:tc>
        <w:tc>
          <w:tcPr>
            <w:tcW w:w="5625" w:type="dxa"/>
            <w:gridSpan w:val="5"/>
            <w:tcBorders>
              <w:top w:val="nil"/>
              <w:left w:val="nil"/>
              <w:bottom w:val="nil"/>
              <w:right w:val="nil"/>
            </w:tcBorders>
            <w:vAlign w:val="center"/>
          </w:tcPr>
          <w:p w14:paraId="6BB0A2E7">
            <w:pPr>
              <w:pStyle w:val="13"/>
              <w:spacing w:line="480" w:lineRule="auto"/>
              <w:ind w:firstLine="0" w:firstLineChars="0"/>
              <w:rPr>
                <w:rFonts w:hint="eastAsia" w:ascii="仿宋" w:hAnsi="仿宋" w:eastAsia="仿宋" w:cs="仿宋"/>
                <w:color w:val="auto"/>
                <w:highlight w:val="none"/>
              </w:rPr>
            </w:pPr>
          </w:p>
        </w:tc>
        <w:tc>
          <w:tcPr>
            <w:tcW w:w="236" w:type="dxa"/>
            <w:gridSpan w:val="2"/>
            <w:vMerge w:val="continue"/>
            <w:tcBorders>
              <w:top w:val="nil"/>
              <w:left w:val="nil"/>
              <w:bottom w:val="nil"/>
              <w:right w:val="nil"/>
            </w:tcBorders>
            <w:vAlign w:val="center"/>
          </w:tcPr>
          <w:p w14:paraId="6320660C">
            <w:pPr>
              <w:widowControl/>
              <w:spacing w:line="480" w:lineRule="auto"/>
              <w:jc w:val="distribute"/>
              <w:rPr>
                <w:rFonts w:hint="eastAsia" w:ascii="仿宋" w:hAnsi="仿宋" w:eastAsia="仿宋" w:cs="仿宋"/>
                <w:color w:val="auto"/>
                <w:sz w:val="52"/>
                <w:highlight w:val="none"/>
              </w:rPr>
            </w:pPr>
          </w:p>
        </w:tc>
      </w:tr>
      <w:tr w14:paraId="38D6A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1105" w:hRule="atLeast"/>
        </w:trPr>
        <w:tc>
          <w:tcPr>
            <w:tcW w:w="8782" w:type="dxa"/>
            <w:gridSpan w:val="8"/>
            <w:tcBorders>
              <w:top w:val="nil"/>
              <w:left w:val="nil"/>
              <w:bottom w:val="nil"/>
              <w:right w:val="nil"/>
            </w:tcBorders>
          </w:tcPr>
          <w:p w14:paraId="1156824F">
            <w:pPr>
              <w:pStyle w:val="14"/>
              <w:spacing w:line="480" w:lineRule="auto"/>
              <w:jc w:val="both"/>
              <w:rPr>
                <w:rFonts w:hint="eastAsia" w:ascii="仿宋" w:hAnsi="仿宋" w:eastAsia="仿宋" w:cs="仿宋"/>
                <w:color w:val="auto"/>
                <w:highlight w:val="none"/>
              </w:rPr>
            </w:pPr>
          </w:p>
          <w:p w14:paraId="0B305A8E">
            <w:pPr>
              <w:pStyle w:val="14"/>
              <w:spacing w:line="480" w:lineRule="auto"/>
              <w:rPr>
                <w:rFonts w:hint="eastAsia" w:ascii="仿宋" w:hAnsi="仿宋" w:eastAsia="仿宋" w:cs="仿宋"/>
                <w:color w:val="auto"/>
                <w:highlight w:val="none"/>
              </w:rPr>
            </w:pPr>
            <w:r>
              <w:rPr>
                <w:rFonts w:hint="eastAsia" w:ascii="仿宋" w:hAnsi="仿宋" w:eastAsia="仿宋" w:cs="仿宋"/>
                <w:color w:val="auto"/>
                <w:highlight w:val="none"/>
              </w:rPr>
              <w:t>二〇XX年  月</w:t>
            </w:r>
          </w:p>
        </w:tc>
      </w:tr>
    </w:tbl>
    <w:p w14:paraId="76D9EAF0">
      <w:pPr>
        <w:pStyle w:val="2"/>
        <w:spacing w:line="480" w:lineRule="auto"/>
        <w:ind w:firstLine="0" w:firstLineChars="0"/>
        <w:jc w:val="center"/>
        <w:rPr>
          <w:rFonts w:hint="eastAsia" w:ascii="仿宋" w:hAnsi="仿宋" w:eastAsia="仿宋" w:cs="仿宋"/>
          <w:b/>
          <w:bCs w:val="0"/>
          <w:color w:val="auto"/>
          <w:kern w:val="36"/>
          <w:sz w:val="52"/>
          <w:szCs w:val="52"/>
          <w:highlight w:val="none"/>
          <w:lang w:val="en-US" w:eastAsia="zh-CN" w:bidi="ar-SA"/>
        </w:rPr>
      </w:pPr>
      <w:r>
        <w:rPr>
          <w:rFonts w:hint="eastAsia" w:ascii="仿宋" w:hAnsi="仿宋" w:eastAsia="仿宋" w:cs="仿宋"/>
          <w:b/>
          <w:bCs w:val="0"/>
          <w:color w:val="auto"/>
          <w:kern w:val="36"/>
          <w:sz w:val="52"/>
          <w:szCs w:val="52"/>
          <w:highlight w:val="none"/>
          <w:lang w:val="en-US" w:eastAsia="zh-CN" w:bidi="ar-SA"/>
        </w:rPr>
        <w:t>合同须知</w:t>
      </w:r>
    </w:p>
    <w:p w14:paraId="795A3B25">
      <w:pPr>
        <w:pStyle w:val="4"/>
        <w:numPr>
          <w:ilvl w:val="0"/>
          <w:numId w:val="1"/>
        </w:numPr>
        <w:spacing w:before="0" w:line="480" w:lineRule="auto"/>
        <w:ind w:right="0" w:firstLine="560" w:firstLineChars="200"/>
        <w:jc w:val="both"/>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合同正文首页甲乙双方信息要求填写完整，乙方公司名称处加盖公章。</w:t>
      </w:r>
    </w:p>
    <w:p w14:paraId="651C1548">
      <w:pPr>
        <w:pStyle w:val="4"/>
        <w:numPr>
          <w:ilvl w:val="0"/>
          <w:numId w:val="1"/>
        </w:numPr>
        <w:spacing w:before="0" w:line="480" w:lineRule="auto"/>
        <w:ind w:right="0" w:firstLine="560" w:firstLineChars="200"/>
        <w:jc w:val="both"/>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合同遵循不留空白的原则（无约定的空白处划“/”）。</w:t>
      </w:r>
    </w:p>
    <w:p w14:paraId="79FEEFAA">
      <w:pPr>
        <w:pStyle w:val="4"/>
        <w:numPr>
          <w:ilvl w:val="0"/>
          <w:numId w:val="1"/>
        </w:numPr>
        <w:spacing w:before="0" w:line="480" w:lineRule="auto"/>
        <w:ind w:right="0" w:firstLine="560" w:firstLineChars="200"/>
        <w:jc w:val="both"/>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产品价格按甲乙双方商定的最终价格规范填写，不允许乱写涂改。</w:t>
      </w:r>
    </w:p>
    <w:p w14:paraId="6B226EA7">
      <w:pPr>
        <w:pStyle w:val="4"/>
        <w:numPr>
          <w:ilvl w:val="0"/>
          <w:numId w:val="1"/>
        </w:numPr>
        <w:spacing w:before="0" w:line="480" w:lineRule="auto"/>
        <w:ind w:right="0" w:firstLine="560" w:firstLineChars="200"/>
        <w:jc w:val="both"/>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合同金额要同时规范填写大写和小写形式。</w:t>
      </w:r>
    </w:p>
    <w:p w14:paraId="07542442">
      <w:pPr>
        <w:pStyle w:val="4"/>
        <w:numPr>
          <w:ilvl w:val="0"/>
          <w:numId w:val="1"/>
        </w:numPr>
        <w:spacing w:before="0" w:line="480" w:lineRule="auto"/>
        <w:ind w:right="0" w:firstLine="560" w:firstLineChars="200"/>
        <w:jc w:val="both"/>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合同正文尾页的法定代表人或委托代理人签字原则上为手签，信息填写完善后加盖公章。</w:t>
      </w:r>
    </w:p>
    <w:p w14:paraId="557817C4">
      <w:pPr>
        <w:pStyle w:val="4"/>
        <w:numPr>
          <w:ilvl w:val="0"/>
          <w:numId w:val="1"/>
        </w:numPr>
        <w:spacing w:before="0" w:line="480" w:lineRule="auto"/>
        <w:ind w:right="0" w:firstLine="560" w:firstLineChars="200"/>
        <w:jc w:val="both"/>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合同签字页有正文，不允许单独成页。</w:t>
      </w:r>
    </w:p>
    <w:p w14:paraId="7DAB5C4C">
      <w:pPr>
        <w:pStyle w:val="4"/>
        <w:numPr>
          <w:ilvl w:val="0"/>
          <w:numId w:val="1"/>
        </w:numPr>
        <w:spacing w:before="0" w:line="480" w:lineRule="auto"/>
        <w:ind w:right="0" w:firstLine="560" w:firstLineChars="200"/>
        <w:jc w:val="both"/>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合同双面打印，加盖骑缝章。</w:t>
      </w:r>
    </w:p>
    <w:p w14:paraId="4FACF096">
      <w:pPr>
        <w:pStyle w:val="4"/>
        <w:numPr>
          <w:ilvl w:val="0"/>
          <w:numId w:val="1"/>
        </w:numPr>
        <w:spacing w:before="0" w:line="480" w:lineRule="auto"/>
        <w:ind w:right="0" w:firstLine="560" w:firstLineChars="200"/>
        <w:jc w:val="both"/>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乙方收到甲方提供的合同模板后，要求3个工作日内送达纸质版合同。</w:t>
      </w:r>
    </w:p>
    <w:p w14:paraId="312D82D4">
      <w:pPr>
        <w:spacing w:line="480" w:lineRule="auto"/>
        <w:ind w:firstLine="560" w:firstLineChars="200"/>
        <w:rPr>
          <w:rFonts w:hint="eastAsia" w:ascii="仿宋" w:hAnsi="仿宋" w:eastAsia="仿宋" w:cs="仿宋"/>
          <w:color w:val="auto"/>
          <w:highlight w:val="none"/>
          <w:lang w:val="en-US" w:eastAsia="zh-CN"/>
        </w:rPr>
      </w:pPr>
      <w:r>
        <w:rPr>
          <w:rFonts w:hint="eastAsia" w:ascii="仿宋" w:hAnsi="仿宋" w:eastAsia="仿宋" w:cs="仿宋"/>
          <w:color w:val="auto"/>
          <w:sz w:val="28"/>
          <w:szCs w:val="28"/>
          <w:highlight w:val="none"/>
          <w:shd w:val="clear" w:color="auto" w:fill="auto"/>
          <w:lang w:val="en-US" w:eastAsia="zh-CN"/>
        </w:rPr>
        <w:t>9、乙方未按要求将合同送达，视为乙方放弃签署合同。</w:t>
      </w:r>
    </w:p>
    <w:p w14:paraId="28C0B9FA">
      <w:pPr>
        <w:pStyle w:val="4"/>
        <w:spacing w:before="38" w:line="480" w:lineRule="auto"/>
        <w:ind w:right="531" w:firstLine="2200" w:firstLineChars="500"/>
        <w:jc w:val="both"/>
        <w:rPr>
          <w:rFonts w:hint="eastAsia" w:ascii="仿宋" w:hAnsi="仿宋" w:eastAsia="仿宋" w:cs="仿宋"/>
          <w:color w:val="auto"/>
          <w:highlight w:val="none"/>
          <w:lang w:val="en-US"/>
        </w:rPr>
      </w:pPr>
    </w:p>
    <w:p w14:paraId="12E83ADF">
      <w:pPr>
        <w:pStyle w:val="4"/>
        <w:spacing w:before="38" w:line="480" w:lineRule="auto"/>
        <w:ind w:right="531" w:firstLine="2200" w:firstLineChars="500"/>
        <w:jc w:val="both"/>
        <w:rPr>
          <w:rFonts w:hint="eastAsia" w:ascii="仿宋" w:hAnsi="仿宋" w:eastAsia="仿宋" w:cs="仿宋"/>
          <w:color w:val="auto"/>
          <w:highlight w:val="none"/>
          <w:lang w:val="en-US"/>
        </w:rPr>
        <w:sectPr>
          <w:footerReference r:id="rId3" w:type="default"/>
          <w:pgSz w:w="11906" w:h="16838"/>
          <w:pgMar w:top="1440" w:right="746" w:bottom="1440" w:left="1080" w:header="851" w:footer="992" w:gutter="0"/>
          <w:pgNumType w:fmt="decimal" w:start="1"/>
          <w:cols w:space="720" w:num="1"/>
          <w:docGrid w:type="lines" w:linePitch="312" w:charSpace="0"/>
        </w:sectPr>
      </w:pPr>
    </w:p>
    <w:p w14:paraId="00BD66EF">
      <w:pPr>
        <w:widowControl/>
        <w:spacing w:line="480" w:lineRule="auto"/>
        <w:jc w:val="center"/>
        <w:outlineLvl w:val="0"/>
        <w:rPr>
          <w:rFonts w:hint="eastAsia" w:ascii="仿宋" w:hAnsi="仿宋" w:eastAsia="仿宋" w:cs="仿宋"/>
          <w:b/>
          <w:color w:val="auto"/>
          <w:kern w:val="44"/>
          <w:sz w:val="36"/>
          <w:highlight w:val="none"/>
        </w:rPr>
      </w:pPr>
      <w:r>
        <w:rPr>
          <w:rFonts w:hint="eastAsia" w:ascii="仿宋" w:hAnsi="仿宋" w:eastAsia="仿宋" w:cs="仿宋"/>
          <w:b/>
          <w:color w:val="auto"/>
          <w:kern w:val="44"/>
          <w:sz w:val="36"/>
          <w:highlight w:val="none"/>
        </w:rPr>
        <w:t>合同条款</w:t>
      </w:r>
      <w:bookmarkEnd w:id="0"/>
    </w:p>
    <w:tbl>
      <w:tblPr>
        <w:tblStyle w:val="8"/>
        <w:tblpPr w:leftFromText="180" w:rightFromText="180" w:vertAnchor="text" w:horzAnchor="page" w:tblpX="865" w:tblpY="467"/>
        <w:tblOverlap w:val="never"/>
        <w:tblW w:w="1064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371"/>
        <w:gridCol w:w="5276"/>
      </w:tblGrid>
      <w:tr w14:paraId="487C1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5695C133">
            <w:pPr>
              <w:spacing w:line="480" w:lineRule="auto"/>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甲方（采购人）：海南医科大学第一附属医院</w:t>
            </w:r>
          </w:p>
        </w:tc>
        <w:tc>
          <w:tcPr>
            <w:tcW w:w="5276" w:type="dxa"/>
            <w:noWrap w:val="0"/>
            <w:vAlign w:val="center"/>
          </w:tcPr>
          <w:p w14:paraId="3030942C">
            <w:pPr>
              <w:spacing w:line="480" w:lineRule="auto"/>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乙方（中标人）：                      </w:t>
            </w:r>
          </w:p>
        </w:tc>
      </w:tr>
      <w:tr w14:paraId="5BA30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exact"/>
        </w:trPr>
        <w:tc>
          <w:tcPr>
            <w:tcW w:w="5371" w:type="dxa"/>
            <w:noWrap w:val="0"/>
            <w:vAlign w:val="center"/>
          </w:tcPr>
          <w:p w14:paraId="30C4C916">
            <w:pPr>
              <w:spacing w:line="480" w:lineRule="auto"/>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地址：海口市龙华路31号</w:t>
            </w:r>
          </w:p>
        </w:tc>
        <w:tc>
          <w:tcPr>
            <w:tcW w:w="5276" w:type="dxa"/>
            <w:noWrap w:val="0"/>
            <w:vAlign w:val="top"/>
          </w:tcPr>
          <w:p w14:paraId="41E51818">
            <w:pPr>
              <w:spacing w:line="480" w:lineRule="auto"/>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地址：</w:t>
            </w:r>
          </w:p>
        </w:tc>
      </w:tr>
      <w:tr w14:paraId="598CE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5D7CFEC4">
            <w:pPr>
              <w:spacing w:line="480" w:lineRule="auto"/>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法人代表：徐剑</w:t>
            </w:r>
          </w:p>
        </w:tc>
        <w:tc>
          <w:tcPr>
            <w:tcW w:w="5276" w:type="dxa"/>
            <w:noWrap w:val="0"/>
            <w:vAlign w:val="center"/>
          </w:tcPr>
          <w:p w14:paraId="6D6F2EA1">
            <w:pPr>
              <w:spacing w:line="480" w:lineRule="auto"/>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法人代表：</w:t>
            </w:r>
          </w:p>
        </w:tc>
      </w:tr>
      <w:tr w14:paraId="49F8B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24E62D38">
            <w:pPr>
              <w:spacing w:line="480" w:lineRule="auto"/>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电话：0898-66702999</w:t>
            </w:r>
          </w:p>
        </w:tc>
        <w:tc>
          <w:tcPr>
            <w:tcW w:w="5276" w:type="dxa"/>
            <w:noWrap w:val="0"/>
            <w:vAlign w:val="center"/>
          </w:tcPr>
          <w:p w14:paraId="66ABBE29">
            <w:pPr>
              <w:spacing w:line="480" w:lineRule="auto"/>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电话：</w:t>
            </w:r>
          </w:p>
        </w:tc>
      </w:tr>
      <w:tr w14:paraId="6AE9A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22ACB915">
            <w:pPr>
              <w:spacing w:line="480" w:lineRule="auto"/>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传真：0898-66782831</w:t>
            </w:r>
          </w:p>
        </w:tc>
        <w:tc>
          <w:tcPr>
            <w:tcW w:w="5276" w:type="dxa"/>
            <w:noWrap w:val="0"/>
            <w:vAlign w:val="center"/>
          </w:tcPr>
          <w:p w14:paraId="30709A5A">
            <w:pPr>
              <w:spacing w:line="480" w:lineRule="auto"/>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传真：</w:t>
            </w:r>
          </w:p>
        </w:tc>
      </w:tr>
      <w:tr w14:paraId="4400B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exact"/>
        </w:trPr>
        <w:tc>
          <w:tcPr>
            <w:tcW w:w="5371" w:type="dxa"/>
            <w:noWrap w:val="0"/>
            <w:vAlign w:val="center"/>
          </w:tcPr>
          <w:p w14:paraId="44207C38">
            <w:pPr>
              <w:spacing w:line="480" w:lineRule="auto"/>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开户银行：兴业银行海口滨海支行</w:t>
            </w:r>
          </w:p>
        </w:tc>
        <w:tc>
          <w:tcPr>
            <w:tcW w:w="5276" w:type="dxa"/>
            <w:noWrap w:val="0"/>
            <w:vAlign w:val="center"/>
          </w:tcPr>
          <w:p w14:paraId="2DD80E31">
            <w:pPr>
              <w:spacing w:line="480" w:lineRule="auto"/>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开户银行：</w:t>
            </w:r>
          </w:p>
        </w:tc>
      </w:tr>
      <w:tr w14:paraId="09600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4580DF3E">
            <w:pPr>
              <w:spacing w:line="480" w:lineRule="auto"/>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账号：622020100100109943</w:t>
            </w:r>
          </w:p>
        </w:tc>
        <w:tc>
          <w:tcPr>
            <w:tcW w:w="5276" w:type="dxa"/>
            <w:noWrap w:val="0"/>
            <w:vAlign w:val="center"/>
          </w:tcPr>
          <w:p w14:paraId="4C79FA36">
            <w:pPr>
              <w:spacing w:line="480" w:lineRule="auto"/>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账号：</w:t>
            </w:r>
          </w:p>
        </w:tc>
      </w:tr>
      <w:tr w14:paraId="0E582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2396424B">
            <w:pPr>
              <w:spacing w:line="480" w:lineRule="auto"/>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税号：12460000428201364F</w:t>
            </w:r>
          </w:p>
        </w:tc>
        <w:tc>
          <w:tcPr>
            <w:tcW w:w="5276" w:type="dxa"/>
            <w:noWrap w:val="0"/>
            <w:vAlign w:val="center"/>
          </w:tcPr>
          <w:p w14:paraId="51E11DFF">
            <w:pPr>
              <w:spacing w:line="480" w:lineRule="auto"/>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税号：</w:t>
            </w:r>
          </w:p>
          <w:p w14:paraId="4CB0B899">
            <w:pPr>
              <w:spacing w:line="480" w:lineRule="auto"/>
              <w:ind w:firstLine="0" w:firstLineChars="0"/>
              <w:jc w:val="both"/>
              <w:rPr>
                <w:rFonts w:hint="eastAsia" w:ascii="仿宋" w:hAnsi="仿宋" w:eastAsia="仿宋" w:cs="仿宋"/>
                <w:color w:val="auto"/>
                <w:sz w:val="24"/>
                <w:szCs w:val="24"/>
                <w:highlight w:val="none"/>
                <w:lang w:val="en-US" w:eastAsia="zh-CN"/>
              </w:rPr>
            </w:pPr>
          </w:p>
        </w:tc>
      </w:tr>
    </w:tbl>
    <w:p w14:paraId="1AC778DE">
      <w:pPr>
        <w:spacing w:line="480" w:lineRule="auto"/>
        <w:ind w:firstLine="480" w:firstLineChars="200"/>
        <w:jc w:val="both"/>
        <w:rPr>
          <w:rFonts w:hint="eastAsia" w:ascii="仿宋" w:hAnsi="仿宋" w:eastAsia="仿宋" w:cs="仿宋"/>
          <w:b/>
          <w:color w:val="auto"/>
          <w:sz w:val="28"/>
          <w:highlight w:val="none"/>
          <w:lang w:eastAsia="zh-CN"/>
        </w:rPr>
      </w:pPr>
      <w:r>
        <w:rPr>
          <w:rFonts w:hint="eastAsia" w:ascii="仿宋" w:hAnsi="仿宋" w:eastAsia="仿宋" w:cs="仿宋"/>
          <w:color w:val="auto"/>
          <w:sz w:val="24"/>
          <w:szCs w:val="24"/>
          <w:highlight w:val="none"/>
        </w:rPr>
        <w:t>甲乙双方根据</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lang w:val="en-US"/>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日 </w:t>
      </w:r>
      <w:r>
        <w:rPr>
          <w:rFonts w:hint="eastAsia" w:ascii="仿宋" w:hAnsi="仿宋" w:eastAsia="仿宋" w:cs="仿宋"/>
          <w:color w:val="auto"/>
          <w:sz w:val="24"/>
          <w:szCs w:val="24"/>
          <w:highlight w:val="none"/>
          <w:lang w:val="en-US" w:eastAsia="zh-CN"/>
        </w:rPr>
        <w:t>XX</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lang w:val="en-US" w:eastAsia="zh-CN"/>
        </w:rPr>
        <w:t>XX</w:t>
      </w:r>
      <w:r>
        <w:rPr>
          <w:rFonts w:hint="eastAsia" w:ascii="仿宋" w:hAnsi="仿宋" w:eastAsia="仿宋" w:cs="仿宋"/>
          <w:color w:val="auto"/>
          <w:sz w:val="24"/>
          <w:szCs w:val="24"/>
          <w:highlight w:val="none"/>
          <w:u w:val="single" w:color="auto"/>
        </w:rPr>
        <w:t xml:space="preserve"> </w:t>
      </w:r>
      <w:r>
        <w:rPr>
          <w:rFonts w:hint="eastAsia" w:ascii="仿宋" w:hAnsi="仿宋" w:eastAsia="仿宋" w:cs="仿宋"/>
          <w:color w:val="auto"/>
          <w:sz w:val="24"/>
          <w:szCs w:val="24"/>
          <w:highlight w:val="none"/>
        </w:rPr>
        <w:t>）公开招标结果及招标文件的要求，经协商一致，同意以下条款作为本项目合同条款。根据《中华人民共和国民法典》和有关法律法规，遵循平等、自愿、公平和诚实信用原则，同意按照下面的条款和条件订立采购合同，共同信守</w:t>
      </w:r>
      <w:r>
        <w:rPr>
          <w:rFonts w:hint="eastAsia" w:ascii="仿宋" w:hAnsi="仿宋" w:eastAsia="仿宋" w:cs="仿宋"/>
          <w:color w:val="auto"/>
          <w:sz w:val="24"/>
          <w:szCs w:val="24"/>
          <w:highlight w:val="none"/>
          <w:lang w:eastAsia="zh-CN"/>
        </w:rPr>
        <w:t>。</w:t>
      </w:r>
    </w:p>
    <w:p w14:paraId="1E543AA7">
      <w:pPr>
        <w:spacing w:before="17" w:line="480" w:lineRule="auto"/>
        <w:rPr>
          <w:rFonts w:hint="eastAsia" w:ascii="仿宋" w:hAnsi="仿宋" w:eastAsia="仿宋" w:cs="仿宋"/>
          <w:color w:val="auto"/>
          <w:highlight w:val="none"/>
        </w:rPr>
      </w:pPr>
      <w:r>
        <w:rPr>
          <w:rFonts w:hint="eastAsia" w:ascii="仿宋" w:hAnsi="仿宋" w:eastAsia="仿宋" w:cs="仿宋"/>
          <w:b/>
          <w:color w:val="auto"/>
          <w:sz w:val="28"/>
          <w:highlight w:val="none"/>
        </w:rPr>
        <w:t>一、合同标的及金额等（详见附件清单）</w:t>
      </w:r>
    </w:p>
    <w:tbl>
      <w:tblPr>
        <w:tblStyle w:val="8"/>
        <w:tblpPr w:leftFromText="180" w:rightFromText="180" w:vertAnchor="text" w:horzAnchor="page" w:tblpX="520" w:tblpY="487"/>
        <w:tblOverlap w:val="never"/>
        <w:tblW w:w="11180" w:type="dxa"/>
        <w:tblInd w:w="0" w:type="dxa"/>
        <w:tblLayout w:type="fixed"/>
        <w:tblCellMar>
          <w:top w:w="0" w:type="dxa"/>
          <w:left w:w="108" w:type="dxa"/>
          <w:bottom w:w="0" w:type="dxa"/>
          <w:right w:w="108" w:type="dxa"/>
        </w:tblCellMar>
      </w:tblPr>
      <w:tblGrid>
        <w:gridCol w:w="525"/>
        <w:gridCol w:w="1596"/>
        <w:gridCol w:w="864"/>
        <w:gridCol w:w="595"/>
        <w:gridCol w:w="950"/>
        <w:gridCol w:w="1000"/>
        <w:gridCol w:w="1188"/>
        <w:gridCol w:w="1298"/>
        <w:gridCol w:w="731"/>
        <w:gridCol w:w="720"/>
        <w:gridCol w:w="1113"/>
        <w:gridCol w:w="600"/>
      </w:tblGrid>
      <w:tr w14:paraId="793375C1">
        <w:tblPrEx>
          <w:tblCellMar>
            <w:top w:w="0" w:type="dxa"/>
            <w:left w:w="108" w:type="dxa"/>
            <w:bottom w:w="0" w:type="dxa"/>
            <w:right w:w="108" w:type="dxa"/>
          </w:tblCellMar>
        </w:tblPrEx>
        <w:trPr>
          <w:trHeight w:val="840" w:hRule="atLeast"/>
        </w:trPr>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14:paraId="686337AA">
            <w:pPr>
              <w:keepNext w:val="0"/>
              <w:keepLines w:val="0"/>
              <w:pageBreakBefore w:val="0"/>
              <w:widowControl/>
              <w:kinsoku/>
              <w:wordWrap/>
              <w:overflowPunct/>
              <w:topLinePunct w:val="0"/>
              <w:autoSpaceDE/>
              <w:autoSpaceDN/>
              <w:bidi w:val="0"/>
              <w:adjustRightInd/>
              <w:snapToGrid/>
              <w:spacing w:line="48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596" w:type="dxa"/>
            <w:tcBorders>
              <w:top w:val="single" w:color="auto" w:sz="4" w:space="0"/>
              <w:left w:val="nil"/>
              <w:bottom w:val="single" w:color="auto" w:sz="4" w:space="0"/>
              <w:right w:val="single" w:color="auto" w:sz="4" w:space="0"/>
            </w:tcBorders>
            <w:shd w:val="clear" w:color="auto" w:fill="auto"/>
            <w:vAlign w:val="center"/>
          </w:tcPr>
          <w:p w14:paraId="46D8E225">
            <w:pPr>
              <w:keepNext w:val="0"/>
              <w:keepLines w:val="0"/>
              <w:pageBreakBefore w:val="0"/>
              <w:widowControl/>
              <w:kinsoku/>
              <w:wordWrap/>
              <w:overflowPunct/>
              <w:topLinePunct w:val="0"/>
              <w:autoSpaceDE/>
              <w:autoSpaceDN/>
              <w:bidi w:val="0"/>
              <w:adjustRightInd/>
              <w:snapToGrid/>
              <w:spacing w:line="48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产品名称</w:t>
            </w:r>
            <w:r>
              <w:rPr>
                <w:rFonts w:hint="eastAsia" w:ascii="仿宋" w:hAnsi="仿宋" w:eastAsia="仿宋" w:cs="仿宋"/>
                <w:color w:val="auto"/>
                <w:sz w:val="24"/>
                <w:szCs w:val="24"/>
                <w:highlight w:val="none"/>
                <w:shd w:val="clear" w:color="auto" w:fill="auto"/>
                <w:lang w:eastAsia="zh-CN"/>
              </w:rPr>
              <w:t>（</w:t>
            </w:r>
            <w:r>
              <w:rPr>
                <w:rFonts w:hint="eastAsia" w:ascii="仿宋" w:hAnsi="仿宋" w:eastAsia="仿宋" w:cs="仿宋"/>
                <w:color w:val="auto"/>
                <w:sz w:val="24"/>
                <w:szCs w:val="24"/>
                <w:highlight w:val="none"/>
                <w:shd w:val="clear" w:color="auto" w:fill="auto"/>
                <w:lang w:val="en-US" w:eastAsia="zh-CN"/>
              </w:rPr>
              <w:t>注册证名称</w:t>
            </w:r>
            <w:r>
              <w:rPr>
                <w:rFonts w:hint="eastAsia" w:ascii="仿宋" w:hAnsi="仿宋" w:eastAsia="仿宋" w:cs="仿宋"/>
                <w:color w:val="auto"/>
                <w:sz w:val="24"/>
                <w:szCs w:val="24"/>
                <w:highlight w:val="none"/>
                <w:shd w:val="clear" w:color="auto" w:fill="auto"/>
                <w:lang w:eastAsia="zh-CN"/>
              </w:rPr>
              <w:t>）</w:t>
            </w:r>
          </w:p>
        </w:tc>
        <w:tc>
          <w:tcPr>
            <w:tcW w:w="1459" w:type="dxa"/>
            <w:gridSpan w:val="2"/>
            <w:tcBorders>
              <w:top w:val="single" w:color="auto" w:sz="4" w:space="0"/>
              <w:left w:val="nil"/>
              <w:bottom w:val="single" w:color="auto" w:sz="4" w:space="0"/>
              <w:right w:val="single" w:color="auto" w:sz="4" w:space="0"/>
            </w:tcBorders>
            <w:shd w:val="clear" w:color="auto" w:fill="auto"/>
            <w:vAlign w:val="center"/>
          </w:tcPr>
          <w:p w14:paraId="1B5C66AF">
            <w:pPr>
              <w:keepNext w:val="0"/>
              <w:keepLines w:val="0"/>
              <w:pageBreakBefore w:val="0"/>
              <w:widowControl/>
              <w:kinsoku/>
              <w:wordWrap/>
              <w:overflowPunct/>
              <w:topLinePunct w:val="0"/>
              <w:autoSpaceDE/>
              <w:autoSpaceDN/>
              <w:bidi w:val="0"/>
              <w:adjustRightInd/>
              <w:snapToGrid/>
              <w:spacing w:line="48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项目内容/品牌、型号</w:t>
            </w:r>
          </w:p>
        </w:tc>
        <w:tc>
          <w:tcPr>
            <w:tcW w:w="950" w:type="dxa"/>
            <w:tcBorders>
              <w:top w:val="single" w:color="auto" w:sz="4" w:space="0"/>
              <w:left w:val="nil"/>
              <w:bottom w:val="single" w:color="auto" w:sz="4" w:space="0"/>
              <w:right w:val="single" w:color="auto" w:sz="4" w:space="0"/>
            </w:tcBorders>
            <w:shd w:val="clear" w:color="auto" w:fill="auto"/>
            <w:vAlign w:val="center"/>
          </w:tcPr>
          <w:p w14:paraId="68CCE56E">
            <w:pPr>
              <w:keepNext w:val="0"/>
              <w:keepLines w:val="0"/>
              <w:pageBreakBefore w:val="0"/>
              <w:widowControl/>
              <w:kinsoku/>
              <w:wordWrap/>
              <w:overflowPunct/>
              <w:topLinePunct w:val="0"/>
              <w:autoSpaceDE/>
              <w:autoSpaceDN/>
              <w:bidi w:val="0"/>
              <w:adjustRightInd/>
              <w:snapToGrid/>
              <w:spacing w:line="480" w:lineRule="auto"/>
              <w:jc w:val="center"/>
              <w:textAlignment w:val="auto"/>
              <w:rPr>
                <w:rFonts w:hint="eastAsia"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shd w:val="clear" w:color="auto" w:fill="auto"/>
                <w:lang w:val="en-US" w:eastAsia="zh-CN"/>
              </w:rPr>
              <w:t>注册证编号</w:t>
            </w:r>
          </w:p>
        </w:tc>
        <w:tc>
          <w:tcPr>
            <w:tcW w:w="1000" w:type="dxa"/>
            <w:tcBorders>
              <w:top w:val="single" w:color="auto" w:sz="4" w:space="0"/>
              <w:left w:val="nil"/>
              <w:bottom w:val="single" w:color="auto" w:sz="4" w:space="0"/>
              <w:right w:val="single" w:color="auto" w:sz="4" w:space="0"/>
            </w:tcBorders>
            <w:shd w:val="clear" w:color="auto" w:fill="auto"/>
            <w:vAlign w:val="center"/>
          </w:tcPr>
          <w:p w14:paraId="23E4BC43">
            <w:pPr>
              <w:keepNext w:val="0"/>
              <w:keepLines w:val="0"/>
              <w:pageBreakBefore w:val="0"/>
              <w:widowControl/>
              <w:kinsoku/>
              <w:wordWrap/>
              <w:overflowPunct/>
              <w:topLinePunct w:val="0"/>
              <w:autoSpaceDE/>
              <w:autoSpaceDN/>
              <w:bidi w:val="0"/>
              <w:adjustRightInd/>
              <w:snapToGrid/>
              <w:spacing w:line="48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原产国</w:t>
            </w:r>
          </w:p>
        </w:tc>
        <w:tc>
          <w:tcPr>
            <w:tcW w:w="1188" w:type="dxa"/>
            <w:tcBorders>
              <w:top w:val="single" w:color="auto" w:sz="4" w:space="0"/>
              <w:left w:val="nil"/>
              <w:bottom w:val="single" w:color="auto" w:sz="4" w:space="0"/>
              <w:right w:val="single" w:color="auto" w:sz="4" w:space="0"/>
            </w:tcBorders>
            <w:shd w:val="clear" w:color="auto" w:fill="auto"/>
            <w:vAlign w:val="center"/>
          </w:tcPr>
          <w:p w14:paraId="36E23935">
            <w:pPr>
              <w:keepNext w:val="0"/>
              <w:keepLines w:val="0"/>
              <w:pageBreakBefore w:val="0"/>
              <w:widowControl/>
              <w:kinsoku/>
              <w:wordWrap/>
              <w:overflowPunct/>
              <w:topLinePunct w:val="0"/>
              <w:autoSpaceDE/>
              <w:autoSpaceDN/>
              <w:bidi w:val="0"/>
              <w:adjustRightInd/>
              <w:snapToGrid/>
              <w:spacing w:line="48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生产厂商</w:t>
            </w:r>
          </w:p>
        </w:tc>
        <w:tc>
          <w:tcPr>
            <w:tcW w:w="1298" w:type="dxa"/>
            <w:tcBorders>
              <w:top w:val="single" w:color="auto" w:sz="4" w:space="0"/>
              <w:left w:val="nil"/>
              <w:bottom w:val="single" w:color="auto" w:sz="4" w:space="0"/>
              <w:right w:val="single" w:color="auto" w:sz="4" w:space="0"/>
            </w:tcBorders>
            <w:shd w:val="clear" w:color="auto" w:fill="auto"/>
            <w:vAlign w:val="center"/>
          </w:tcPr>
          <w:p w14:paraId="2B04A0A7">
            <w:pPr>
              <w:keepNext w:val="0"/>
              <w:keepLines w:val="0"/>
              <w:pageBreakBefore w:val="0"/>
              <w:widowControl/>
              <w:kinsoku/>
              <w:wordWrap/>
              <w:overflowPunct/>
              <w:topLinePunct w:val="0"/>
              <w:autoSpaceDE/>
              <w:autoSpaceDN/>
              <w:bidi w:val="0"/>
              <w:adjustRightInd/>
              <w:snapToGrid/>
              <w:spacing w:line="48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单价（元）</w:t>
            </w:r>
          </w:p>
        </w:tc>
        <w:tc>
          <w:tcPr>
            <w:tcW w:w="731" w:type="dxa"/>
            <w:tcBorders>
              <w:top w:val="single" w:color="auto" w:sz="4" w:space="0"/>
              <w:left w:val="nil"/>
              <w:bottom w:val="single" w:color="auto" w:sz="4" w:space="0"/>
              <w:right w:val="single" w:color="auto" w:sz="4" w:space="0"/>
            </w:tcBorders>
            <w:shd w:val="clear" w:color="auto" w:fill="auto"/>
            <w:vAlign w:val="center"/>
          </w:tcPr>
          <w:p w14:paraId="0D12AD2F">
            <w:pPr>
              <w:keepNext w:val="0"/>
              <w:keepLines w:val="0"/>
              <w:pageBreakBefore w:val="0"/>
              <w:widowControl/>
              <w:kinsoku/>
              <w:wordWrap/>
              <w:overflowPunct/>
              <w:topLinePunct w:val="0"/>
              <w:autoSpaceDE/>
              <w:autoSpaceDN/>
              <w:bidi w:val="0"/>
              <w:adjustRightInd/>
              <w:snapToGrid/>
              <w:spacing w:line="48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720" w:type="dxa"/>
            <w:tcBorders>
              <w:top w:val="single" w:color="auto" w:sz="4" w:space="0"/>
              <w:left w:val="nil"/>
              <w:bottom w:val="single" w:color="auto" w:sz="4" w:space="0"/>
              <w:right w:val="single" w:color="auto" w:sz="4" w:space="0"/>
            </w:tcBorders>
            <w:shd w:val="clear" w:color="auto" w:fill="auto"/>
            <w:vAlign w:val="center"/>
          </w:tcPr>
          <w:p w14:paraId="7583ACAC">
            <w:pPr>
              <w:keepNext w:val="0"/>
              <w:keepLines w:val="0"/>
              <w:pageBreakBefore w:val="0"/>
              <w:widowControl/>
              <w:kinsoku/>
              <w:wordWrap/>
              <w:overflowPunct/>
              <w:topLinePunct w:val="0"/>
              <w:autoSpaceDE/>
              <w:autoSpaceDN/>
              <w:bidi w:val="0"/>
              <w:adjustRightInd/>
              <w:snapToGrid/>
              <w:spacing w:line="48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w:t>
            </w:r>
          </w:p>
        </w:tc>
        <w:tc>
          <w:tcPr>
            <w:tcW w:w="1113" w:type="dxa"/>
            <w:tcBorders>
              <w:top w:val="single" w:color="auto" w:sz="4" w:space="0"/>
              <w:left w:val="nil"/>
              <w:bottom w:val="single" w:color="auto" w:sz="4" w:space="0"/>
              <w:right w:val="single" w:color="auto" w:sz="4" w:space="0"/>
            </w:tcBorders>
            <w:shd w:val="clear" w:color="auto" w:fill="auto"/>
            <w:vAlign w:val="center"/>
          </w:tcPr>
          <w:p w14:paraId="4BC1368B">
            <w:pPr>
              <w:keepNext w:val="0"/>
              <w:keepLines w:val="0"/>
              <w:pageBreakBefore w:val="0"/>
              <w:widowControl/>
              <w:kinsoku/>
              <w:wordWrap/>
              <w:overflowPunct/>
              <w:topLinePunct w:val="0"/>
              <w:autoSpaceDE/>
              <w:autoSpaceDN/>
              <w:bidi w:val="0"/>
              <w:adjustRightInd/>
              <w:snapToGrid/>
              <w:spacing w:line="48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合计（元）</w:t>
            </w:r>
          </w:p>
        </w:tc>
        <w:tc>
          <w:tcPr>
            <w:tcW w:w="600" w:type="dxa"/>
            <w:tcBorders>
              <w:top w:val="single" w:color="auto" w:sz="4" w:space="0"/>
              <w:left w:val="nil"/>
              <w:bottom w:val="single" w:color="auto" w:sz="4" w:space="0"/>
              <w:right w:val="single" w:color="auto" w:sz="4" w:space="0"/>
            </w:tcBorders>
            <w:shd w:val="clear" w:color="auto" w:fill="auto"/>
            <w:vAlign w:val="center"/>
          </w:tcPr>
          <w:p w14:paraId="43F431B0">
            <w:pPr>
              <w:keepNext w:val="0"/>
              <w:keepLines w:val="0"/>
              <w:pageBreakBefore w:val="0"/>
              <w:widowControl/>
              <w:kinsoku/>
              <w:wordWrap/>
              <w:overflowPunct/>
              <w:topLinePunct w:val="0"/>
              <w:autoSpaceDE/>
              <w:autoSpaceDN/>
              <w:bidi w:val="0"/>
              <w:adjustRightInd/>
              <w:snapToGrid/>
              <w:spacing w:line="48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14:paraId="1B79191E">
        <w:tblPrEx>
          <w:tblCellMar>
            <w:top w:w="0" w:type="dxa"/>
            <w:left w:w="108" w:type="dxa"/>
            <w:bottom w:w="0" w:type="dxa"/>
            <w:right w:w="108" w:type="dxa"/>
          </w:tblCellMar>
        </w:tblPrEx>
        <w:trPr>
          <w:trHeight w:val="840" w:hRule="atLeast"/>
        </w:trPr>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14:paraId="11CC280C">
            <w:pPr>
              <w:widowControl/>
              <w:spacing w:line="48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596" w:type="dxa"/>
            <w:tcBorders>
              <w:top w:val="single" w:color="auto" w:sz="4" w:space="0"/>
              <w:left w:val="nil"/>
              <w:bottom w:val="single" w:color="auto" w:sz="4" w:space="0"/>
              <w:right w:val="single" w:color="auto" w:sz="4" w:space="0"/>
            </w:tcBorders>
            <w:shd w:val="clear" w:color="auto" w:fill="auto"/>
            <w:vAlign w:val="center"/>
          </w:tcPr>
          <w:p w14:paraId="6582FA1E">
            <w:pPr>
              <w:keepNext w:val="0"/>
              <w:keepLines w:val="0"/>
              <w:widowControl/>
              <w:suppressLineNumbers w:val="0"/>
              <w:spacing w:line="480" w:lineRule="auto"/>
              <w:ind w:left="10" w:leftChars="0" w:right="139" w:rightChars="0" w:hanging="10" w:firstLineChars="0"/>
              <w:jc w:val="left"/>
              <w:textAlignment w:val="center"/>
              <w:outlineLvl w:val="9"/>
              <w:rPr>
                <w:rFonts w:hint="eastAsia" w:ascii="仿宋" w:hAnsi="仿宋" w:eastAsia="仿宋" w:cs="仿宋"/>
                <w:color w:val="auto"/>
                <w:kern w:val="2"/>
                <w:sz w:val="21"/>
                <w:szCs w:val="21"/>
                <w:highlight w:val="none"/>
                <w:lang w:val="en-US" w:eastAsia="zh-CN" w:bidi="ar-SA"/>
              </w:rPr>
            </w:pPr>
          </w:p>
        </w:tc>
        <w:tc>
          <w:tcPr>
            <w:tcW w:w="1459" w:type="dxa"/>
            <w:gridSpan w:val="2"/>
            <w:tcBorders>
              <w:top w:val="single" w:color="auto" w:sz="4" w:space="0"/>
              <w:left w:val="nil"/>
              <w:bottom w:val="single" w:color="auto" w:sz="4" w:space="0"/>
              <w:right w:val="single" w:color="auto" w:sz="4" w:space="0"/>
            </w:tcBorders>
            <w:shd w:val="clear" w:color="auto" w:fill="auto"/>
            <w:vAlign w:val="center"/>
          </w:tcPr>
          <w:p w14:paraId="3B197AA6">
            <w:pPr>
              <w:keepNext w:val="0"/>
              <w:keepLines w:val="0"/>
              <w:widowControl/>
              <w:suppressLineNumbers w:val="0"/>
              <w:spacing w:line="480" w:lineRule="auto"/>
              <w:ind w:left="218" w:leftChars="0" w:right="139" w:rightChars="0" w:hanging="218" w:hangingChars="104"/>
              <w:jc w:val="center"/>
              <w:textAlignment w:val="center"/>
              <w:outlineLvl w:val="9"/>
              <w:rPr>
                <w:rFonts w:hint="eastAsia" w:ascii="仿宋" w:hAnsi="仿宋" w:eastAsia="仿宋" w:cs="仿宋"/>
                <w:color w:val="auto"/>
                <w:kern w:val="2"/>
                <w:sz w:val="21"/>
                <w:szCs w:val="21"/>
                <w:highlight w:val="none"/>
                <w:lang w:val="en-US" w:eastAsia="zh-CN" w:bidi="ar-SA"/>
              </w:rPr>
            </w:pPr>
          </w:p>
        </w:tc>
        <w:tc>
          <w:tcPr>
            <w:tcW w:w="950" w:type="dxa"/>
            <w:tcBorders>
              <w:top w:val="single" w:color="auto" w:sz="4" w:space="0"/>
              <w:left w:val="nil"/>
              <w:bottom w:val="single" w:color="auto" w:sz="4" w:space="0"/>
              <w:right w:val="single" w:color="auto" w:sz="4" w:space="0"/>
            </w:tcBorders>
            <w:shd w:val="clear" w:color="auto" w:fill="auto"/>
            <w:vAlign w:val="center"/>
          </w:tcPr>
          <w:p w14:paraId="0799F7B6">
            <w:pPr>
              <w:widowControl/>
              <w:spacing w:line="480" w:lineRule="auto"/>
              <w:jc w:val="center"/>
              <w:rPr>
                <w:rFonts w:hint="eastAsia" w:ascii="仿宋" w:hAnsi="仿宋" w:eastAsia="仿宋" w:cs="仿宋"/>
                <w:color w:val="auto"/>
                <w:sz w:val="24"/>
                <w:szCs w:val="24"/>
                <w:highlight w:val="none"/>
                <w:lang w:val="en-US" w:eastAsia="zh-CN"/>
              </w:rPr>
            </w:pPr>
          </w:p>
        </w:tc>
        <w:tc>
          <w:tcPr>
            <w:tcW w:w="1000" w:type="dxa"/>
            <w:tcBorders>
              <w:top w:val="single" w:color="auto" w:sz="4" w:space="0"/>
              <w:left w:val="nil"/>
              <w:bottom w:val="single" w:color="auto" w:sz="4" w:space="0"/>
              <w:right w:val="single" w:color="auto" w:sz="4" w:space="0"/>
            </w:tcBorders>
            <w:shd w:val="clear" w:color="auto" w:fill="auto"/>
            <w:vAlign w:val="center"/>
          </w:tcPr>
          <w:p w14:paraId="0EC49E3F">
            <w:pPr>
              <w:widowControl/>
              <w:spacing w:line="480" w:lineRule="auto"/>
              <w:jc w:val="center"/>
              <w:rPr>
                <w:rFonts w:hint="eastAsia" w:ascii="仿宋" w:hAnsi="仿宋" w:eastAsia="仿宋" w:cs="仿宋"/>
                <w:color w:val="auto"/>
                <w:sz w:val="24"/>
                <w:szCs w:val="24"/>
                <w:highlight w:val="none"/>
                <w:lang w:val="en-US" w:eastAsia="zh-CN"/>
              </w:rPr>
            </w:pPr>
          </w:p>
        </w:tc>
        <w:tc>
          <w:tcPr>
            <w:tcW w:w="1188" w:type="dxa"/>
            <w:tcBorders>
              <w:top w:val="single" w:color="auto" w:sz="4" w:space="0"/>
              <w:left w:val="nil"/>
              <w:bottom w:val="single" w:color="auto" w:sz="4" w:space="0"/>
              <w:right w:val="single" w:color="auto" w:sz="4" w:space="0"/>
            </w:tcBorders>
            <w:shd w:val="clear" w:color="auto" w:fill="auto"/>
            <w:vAlign w:val="center"/>
          </w:tcPr>
          <w:p w14:paraId="3637DBB6">
            <w:pPr>
              <w:keepNext w:val="0"/>
              <w:keepLines w:val="0"/>
              <w:widowControl/>
              <w:suppressLineNumbers w:val="0"/>
              <w:spacing w:line="480" w:lineRule="auto"/>
              <w:ind w:left="10" w:leftChars="0" w:right="139" w:rightChars="0" w:hanging="10" w:firstLineChars="0"/>
              <w:jc w:val="left"/>
              <w:textAlignment w:val="center"/>
              <w:outlineLvl w:val="9"/>
              <w:rPr>
                <w:rFonts w:hint="eastAsia" w:ascii="仿宋" w:hAnsi="仿宋" w:eastAsia="仿宋" w:cs="仿宋"/>
                <w:color w:val="auto"/>
                <w:kern w:val="2"/>
                <w:sz w:val="21"/>
                <w:szCs w:val="21"/>
                <w:highlight w:val="none"/>
                <w:lang w:val="en-US" w:eastAsia="zh-CN" w:bidi="ar-SA"/>
              </w:rPr>
            </w:pPr>
          </w:p>
        </w:tc>
        <w:tc>
          <w:tcPr>
            <w:tcW w:w="1298" w:type="dxa"/>
            <w:tcBorders>
              <w:top w:val="single" w:color="auto" w:sz="4" w:space="0"/>
              <w:left w:val="nil"/>
              <w:bottom w:val="single" w:color="auto" w:sz="4" w:space="0"/>
              <w:right w:val="single" w:color="auto" w:sz="4" w:space="0"/>
            </w:tcBorders>
            <w:shd w:val="clear" w:color="auto" w:fill="auto"/>
            <w:vAlign w:val="center"/>
          </w:tcPr>
          <w:p w14:paraId="177985E7">
            <w:pPr>
              <w:spacing w:after="0" w:line="480" w:lineRule="auto"/>
              <w:ind w:left="2" w:leftChars="0" w:right="0" w:rightChars="0" w:firstLine="0" w:firstLineChars="0"/>
              <w:jc w:val="center"/>
              <w:outlineLvl w:val="9"/>
              <w:rPr>
                <w:rFonts w:hint="eastAsia" w:ascii="仿宋" w:hAnsi="仿宋" w:eastAsia="仿宋" w:cs="仿宋"/>
                <w:color w:val="auto"/>
                <w:kern w:val="2"/>
                <w:sz w:val="21"/>
                <w:szCs w:val="21"/>
                <w:highlight w:val="none"/>
                <w:lang w:val="en-US" w:eastAsia="zh-CN" w:bidi="ar-SA"/>
              </w:rPr>
            </w:pPr>
          </w:p>
        </w:tc>
        <w:tc>
          <w:tcPr>
            <w:tcW w:w="731" w:type="dxa"/>
            <w:tcBorders>
              <w:top w:val="single" w:color="auto" w:sz="4" w:space="0"/>
              <w:left w:val="nil"/>
              <w:bottom w:val="single" w:color="auto" w:sz="4" w:space="0"/>
              <w:right w:val="single" w:color="auto" w:sz="4" w:space="0"/>
            </w:tcBorders>
            <w:shd w:val="clear" w:color="auto" w:fill="auto"/>
            <w:vAlign w:val="center"/>
          </w:tcPr>
          <w:p w14:paraId="7294D142">
            <w:pPr>
              <w:keepNext w:val="0"/>
              <w:keepLines w:val="0"/>
              <w:widowControl/>
              <w:suppressLineNumbers w:val="0"/>
              <w:spacing w:line="480" w:lineRule="auto"/>
              <w:ind w:left="10" w:leftChars="0" w:right="139" w:rightChars="0" w:hanging="10" w:firstLineChars="0"/>
              <w:jc w:val="center"/>
              <w:textAlignment w:val="center"/>
              <w:outlineLvl w:val="9"/>
              <w:rPr>
                <w:rFonts w:hint="eastAsia" w:ascii="仿宋" w:hAnsi="仿宋" w:eastAsia="仿宋" w:cs="仿宋"/>
                <w:color w:val="auto"/>
                <w:kern w:val="2"/>
                <w:sz w:val="21"/>
                <w:szCs w:val="21"/>
                <w:highlight w:val="none"/>
                <w:lang w:val="en-US" w:eastAsia="zh-CN" w:bidi="ar-SA"/>
              </w:rPr>
            </w:pPr>
          </w:p>
        </w:tc>
        <w:tc>
          <w:tcPr>
            <w:tcW w:w="720" w:type="dxa"/>
            <w:tcBorders>
              <w:top w:val="single" w:color="auto" w:sz="4" w:space="0"/>
              <w:left w:val="nil"/>
              <w:bottom w:val="single" w:color="auto" w:sz="4" w:space="0"/>
              <w:right w:val="single" w:color="auto" w:sz="4" w:space="0"/>
            </w:tcBorders>
            <w:shd w:val="clear" w:color="auto" w:fill="auto"/>
            <w:vAlign w:val="center"/>
          </w:tcPr>
          <w:p w14:paraId="42395F01">
            <w:pPr>
              <w:widowControl/>
              <w:spacing w:line="480" w:lineRule="auto"/>
              <w:jc w:val="center"/>
              <w:rPr>
                <w:rFonts w:hint="eastAsia" w:ascii="仿宋" w:hAnsi="仿宋" w:eastAsia="仿宋" w:cs="仿宋"/>
                <w:color w:val="auto"/>
                <w:sz w:val="24"/>
                <w:szCs w:val="24"/>
                <w:highlight w:val="none"/>
                <w:lang w:val="en-US" w:eastAsia="zh-CN"/>
              </w:rPr>
            </w:pPr>
          </w:p>
        </w:tc>
        <w:tc>
          <w:tcPr>
            <w:tcW w:w="1113" w:type="dxa"/>
            <w:tcBorders>
              <w:top w:val="single" w:color="auto" w:sz="4" w:space="0"/>
              <w:left w:val="nil"/>
              <w:bottom w:val="single" w:color="auto" w:sz="4" w:space="0"/>
              <w:right w:val="single" w:color="auto" w:sz="4" w:space="0"/>
            </w:tcBorders>
            <w:shd w:val="clear" w:color="auto" w:fill="auto"/>
            <w:vAlign w:val="center"/>
          </w:tcPr>
          <w:p w14:paraId="31D694A7">
            <w:pPr>
              <w:spacing w:after="0" w:line="480" w:lineRule="auto"/>
              <w:ind w:left="2" w:leftChars="0" w:right="0" w:rightChars="0" w:firstLine="0" w:firstLineChars="0"/>
              <w:jc w:val="center"/>
              <w:outlineLvl w:val="9"/>
              <w:rPr>
                <w:rFonts w:hint="eastAsia" w:ascii="仿宋" w:hAnsi="仿宋" w:eastAsia="仿宋" w:cs="仿宋"/>
                <w:color w:val="auto"/>
                <w:kern w:val="2"/>
                <w:sz w:val="21"/>
                <w:szCs w:val="21"/>
                <w:highlight w:val="none"/>
                <w:lang w:val="en-US" w:eastAsia="zh-CN" w:bidi="ar-SA"/>
              </w:rPr>
            </w:pPr>
          </w:p>
        </w:tc>
        <w:tc>
          <w:tcPr>
            <w:tcW w:w="600" w:type="dxa"/>
            <w:tcBorders>
              <w:top w:val="single" w:color="auto" w:sz="4" w:space="0"/>
              <w:left w:val="nil"/>
              <w:bottom w:val="single" w:color="auto" w:sz="4" w:space="0"/>
              <w:right w:val="single" w:color="auto" w:sz="4" w:space="0"/>
            </w:tcBorders>
            <w:shd w:val="clear" w:color="auto" w:fill="auto"/>
            <w:vAlign w:val="center"/>
          </w:tcPr>
          <w:p w14:paraId="4E36BB27">
            <w:pPr>
              <w:widowControl/>
              <w:spacing w:line="480" w:lineRule="auto"/>
              <w:jc w:val="center"/>
              <w:rPr>
                <w:rFonts w:hint="eastAsia" w:ascii="仿宋" w:hAnsi="仿宋" w:eastAsia="仿宋" w:cs="仿宋"/>
                <w:color w:val="auto"/>
                <w:sz w:val="24"/>
                <w:szCs w:val="24"/>
                <w:highlight w:val="none"/>
              </w:rPr>
            </w:pPr>
          </w:p>
        </w:tc>
      </w:tr>
      <w:tr w14:paraId="271C491E">
        <w:tblPrEx>
          <w:tblCellMar>
            <w:top w:w="0" w:type="dxa"/>
            <w:left w:w="108" w:type="dxa"/>
            <w:bottom w:w="0" w:type="dxa"/>
            <w:right w:w="108" w:type="dxa"/>
          </w:tblCellMar>
        </w:tblPrEx>
        <w:trPr>
          <w:trHeight w:val="840" w:hRule="atLeast"/>
        </w:trPr>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14:paraId="33F11410">
            <w:pPr>
              <w:widowControl/>
              <w:spacing w:line="48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596" w:type="dxa"/>
            <w:tcBorders>
              <w:top w:val="single" w:color="auto" w:sz="4" w:space="0"/>
              <w:left w:val="nil"/>
              <w:bottom w:val="single" w:color="auto" w:sz="4" w:space="0"/>
              <w:right w:val="single" w:color="auto" w:sz="4" w:space="0"/>
            </w:tcBorders>
            <w:shd w:val="clear" w:color="auto" w:fill="auto"/>
            <w:vAlign w:val="center"/>
          </w:tcPr>
          <w:p w14:paraId="695B52D7">
            <w:pPr>
              <w:keepNext w:val="0"/>
              <w:keepLines w:val="0"/>
              <w:widowControl/>
              <w:suppressLineNumbers w:val="0"/>
              <w:spacing w:line="480" w:lineRule="auto"/>
              <w:ind w:left="10" w:leftChars="0" w:right="139" w:rightChars="0" w:hanging="10" w:firstLineChars="0"/>
              <w:jc w:val="left"/>
              <w:textAlignment w:val="center"/>
              <w:outlineLvl w:val="9"/>
              <w:rPr>
                <w:rFonts w:hint="eastAsia" w:ascii="仿宋" w:hAnsi="仿宋" w:eastAsia="仿宋" w:cs="仿宋"/>
                <w:color w:val="auto"/>
                <w:kern w:val="2"/>
                <w:sz w:val="21"/>
                <w:szCs w:val="21"/>
                <w:highlight w:val="none"/>
                <w:lang w:val="en-US" w:eastAsia="zh-CN" w:bidi="ar-SA"/>
              </w:rPr>
            </w:pPr>
          </w:p>
        </w:tc>
        <w:tc>
          <w:tcPr>
            <w:tcW w:w="1459" w:type="dxa"/>
            <w:gridSpan w:val="2"/>
            <w:tcBorders>
              <w:top w:val="single" w:color="auto" w:sz="4" w:space="0"/>
              <w:left w:val="nil"/>
              <w:bottom w:val="single" w:color="auto" w:sz="4" w:space="0"/>
              <w:right w:val="single" w:color="auto" w:sz="4" w:space="0"/>
            </w:tcBorders>
            <w:shd w:val="clear" w:color="auto" w:fill="auto"/>
            <w:vAlign w:val="center"/>
          </w:tcPr>
          <w:p w14:paraId="1221F7D9">
            <w:pPr>
              <w:keepNext w:val="0"/>
              <w:keepLines w:val="0"/>
              <w:widowControl/>
              <w:suppressLineNumbers w:val="0"/>
              <w:spacing w:line="480" w:lineRule="auto"/>
              <w:ind w:left="10" w:leftChars="0" w:right="139" w:rightChars="0" w:hanging="10" w:firstLineChars="0"/>
              <w:jc w:val="center"/>
              <w:textAlignment w:val="center"/>
              <w:outlineLvl w:val="9"/>
              <w:rPr>
                <w:rFonts w:hint="eastAsia" w:ascii="仿宋" w:hAnsi="仿宋" w:eastAsia="仿宋" w:cs="仿宋"/>
                <w:color w:val="auto"/>
                <w:kern w:val="2"/>
                <w:sz w:val="21"/>
                <w:szCs w:val="21"/>
                <w:highlight w:val="none"/>
                <w:lang w:val="en-US" w:eastAsia="zh-CN" w:bidi="ar-SA"/>
              </w:rPr>
            </w:pPr>
          </w:p>
        </w:tc>
        <w:tc>
          <w:tcPr>
            <w:tcW w:w="950" w:type="dxa"/>
            <w:tcBorders>
              <w:top w:val="single" w:color="auto" w:sz="4" w:space="0"/>
              <w:left w:val="nil"/>
              <w:bottom w:val="single" w:color="auto" w:sz="4" w:space="0"/>
              <w:right w:val="single" w:color="auto" w:sz="4" w:space="0"/>
            </w:tcBorders>
            <w:shd w:val="clear" w:color="auto" w:fill="auto"/>
            <w:vAlign w:val="center"/>
          </w:tcPr>
          <w:p w14:paraId="2F1F0457">
            <w:pPr>
              <w:widowControl/>
              <w:spacing w:line="480" w:lineRule="auto"/>
              <w:jc w:val="center"/>
              <w:rPr>
                <w:rFonts w:hint="eastAsia" w:ascii="仿宋" w:hAnsi="仿宋" w:eastAsia="仿宋" w:cs="仿宋"/>
                <w:color w:val="auto"/>
                <w:sz w:val="24"/>
                <w:szCs w:val="24"/>
                <w:highlight w:val="none"/>
                <w:lang w:val="en-US" w:eastAsia="zh-CN"/>
              </w:rPr>
            </w:pPr>
          </w:p>
        </w:tc>
        <w:tc>
          <w:tcPr>
            <w:tcW w:w="1000" w:type="dxa"/>
            <w:tcBorders>
              <w:top w:val="single" w:color="auto" w:sz="4" w:space="0"/>
              <w:left w:val="nil"/>
              <w:bottom w:val="single" w:color="auto" w:sz="4" w:space="0"/>
              <w:right w:val="single" w:color="auto" w:sz="4" w:space="0"/>
            </w:tcBorders>
            <w:shd w:val="clear" w:color="auto" w:fill="auto"/>
            <w:vAlign w:val="center"/>
          </w:tcPr>
          <w:p w14:paraId="463A9646">
            <w:pPr>
              <w:widowControl/>
              <w:spacing w:line="480" w:lineRule="auto"/>
              <w:jc w:val="center"/>
              <w:rPr>
                <w:rFonts w:hint="eastAsia" w:ascii="仿宋" w:hAnsi="仿宋" w:eastAsia="仿宋" w:cs="仿宋"/>
                <w:color w:val="auto"/>
                <w:sz w:val="24"/>
                <w:szCs w:val="24"/>
                <w:highlight w:val="none"/>
                <w:lang w:val="en-US" w:eastAsia="zh-CN"/>
              </w:rPr>
            </w:pPr>
          </w:p>
        </w:tc>
        <w:tc>
          <w:tcPr>
            <w:tcW w:w="1188" w:type="dxa"/>
            <w:tcBorders>
              <w:top w:val="single" w:color="auto" w:sz="4" w:space="0"/>
              <w:left w:val="nil"/>
              <w:bottom w:val="single" w:color="auto" w:sz="4" w:space="0"/>
              <w:right w:val="single" w:color="auto" w:sz="4" w:space="0"/>
            </w:tcBorders>
            <w:shd w:val="clear" w:color="auto" w:fill="auto"/>
            <w:vAlign w:val="center"/>
          </w:tcPr>
          <w:p w14:paraId="5C8240D2">
            <w:pPr>
              <w:keepNext w:val="0"/>
              <w:keepLines w:val="0"/>
              <w:widowControl/>
              <w:suppressLineNumbers w:val="0"/>
              <w:spacing w:line="480" w:lineRule="auto"/>
              <w:ind w:left="10" w:leftChars="0" w:right="139" w:rightChars="0" w:hanging="10" w:firstLineChars="0"/>
              <w:jc w:val="left"/>
              <w:textAlignment w:val="center"/>
              <w:outlineLvl w:val="9"/>
              <w:rPr>
                <w:rFonts w:hint="eastAsia" w:ascii="仿宋" w:hAnsi="仿宋" w:eastAsia="仿宋" w:cs="仿宋"/>
                <w:color w:val="auto"/>
                <w:kern w:val="2"/>
                <w:sz w:val="21"/>
                <w:szCs w:val="21"/>
                <w:highlight w:val="none"/>
                <w:lang w:val="en-US" w:eastAsia="zh-CN" w:bidi="ar-SA"/>
              </w:rPr>
            </w:pPr>
          </w:p>
        </w:tc>
        <w:tc>
          <w:tcPr>
            <w:tcW w:w="1298" w:type="dxa"/>
            <w:tcBorders>
              <w:top w:val="single" w:color="auto" w:sz="4" w:space="0"/>
              <w:left w:val="nil"/>
              <w:bottom w:val="single" w:color="auto" w:sz="4" w:space="0"/>
              <w:right w:val="single" w:color="auto" w:sz="4" w:space="0"/>
            </w:tcBorders>
            <w:shd w:val="clear" w:color="auto" w:fill="auto"/>
            <w:vAlign w:val="center"/>
          </w:tcPr>
          <w:p w14:paraId="5B182D1A">
            <w:pPr>
              <w:spacing w:after="0" w:line="480" w:lineRule="auto"/>
              <w:ind w:left="2" w:leftChars="0" w:right="0" w:rightChars="0" w:firstLine="0" w:firstLineChars="0"/>
              <w:jc w:val="center"/>
              <w:outlineLvl w:val="9"/>
              <w:rPr>
                <w:rFonts w:hint="eastAsia" w:ascii="仿宋" w:hAnsi="仿宋" w:eastAsia="仿宋" w:cs="仿宋"/>
                <w:color w:val="auto"/>
                <w:kern w:val="2"/>
                <w:sz w:val="21"/>
                <w:szCs w:val="21"/>
                <w:highlight w:val="none"/>
                <w:lang w:val="en-US" w:eastAsia="zh-CN" w:bidi="ar-SA"/>
              </w:rPr>
            </w:pPr>
          </w:p>
        </w:tc>
        <w:tc>
          <w:tcPr>
            <w:tcW w:w="731" w:type="dxa"/>
            <w:tcBorders>
              <w:top w:val="single" w:color="auto" w:sz="4" w:space="0"/>
              <w:left w:val="nil"/>
              <w:bottom w:val="single" w:color="auto" w:sz="4" w:space="0"/>
              <w:right w:val="single" w:color="auto" w:sz="4" w:space="0"/>
            </w:tcBorders>
            <w:shd w:val="clear" w:color="auto" w:fill="auto"/>
            <w:vAlign w:val="center"/>
          </w:tcPr>
          <w:p w14:paraId="2C457B0E">
            <w:pPr>
              <w:keepNext w:val="0"/>
              <w:keepLines w:val="0"/>
              <w:widowControl/>
              <w:suppressLineNumbers w:val="0"/>
              <w:spacing w:line="480" w:lineRule="auto"/>
              <w:ind w:left="10" w:leftChars="0" w:right="139" w:rightChars="0" w:hanging="10" w:firstLineChars="0"/>
              <w:jc w:val="center"/>
              <w:textAlignment w:val="center"/>
              <w:outlineLvl w:val="9"/>
              <w:rPr>
                <w:rFonts w:hint="eastAsia" w:ascii="仿宋" w:hAnsi="仿宋" w:eastAsia="仿宋" w:cs="仿宋"/>
                <w:color w:val="auto"/>
                <w:kern w:val="2"/>
                <w:sz w:val="21"/>
                <w:szCs w:val="21"/>
                <w:highlight w:val="none"/>
                <w:lang w:val="en-US" w:eastAsia="zh-CN" w:bidi="ar-SA"/>
              </w:rPr>
            </w:pPr>
          </w:p>
        </w:tc>
        <w:tc>
          <w:tcPr>
            <w:tcW w:w="720" w:type="dxa"/>
            <w:tcBorders>
              <w:top w:val="single" w:color="auto" w:sz="4" w:space="0"/>
              <w:left w:val="nil"/>
              <w:bottom w:val="single" w:color="auto" w:sz="4" w:space="0"/>
              <w:right w:val="single" w:color="auto" w:sz="4" w:space="0"/>
            </w:tcBorders>
            <w:shd w:val="clear" w:color="auto" w:fill="auto"/>
            <w:vAlign w:val="center"/>
          </w:tcPr>
          <w:p w14:paraId="05608031">
            <w:pPr>
              <w:widowControl/>
              <w:spacing w:line="480" w:lineRule="auto"/>
              <w:jc w:val="center"/>
              <w:rPr>
                <w:rFonts w:hint="eastAsia" w:ascii="仿宋" w:hAnsi="仿宋" w:eastAsia="仿宋" w:cs="仿宋"/>
                <w:color w:val="auto"/>
                <w:sz w:val="24"/>
                <w:szCs w:val="24"/>
                <w:highlight w:val="none"/>
              </w:rPr>
            </w:pPr>
          </w:p>
        </w:tc>
        <w:tc>
          <w:tcPr>
            <w:tcW w:w="1113" w:type="dxa"/>
            <w:tcBorders>
              <w:top w:val="single" w:color="auto" w:sz="4" w:space="0"/>
              <w:left w:val="nil"/>
              <w:bottom w:val="single" w:color="auto" w:sz="4" w:space="0"/>
              <w:right w:val="single" w:color="auto" w:sz="4" w:space="0"/>
            </w:tcBorders>
            <w:shd w:val="clear" w:color="auto" w:fill="auto"/>
            <w:vAlign w:val="center"/>
          </w:tcPr>
          <w:p w14:paraId="0B2AD23E">
            <w:pPr>
              <w:spacing w:after="0" w:line="480" w:lineRule="auto"/>
              <w:ind w:left="2" w:leftChars="0" w:right="0" w:rightChars="0" w:firstLine="0" w:firstLineChars="0"/>
              <w:jc w:val="center"/>
              <w:outlineLvl w:val="9"/>
              <w:rPr>
                <w:rFonts w:hint="eastAsia" w:ascii="仿宋" w:hAnsi="仿宋" w:eastAsia="仿宋" w:cs="仿宋"/>
                <w:color w:val="auto"/>
                <w:kern w:val="2"/>
                <w:sz w:val="21"/>
                <w:szCs w:val="21"/>
                <w:highlight w:val="none"/>
                <w:lang w:val="en-US" w:eastAsia="zh-CN" w:bidi="ar-SA"/>
              </w:rPr>
            </w:pPr>
          </w:p>
        </w:tc>
        <w:tc>
          <w:tcPr>
            <w:tcW w:w="600" w:type="dxa"/>
            <w:tcBorders>
              <w:top w:val="single" w:color="auto" w:sz="4" w:space="0"/>
              <w:left w:val="nil"/>
              <w:bottom w:val="single" w:color="auto" w:sz="4" w:space="0"/>
              <w:right w:val="single" w:color="auto" w:sz="4" w:space="0"/>
            </w:tcBorders>
            <w:shd w:val="clear" w:color="auto" w:fill="auto"/>
            <w:vAlign w:val="center"/>
          </w:tcPr>
          <w:p w14:paraId="13276C59">
            <w:pPr>
              <w:widowControl/>
              <w:spacing w:line="480" w:lineRule="auto"/>
              <w:jc w:val="center"/>
              <w:rPr>
                <w:rFonts w:hint="eastAsia" w:ascii="仿宋" w:hAnsi="仿宋" w:eastAsia="仿宋" w:cs="仿宋"/>
                <w:color w:val="auto"/>
                <w:sz w:val="24"/>
                <w:szCs w:val="24"/>
                <w:highlight w:val="none"/>
              </w:rPr>
            </w:pPr>
          </w:p>
        </w:tc>
      </w:tr>
      <w:tr w14:paraId="155A3002">
        <w:tblPrEx>
          <w:tblCellMar>
            <w:top w:w="0" w:type="dxa"/>
            <w:left w:w="108" w:type="dxa"/>
            <w:bottom w:w="0" w:type="dxa"/>
            <w:right w:w="108" w:type="dxa"/>
          </w:tblCellMar>
        </w:tblPrEx>
        <w:trPr>
          <w:trHeight w:val="660" w:hRule="atLeast"/>
        </w:trPr>
        <w:tc>
          <w:tcPr>
            <w:tcW w:w="298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8598331">
            <w:pPr>
              <w:widowControl/>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合同总额</w:t>
            </w:r>
          </w:p>
        </w:tc>
        <w:tc>
          <w:tcPr>
            <w:tcW w:w="8195" w:type="dxa"/>
            <w:gridSpan w:val="9"/>
            <w:tcBorders>
              <w:top w:val="single" w:color="auto" w:sz="4" w:space="0"/>
              <w:left w:val="nil"/>
              <w:bottom w:val="single" w:color="auto" w:sz="4" w:space="0"/>
              <w:right w:val="single" w:color="auto" w:sz="4" w:space="0"/>
            </w:tcBorders>
            <w:shd w:val="clear" w:color="auto" w:fill="auto"/>
          </w:tcPr>
          <w:p w14:paraId="59DA52E9">
            <w:pPr>
              <w:widowControl/>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（大写）：人民币</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元整</w:t>
            </w:r>
          </w:p>
          <w:p w14:paraId="115278A7">
            <w:pPr>
              <w:widowControl/>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（小写）: ￥</w:t>
            </w:r>
            <w:r>
              <w:rPr>
                <w:rFonts w:hint="eastAsia" w:ascii="仿宋" w:hAnsi="仿宋" w:eastAsia="仿宋" w:cs="仿宋"/>
                <w:color w:val="auto"/>
                <w:sz w:val="24"/>
                <w:szCs w:val="24"/>
                <w:highlight w:val="none"/>
                <w:lang w:val="en-US" w:eastAsia="zh-CN"/>
              </w:rPr>
              <w:t xml:space="preserve">   元</w:t>
            </w:r>
            <w:r>
              <w:rPr>
                <w:rFonts w:hint="eastAsia" w:ascii="仿宋" w:hAnsi="仿宋" w:eastAsia="仿宋" w:cs="仿宋"/>
                <w:color w:val="auto"/>
                <w:sz w:val="24"/>
                <w:szCs w:val="24"/>
                <w:highlight w:val="none"/>
              </w:rPr>
              <w:t>　</w:t>
            </w:r>
          </w:p>
        </w:tc>
      </w:tr>
    </w:tbl>
    <w:p w14:paraId="6C1289D8">
      <w:pPr>
        <w:autoSpaceDE/>
        <w:autoSpaceDN/>
        <w:spacing w:line="480" w:lineRule="auto"/>
        <w:ind w:right="-1"/>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第一章  货物要求</w:t>
      </w:r>
    </w:p>
    <w:p w14:paraId="595BA1BE">
      <w:pPr>
        <w:autoSpaceDE/>
        <w:autoSpaceDN/>
        <w:spacing w:line="480" w:lineRule="auto"/>
        <w:ind w:right="-1"/>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1. 产品资质、技术质量标准要求：</w:t>
      </w:r>
    </w:p>
    <w:p w14:paraId="03B8DF2A">
      <w:pPr>
        <w:widowControl/>
        <w:autoSpaceDE/>
        <w:autoSpaceDN/>
        <w:spacing w:line="480" w:lineRule="auto"/>
        <w:ind w:firstLine="420" w:firstLineChars="175"/>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1.1</w:t>
      </w:r>
      <w:r>
        <w:rPr>
          <w:rFonts w:hint="eastAsia" w:ascii="仿宋" w:hAnsi="仿宋" w:eastAsia="仿宋" w:cs="仿宋"/>
          <w:color w:val="auto"/>
          <w:sz w:val="24"/>
          <w:szCs w:val="24"/>
          <w:highlight w:val="none"/>
          <w:lang w:val="en-US" w:bidi="ar-SA"/>
        </w:rPr>
        <w:t>所有货物必须是在中国范围内合法销售，原装、全新、并完全符合用户要求的产品，符合国家及该产品的出厂标准。</w:t>
      </w:r>
    </w:p>
    <w:p w14:paraId="24B0FF41">
      <w:pPr>
        <w:widowControl/>
        <w:autoSpaceDE/>
        <w:autoSpaceDN/>
        <w:spacing w:line="480" w:lineRule="auto"/>
        <w:ind w:firstLine="420" w:firstLineChars="175"/>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1.2乙方保证合同所属下的所有设备是全新的、未曾使用过的产品，且进货渠道合法。其质量、规格、技术性能符合招投标文件、设备配置清单的要求。</w:t>
      </w:r>
    </w:p>
    <w:p w14:paraId="7590457F">
      <w:pPr>
        <w:widowControl/>
        <w:autoSpaceDE/>
        <w:autoSpaceDN/>
        <w:spacing w:line="480" w:lineRule="auto"/>
        <w:ind w:firstLine="420" w:firstLineChars="175"/>
        <w:jc w:val="both"/>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 xml:space="preserve">1.3所有货物应按出厂标准及国家有关要求进行包装及运输。货物外包装上有注册商标，有型号标识、生产日期和产品序列号。 </w:t>
      </w:r>
    </w:p>
    <w:p w14:paraId="3DA12B75">
      <w:pPr>
        <w:widowControl/>
        <w:autoSpaceDN/>
        <w:spacing w:line="480" w:lineRule="auto"/>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1.4</w:t>
      </w:r>
      <w:r>
        <w:rPr>
          <w:rFonts w:hint="eastAsia" w:ascii="仿宋" w:hAnsi="仿宋" w:eastAsia="仿宋" w:cs="仿宋"/>
          <w:color w:val="auto"/>
          <w:kern w:val="2"/>
          <w:sz w:val="24"/>
          <w:szCs w:val="24"/>
          <w:highlight w:val="none"/>
          <w:lang w:val="en-US" w:eastAsia="zh-CN" w:bidi="ar-SA"/>
        </w:rPr>
        <w:t>投标人</w:t>
      </w:r>
      <w:r>
        <w:rPr>
          <w:rFonts w:hint="eastAsia" w:ascii="仿宋" w:hAnsi="仿宋" w:eastAsia="仿宋" w:cs="仿宋"/>
          <w:color w:val="auto"/>
          <w:kern w:val="2"/>
          <w:sz w:val="24"/>
          <w:szCs w:val="24"/>
          <w:highlight w:val="none"/>
          <w:lang w:val="en-US" w:bidi="ar-SA"/>
        </w:rPr>
        <w:t>应保证所提供的产品是合格安全的产品，一旦发现伪劣假冒产品、以次充好产品或替代产品，由</w:t>
      </w:r>
      <w:r>
        <w:rPr>
          <w:rFonts w:hint="eastAsia" w:ascii="仿宋" w:hAnsi="仿宋" w:eastAsia="仿宋" w:cs="仿宋"/>
          <w:color w:val="auto"/>
          <w:kern w:val="2"/>
          <w:sz w:val="24"/>
          <w:szCs w:val="24"/>
          <w:highlight w:val="none"/>
          <w:lang w:val="en-US" w:eastAsia="zh-CN" w:bidi="ar-SA"/>
        </w:rPr>
        <w:t>投标人</w:t>
      </w:r>
      <w:r>
        <w:rPr>
          <w:rFonts w:hint="eastAsia" w:ascii="仿宋" w:hAnsi="仿宋" w:eastAsia="仿宋" w:cs="仿宋"/>
          <w:color w:val="auto"/>
          <w:kern w:val="2"/>
          <w:sz w:val="24"/>
          <w:szCs w:val="24"/>
          <w:highlight w:val="none"/>
          <w:lang w:val="en-US" w:bidi="ar-SA"/>
        </w:rPr>
        <w:t>承担一切责任，并赔偿所造成的损失。</w:t>
      </w:r>
    </w:p>
    <w:p w14:paraId="7738921A">
      <w:pPr>
        <w:autoSpaceDE/>
        <w:autoSpaceDN/>
        <w:spacing w:line="48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sz w:val="24"/>
          <w:szCs w:val="24"/>
          <w:highlight w:val="none"/>
          <w:lang w:val="en-US" w:bidi="ar-SA"/>
        </w:rPr>
        <w:t>1.5属于医疗器械的产品必须是在中华人民共和国国家食品药品监督管理局合法注册且有效的产品，合同中</w:t>
      </w:r>
      <w:r>
        <w:rPr>
          <w:rFonts w:hint="eastAsia" w:ascii="仿宋" w:hAnsi="仿宋" w:eastAsia="仿宋" w:cs="仿宋"/>
          <w:color w:val="auto"/>
          <w:kern w:val="2"/>
          <w:sz w:val="24"/>
          <w:szCs w:val="24"/>
          <w:highlight w:val="none"/>
          <w:lang w:val="en-US" w:bidi="ar-SA"/>
        </w:rPr>
        <w:t>医疗器械的产品名称、型号、生产国应与注册证中注册内容相同。</w:t>
      </w:r>
    </w:p>
    <w:p w14:paraId="729123A6">
      <w:pPr>
        <w:autoSpaceDE/>
        <w:autoSpaceDN/>
        <w:spacing w:line="48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1.6属于3C强制性认证产品提供中国强制性产品认证证书。属于放射类产品提供辐射安全许可证。</w:t>
      </w:r>
    </w:p>
    <w:p w14:paraId="4B9BB18B">
      <w:pPr>
        <w:autoSpaceDE/>
        <w:autoSpaceDN/>
        <w:spacing w:line="48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1.7乙方应对所供产品提供产品质量标准文件、质量合格证明、原产地证明及质量和数量证明文件。</w:t>
      </w:r>
    </w:p>
    <w:p w14:paraId="1DCBF2D2">
      <w:pPr>
        <w:autoSpaceDE/>
        <w:autoSpaceDN/>
        <w:spacing w:line="48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1.8属于医疗器械产品的提供经营许可范围的医疗器械经营许可证。</w:t>
      </w:r>
    </w:p>
    <w:p w14:paraId="635FCA59">
      <w:pPr>
        <w:autoSpaceDE/>
        <w:autoSpaceDN/>
        <w:spacing w:line="48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1.9属于计量器具的需提交制造计量器具许可证（国产）、型式批准证书（进口），乙方提供的产品应能保证计量检测合格，且乙方负责承担首次计量费用并提供计量检定证书。</w:t>
      </w:r>
    </w:p>
    <w:p w14:paraId="6F55E3A7">
      <w:pPr>
        <w:autoSpaceDE/>
        <w:autoSpaceDN/>
        <w:spacing w:line="48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1.10属于法定商检的提供商检证明。</w:t>
      </w:r>
    </w:p>
    <w:p w14:paraId="28FA7934">
      <w:pPr>
        <w:autoSpaceDE/>
        <w:autoSpaceDN/>
        <w:spacing w:line="48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1.11产品应具备中文标识，提供中文说明书、中文维修手册和维修密码。</w:t>
      </w:r>
    </w:p>
    <w:p w14:paraId="05F2788D">
      <w:pPr>
        <w:autoSpaceDE/>
        <w:autoSpaceDN/>
        <w:spacing w:line="48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1.12若不能达到上述要求，一切相关违约责任和由此造成的损失均由乙方承担。</w:t>
      </w:r>
    </w:p>
    <w:p w14:paraId="0E569C20">
      <w:pPr>
        <w:autoSpaceDE/>
        <w:autoSpaceDN/>
        <w:spacing w:line="480" w:lineRule="auto"/>
        <w:ind w:right="-1"/>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2. 产品标准要求：符合产品出厂标准且不低于中华人民共和国国家标准和中华人民共和国部颁标准（如标准不一致，则执行较高标准）。</w:t>
      </w:r>
    </w:p>
    <w:p w14:paraId="2CFCD337">
      <w:pPr>
        <w:autoSpaceDE/>
        <w:autoSpaceDN/>
        <w:spacing w:line="480" w:lineRule="auto"/>
        <w:ind w:right="-1"/>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3. 产品配置要求：产品所配功能软件到货时应为当前最新版本(注明时间及版本号)，包括支持该软件的相关硬件，并包含已经发布的全部技术功能。产品应为</w:t>
      </w:r>
      <w:r>
        <w:rPr>
          <w:rFonts w:hint="eastAsia" w:ascii="仿宋" w:hAnsi="仿宋" w:eastAsia="仿宋" w:cs="仿宋"/>
          <w:color w:val="auto"/>
          <w:kern w:val="2"/>
          <w:sz w:val="24"/>
          <w:szCs w:val="24"/>
          <w:highlight w:val="none"/>
          <w:u w:val="single"/>
          <w:lang w:val="en-US" w:bidi="ar-SA"/>
        </w:rPr>
        <w:t xml:space="preserve"> 202</w:t>
      </w:r>
      <w:r>
        <w:rPr>
          <w:rFonts w:hint="eastAsia" w:ascii="仿宋" w:hAnsi="仿宋" w:eastAsia="仿宋" w:cs="仿宋"/>
          <w:color w:val="auto"/>
          <w:kern w:val="2"/>
          <w:sz w:val="24"/>
          <w:szCs w:val="24"/>
          <w:highlight w:val="none"/>
          <w:u w:val="single"/>
          <w:lang w:val="en-US" w:eastAsia="zh-CN" w:bidi="ar-SA"/>
        </w:rPr>
        <w:t>4</w:t>
      </w:r>
      <w:r>
        <w:rPr>
          <w:rFonts w:hint="eastAsia" w:ascii="仿宋" w:hAnsi="仿宋" w:eastAsia="仿宋" w:cs="仿宋"/>
          <w:color w:val="auto"/>
          <w:kern w:val="2"/>
          <w:sz w:val="24"/>
          <w:szCs w:val="24"/>
          <w:highlight w:val="none"/>
          <w:lang w:val="en-US" w:bidi="ar-SA"/>
        </w:rPr>
        <w:t>年后生产，</w:t>
      </w:r>
      <w:r>
        <w:rPr>
          <w:rFonts w:hint="eastAsia" w:ascii="仿宋" w:hAnsi="仿宋" w:eastAsia="仿宋" w:cs="仿宋"/>
          <w:color w:val="auto"/>
          <w:sz w:val="24"/>
          <w:szCs w:val="24"/>
          <w:highlight w:val="none"/>
          <w:lang w:val="en-US" w:bidi="ar-SA"/>
        </w:rPr>
        <w:t>乙方提供设备配置清单、易损易耗部件清单、消耗品或消耗材料清单，并真实报出上述设备（包括易损、消耗零件）的规格、型号、产品编号成交价格等作为本协议附件，具有与本协议同等法律效力。</w:t>
      </w:r>
    </w:p>
    <w:p w14:paraId="5123BF54">
      <w:pPr>
        <w:autoSpaceDE/>
        <w:autoSpaceDN/>
        <w:spacing w:line="480" w:lineRule="auto"/>
        <w:ind w:right="-1"/>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 xml:space="preserve"> </w:t>
      </w:r>
    </w:p>
    <w:p w14:paraId="66660AE9">
      <w:pPr>
        <w:autoSpaceDE/>
        <w:autoSpaceDN/>
        <w:spacing w:line="480" w:lineRule="auto"/>
        <w:ind w:right="-1"/>
        <w:jc w:val="center"/>
        <w:rPr>
          <w:rFonts w:hint="eastAsia" w:ascii="仿宋" w:hAnsi="仿宋" w:eastAsia="仿宋" w:cs="仿宋"/>
          <w:color w:val="auto"/>
          <w:sz w:val="24"/>
          <w:szCs w:val="24"/>
          <w:highlight w:val="none"/>
          <w:lang w:val="en-US" w:bidi="ar-SA"/>
        </w:rPr>
      </w:pPr>
      <w:r>
        <w:rPr>
          <w:rFonts w:hint="eastAsia" w:ascii="仿宋" w:hAnsi="仿宋" w:eastAsia="仿宋" w:cs="仿宋"/>
          <w:b/>
          <w:color w:val="auto"/>
          <w:kern w:val="2"/>
          <w:sz w:val="24"/>
          <w:szCs w:val="24"/>
          <w:highlight w:val="none"/>
          <w:lang w:val="en-US" w:bidi="ar-SA"/>
        </w:rPr>
        <w:t>第二章  合同价款及支付方式</w:t>
      </w:r>
    </w:p>
    <w:p w14:paraId="1414CF72">
      <w:pPr>
        <w:autoSpaceDE/>
        <w:autoSpaceDN/>
        <w:spacing w:line="480" w:lineRule="auto"/>
        <w:ind w:right="-1"/>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sz w:val="24"/>
          <w:szCs w:val="24"/>
          <w:highlight w:val="none"/>
          <w:lang w:val="en-US" w:eastAsia="zh-CN" w:bidi="ar-SA"/>
        </w:rPr>
        <w:t>　　</w:t>
      </w:r>
      <w:r>
        <w:rPr>
          <w:rFonts w:hint="eastAsia" w:ascii="仿宋" w:hAnsi="仿宋" w:eastAsia="仿宋" w:cs="仿宋"/>
          <w:color w:val="auto"/>
          <w:sz w:val="24"/>
          <w:szCs w:val="24"/>
          <w:highlight w:val="none"/>
          <w:lang w:val="en-US" w:bidi="ar-SA"/>
        </w:rPr>
        <w:t>4.</w:t>
      </w:r>
      <w:r>
        <w:rPr>
          <w:rFonts w:hint="eastAsia" w:ascii="仿宋" w:hAnsi="仿宋" w:eastAsia="仿宋" w:cs="仿宋"/>
          <w:color w:val="auto"/>
          <w:kern w:val="2"/>
          <w:sz w:val="24"/>
          <w:szCs w:val="24"/>
          <w:highlight w:val="none"/>
          <w:lang w:val="en-US" w:bidi="ar-SA"/>
        </w:rPr>
        <w:t>合同价格</w:t>
      </w:r>
      <w:r>
        <w:rPr>
          <w:rFonts w:hint="eastAsia" w:ascii="仿宋" w:hAnsi="仿宋" w:eastAsia="仿宋" w:cs="仿宋"/>
          <w:color w:val="auto"/>
          <w:sz w:val="24"/>
          <w:szCs w:val="24"/>
          <w:highlight w:val="none"/>
          <w:lang w:val="en-US" w:bidi="ar-SA"/>
        </w:rPr>
        <w:t>：包括设备整机及配件、备品备件，专用工具，包装，安装调试费、资料费、培训费、运输费、卸货费用、安装费用、运输材料费、税费及保修期内的保修费用、维修费用、使用培训服务费等为履行本合同所需的全部费用，本合同履行期间，甲方无需支付任何其他费用。</w:t>
      </w:r>
      <w:r>
        <w:rPr>
          <w:rFonts w:hint="eastAsia" w:ascii="仿宋" w:hAnsi="仿宋" w:eastAsia="仿宋" w:cs="仿宋"/>
          <w:color w:val="auto"/>
          <w:kern w:val="2"/>
          <w:sz w:val="24"/>
          <w:szCs w:val="24"/>
          <w:highlight w:val="none"/>
          <w:lang w:val="en-US" w:bidi="ar-SA"/>
        </w:rPr>
        <w:t>合同包干总价为：</w:t>
      </w:r>
      <w:r>
        <w:rPr>
          <w:rFonts w:hint="eastAsia" w:ascii="仿宋" w:hAnsi="仿宋" w:eastAsia="仿宋" w:cs="仿宋"/>
          <w:color w:val="auto"/>
          <w:sz w:val="24"/>
          <w:szCs w:val="24"/>
          <w:highlight w:val="none"/>
          <w:u w:val="single"/>
          <w:lang w:val="en-US" w:bidi="ar-SA"/>
        </w:rPr>
        <w:t xml:space="preserve"> CNY</w:t>
      </w:r>
      <w:r>
        <w:rPr>
          <w:rFonts w:hint="eastAsia" w:ascii="仿宋" w:hAnsi="仿宋" w:eastAsia="仿宋" w:cs="仿宋"/>
          <w:color w:val="auto"/>
          <w:sz w:val="24"/>
          <w:szCs w:val="24"/>
          <w:highlight w:val="none"/>
          <w:u w:val="single"/>
          <w:lang w:val="en-US" w:eastAsia="zh-CN" w:bidi="ar-SA"/>
        </w:rPr>
        <w:t>0,00,000.00</w:t>
      </w:r>
      <w:r>
        <w:rPr>
          <w:rFonts w:hint="eastAsia" w:ascii="仿宋" w:hAnsi="仿宋" w:eastAsia="仿宋" w:cs="仿宋"/>
          <w:color w:val="auto"/>
          <w:sz w:val="24"/>
          <w:szCs w:val="24"/>
          <w:highlight w:val="none"/>
          <w:u w:val="single"/>
          <w:lang w:val="en-US" w:bidi="ar-SA"/>
        </w:rPr>
        <w:t xml:space="preserve"> </w:t>
      </w:r>
      <w:r>
        <w:rPr>
          <w:rFonts w:hint="eastAsia" w:ascii="仿宋" w:hAnsi="仿宋" w:eastAsia="仿宋" w:cs="仿宋"/>
          <w:color w:val="auto"/>
          <w:kern w:val="2"/>
          <w:sz w:val="24"/>
          <w:szCs w:val="24"/>
          <w:highlight w:val="none"/>
          <w:lang w:val="en-US" w:bidi="ar-SA"/>
        </w:rPr>
        <w:t>（大写：</w:t>
      </w:r>
      <w:r>
        <w:rPr>
          <w:rFonts w:hint="eastAsia" w:ascii="仿宋" w:hAnsi="仿宋" w:eastAsia="仿宋" w:cs="仿宋"/>
          <w:color w:val="auto"/>
          <w:kern w:val="2"/>
          <w:sz w:val="24"/>
          <w:szCs w:val="24"/>
          <w:highlight w:val="none"/>
          <w:lang w:val="en-US" w:eastAsia="zh-CN" w:bidi="ar-SA"/>
        </w:rPr>
        <w:t>人民币  元整</w:t>
      </w:r>
      <w:r>
        <w:rPr>
          <w:rFonts w:hint="eastAsia" w:ascii="仿宋" w:hAnsi="仿宋" w:eastAsia="仿宋" w:cs="仿宋"/>
          <w:color w:val="auto"/>
          <w:sz w:val="24"/>
          <w:szCs w:val="24"/>
          <w:highlight w:val="none"/>
          <w:lang w:val="en-US" w:bidi="ar-SA"/>
        </w:rPr>
        <w:t>）。</w:t>
      </w:r>
    </w:p>
    <w:p w14:paraId="5362B630">
      <w:pPr>
        <w:autoSpaceDE/>
        <w:autoSpaceDN/>
        <w:spacing w:line="480" w:lineRule="auto"/>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5.付款方式：银行转账</w:t>
      </w:r>
    </w:p>
    <w:p w14:paraId="5C763261">
      <w:pPr>
        <w:autoSpaceDE/>
        <w:autoSpaceDN/>
        <w:spacing w:line="480" w:lineRule="auto"/>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5.1付款方法和条件：</w:t>
      </w:r>
      <w:r>
        <w:rPr>
          <w:rFonts w:hint="eastAsia" w:ascii="仿宋" w:hAnsi="仿宋" w:eastAsia="仿宋" w:cs="仿宋"/>
          <w:color w:val="auto"/>
          <w:sz w:val="24"/>
          <w:szCs w:val="24"/>
          <w:highlight w:val="none"/>
          <w:lang w:val="en-US" w:bidi="ar-SA"/>
        </w:rPr>
        <w:t>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甲方向乙方支付合同总价款的40%；设备到货、安装调试培训结束，并通过正式验收合格后，乙方凭合法、有效的增值税发票、验收合格单、合同总价款5%的银行保函原件（银行保函需在海南本地银行开具或可提供线上查询，期限：在保修期基础上延长三个月）及合同等相关凭证，向甲方申请支付合同总价款30%的款项；设备质保期满后，经确认乙方所提供设备无任何产品质量、售后问题，甲方将5%的银行保函原件退还给乙方。</w:t>
      </w:r>
      <w:r>
        <w:rPr>
          <w:rFonts w:hint="eastAsia" w:ascii="仿宋" w:hAnsi="仿宋" w:eastAsia="仿宋" w:cs="仿宋"/>
          <w:color w:val="auto"/>
          <w:kern w:val="2"/>
          <w:sz w:val="24"/>
          <w:szCs w:val="24"/>
          <w:highlight w:val="none"/>
          <w:lang w:val="en-US" w:bidi="ar-SA"/>
        </w:rPr>
        <w:t>如有特殊情况经双方协商确定。</w:t>
      </w:r>
    </w:p>
    <w:p w14:paraId="518500CE">
      <w:pPr>
        <w:autoSpaceDE/>
        <w:autoSpaceDN/>
        <w:spacing w:line="480" w:lineRule="auto"/>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5.2 因财政拨款、不可抗力等原因造成甲方逾期付款的，乙方表示理解，不视为甲方违约。乙方应按照本合同约定继续履行乙方义务。</w:t>
      </w:r>
    </w:p>
    <w:p w14:paraId="16712238">
      <w:pPr>
        <w:autoSpaceDE/>
        <w:autoSpaceDN/>
        <w:spacing w:line="480" w:lineRule="auto"/>
        <w:ind w:right="-1"/>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 xml:space="preserve"> </w:t>
      </w:r>
    </w:p>
    <w:p w14:paraId="5EF76B64">
      <w:pPr>
        <w:autoSpaceDE/>
        <w:autoSpaceDN/>
        <w:spacing w:line="480" w:lineRule="auto"/>
        <w:ind w:right="-1"/>
        <w:jc w:val="center"/>
        <w:rPr>
          <w:rFonts w:hint="eastAsia" w:ascii="仿宋" w:hAnsi="仿宋" w:eastAsia="仿宋" w:cs="仿宋"/>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第三章  交货时间、地点、方式及包装</w:t>
      </w:r>
    </w:p>
    <w:p w14:paraId="45C5EF8D">
      <w:pPr>
        <w:autoSpaceDE/>
        <w:autoSpaceDN/>
        <w:spacing w:line="480" w:lineRule="auto"/>
        <w:ind w:right="-1"/>
        <w:jc w:val="both"/>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eastAsia="zh-CN" w:bidi="ar-SA"/>
        </w:rPr>
        <w:t>　　</w:t>
      </w:r>
      <w:r>
        <w:rPr>
          <w:rFonts w:hint="eastAsia" w:ascii="仿宋" w:hAnsi="仿宋" w:eastAsia="仿宋" w:cs="仿宋"/>
          <w:color w:val="auto"/>
          <w:sz w:val="24"/>
          <w:szCs w:val="24"/>
          <w:highlight w:val="none"/>
          <w:lang w:val="en-US" w:bidi="ar-SA"/>
        </w:rPr>
        <w:t>6.交货时间、交货地点</w:t>
      </w:r>
      <w:r>
        <w:rPr>
          <w:rFonts w:hint="eastAsia" w:ascii="仿宋" w:hAnsi="仿宋" w:eastAsia="仿宋" w:cs="仿宋"/>
          <w:color w:val="auto"/>
          <w:sz w:val="24"/>
          <w:szCs w:val="24"/>
          <w:highlight w:val="none"/>
          <w:lang w:val="en-US" w:eastAsia="zh-CN" w:bidi="ar-SA"/>
        </w:rPr>
        <w:t>、包装及</w:t>
      </w:r>
      <w:r>
        <w:rPr>
          <w:rFonts w:hint="eastAsia" w:ascii="仿宋" w:hAnsi="仿宋" w:eastAsia="仿宋" w:cs="仿宋"/>
          <w:color w:val="auto"/>
          <w:sz w:val="24"/>
          <w:szCs w:val="24"/>
          <w:highlight w:val="none"/>
          <w:lang w:val="en-US" w:bidi="ar-SA"/>
        </w:rPr>
        <w:t>运输方式：</w:t>
      </w:r>
    </w:p>
    <w:p w14:paraId="7337535C">
      <w:pPr>
        <w:autoSpaceDE/>
        <w:autoSpaceDN/>
        <w:spacing w:line="48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6.1 交货时间：国产设备自合同签订后30天内、进口设备自合同签订后90天内，乙方将设备运送至甲方指定地点：海口市龙华区龙华路31号（海南医</w:t>
      </w:r>
      <w:r>
        <w:rPr>
          <w:rFonts w:hint="eastAsia" w:ascii="仿宋" w:hAnsi="仿宋" w:eastAsia="仿宋" w:cs="仿宋"/>
          <w:color w:val="auto"/>
          <w:sz w:val="24"/>
          <w:szCs w:val="24"/>
          <w:highlight w:val="none"/>
          <w:lang w:val="en-US" w:eastAsia="zh-CN" w:bidi="ar-SA"/>
        </w:rPr>
        <w:t>科大学</w:t>
      </w:r>
      <w:r>
        <w:rPr>
          <w:rFonts w:hint="eastAsia" w:ascii="仿宋" w:hAnsi="仿宋" w:eastAsia="仿宋" w:cs="仿宋"/>
          <w:color w:val="auto"/>
          <w:sz w:val="24"/>
          <w:szCs w:val="24"/>
          <w:highlight w:val="none"/>
          <w:lang w:val="en-US" w:bidi="ar-SA"/>
        </w:rPr>
        <w:t>第一附属医院）。在乙方发货日前</w:t>
      </w:r>
      <w:r>
        <w:rPr>
          <w:rFonts w:hint="eastAsia" w:ascii="仿宋" w:hAnsi="仿宋" w:eastAsia="仿宋" w:cs="仿宋"/>
          <w:color w:val="auto"/>
          <w:kern w:val="2"/>
          <w:sz w:val="24"/>
          <w:szCs w:val="24"/>
          <w:highlight w:val="none"/>
          <w:lang w:val="en-US" w:bidi="ar-SA"/>
        </w:rPr>
        <w:t>7</w:t>
      </w:r>
      <w:r>
        <w:rPr>
          <w:rFonts w:hint="eastAsia" w:ascii="仿宋" w:hAnsi="仿宋" w:eastAsia="仿宋" w:cs="仿宋"/>
          <w:color w:val="auto"/>
          <w:sz w:val="24"/>
          <w:szCs w:val="24"/>
          <w:highlight w:val="none"/>
          <w:lang w:val="en-US" w:bidi="ar-SA"/>
        </w:rPr>
        <w:t>天须通知甲方接货人（告知送货车号和送货车型）。</w:t>
      </w:r>
    </w:p>
    <w:p w14:paraId="2CDC66B3">
      <w:pPr>
        <w:autoSpaceDE/>
        <w:autoSpaceDN/>
        <w:spacing w:line="48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6.2货运方式、要求及交货地点：经双方协商，采用</w:t>
      </w:r>
      <w:r>
        <w:rPr>
          <w:rFonts w:hint="eastAsia" w:ascii="仿宋" w:hAnsi="仿宋" w:eastAsia="仿宋" w:cs="仿宋"/>
          <w:color w:val="auto"/>
          <w:sz w:val="24"/>
          <w:szCs w:val="24"/>
          <w:highlight w:val="none"/>
          <w:u w:val="single"/>
          <w:lang w:val="en-US" w:bidi="ar-SA"/>
        </w:rPr>
        <w:t>公路</w:t>
      </w:r>
      <w:r>
        <w:rPr>
          <w:rFonts w:hint="eastAsia" w:ascii="仿宋" w:hAnsi="仿宋" w:eastAsia="仿宋" w:cs="仿宋"/>
          <w:color w:val="auto"/>
          <w:kern w:val="2"/>
          <w:sz w:val="24"/>
          <w:szCs w:val="24"/>
          <w:highlight w:val="none"/>
          <w:u w:val="single"/>
          <w:lang w:val="en-US" w:bidi="ar-SA"/>
        </w:rPr>
        <w:t>运</w:t>
      </w:r>
      <w:r>
        <w:rPr>
          <w:rFonts w:hint="eastAsia" w:ascii="仿宋" w:hAnsi="仿宋" w:eastAsia="仿宋" w:cs="仿宋"/>
          <w:color w:val="auto"/>
          <w:sz w:val="24"/>
          <w:szCs w:val="24"/>
          <w:highlight w:val="none"/>
          <w:u w:val="single"/>
          <w:lang w:val="en-US" w:bidi="ar-SA"/>
        </w:rPr>
        <w:t>输</w:t>
      </w:r>
      <w:r>
        <w:rPr>
          <w:rFonts w:hint="eastAsia" w:ascii="仿宋" w:hAnsi="仿宋" w:eastAsia="仿宋" w:cs="仿宋"/>
          <w:color w:val="auto"/>
          <w:sz w:val="24"/>
          <w:szCs w:val="24"/>
          <w:highlight w:val="none"/>
          <w:u w:val="single"/>
          <w:lang w:val="en-US" w:eastAsia="zh-CN" w:bidi="ar-SA"/>
        </w:rPr>
        <w:t>为主，其他必要运输方式组合</w:t>
      </w:r>
      <w:r>
        <w:rPr>
          <w:rFonts w:hint="eastAsia" w:ascii="仿宋" w:hAnsi="仿宋" w:eastAsia="仿宋" w:cs="仿宋"/>
          <w:color w:val="auto"/>
          <w:sz w:val="24"/>
          <w:szCs w:val="24"/>
          <w:highlight w:val="none"/>
          <w:lang w:val="en-US" w:bidi="ar-SA"/>
        </w:rPr>
        <w:t>，运输优先使用清洁能源汽车。乙方应将设备(器械)运至甲方指定地点并负责卸货安装。包装及运输环节的全部风险责任由乙方承担。</w:t>
      </w:r>
    </w:p>
    <w:p w14:paraId="7C537736">
      <w:pPr>
        <w:autoSpaceDE/>
        <w:autoSpaceDN/>
        <w:spacing w:line="48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6.3具体交货要求：</w:t>
      </w:r>
    </w:p>
    <w:p w14:paraId="7F6CB8EB">
      <w:pPr>
        <w:autoSpaceDE/>
        <w:autoSpaceDN/>
        <w:spacing w:line="48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在签订合同后，</w:t>
      </w:r>
      <w:r>
        <w:rPr>
          <w:rFonts w:hint="eastAsia" w:ascii="仿宋" w:hAnsi="仿宋" w:eastAsia="仿宋" w:cs="仿宋"/>
          <w:bCs/>
          <w:color w:val="auto"/>
          <w:sz w:val="24"/>
          <w:szCs w:val="24"/>
          <w:highlight w:val="none"/>
          <w:lang w:val="en-US" w:bidi="ar-SA"/>
        </w:rPr>
        <w:t>如需要，乙方</w:t>
      </w:r>
      <w:r>
        <w:rPr>
          <w:rFonts w:hint="eastAsia" w:ascii="仿宋" w:hAnsi="仿宋" w:eastAsia="仿宋" w:cs="仿宋"/>
          <w:color w:val="auto"/>
          <w:sz w:val="24"/>
          <w:szCs w:val="24"/>
          <w:highlight w:val="none"/>
          <w:lang w:val="en-US" w:bidi="ar-SA"/>
        </w:rPr>
        <w:t>应将设备安装场地的详细要求交给甲方，并派工程技术人员与甲方共同商讨设备安装场地的设计，提供设备的运行、安装、使用环境要求、施工图纸及参数，</w:t>
      </w:r>
      <w:r>
        <w:rPr>
          <w:rFonts w:hint="eastAsia" w:ascii="仿宋" w:hAnsi="仿宋" w:eastAsia="仿宋" w:cs="仿宋"/>
          <w:bCs/>
          <w:color w:val="auto"/>
          <w:sz w:val="24"/>
          <w:szCs w:val="24"/>
          <w:highlight w:val="none"/>
          <w:lang w:val="en-US" w:bidi="ar-SA"/>
        </w:rPr>
        <w:t>配合</w:t>
      </w:r>
      <w:r>
        <w:rPr>
          <w:rFonts w:hint="eastAsia" w:ascii="仿宋" w:hAnsi="仿宋" w:eastAsia="仿宋" w:cs="仿宋"/>
          <w:color w:val="auto"/>
          <w:sz w:val="24"/>
          <w:szCs w:val="24"/>
          <w:highlight w:val="none"/>
          <w:lang w:val="en-US" w:bidi="ar-SA"/>
        </w:rPr>
        <w:t>基建部门计算承重，</w:t>
      </w:r>
      <w:r>
        <w:rPr>
          <w:rFonts w:hint="eastAsia" w:ascii="仿宋" w:hAnsi="仿宋" w:eastAsia="仿宋" w:cs="仿宋"/>
          <w:bCs/>
          <w:color w:val="auto"/>
          <w:sz w:val="24"/>
          <w:szCs w:val="24"/>
          <w:highlight w:val="none"/>
          <w:lang w:val="en-US" w:bidi="ar-SA"/>
        </w:rPr>
        <w:t>并和基建部门共同商议</w:t>
      </w:r>
      <w:r>
        <w:rPr>
          <w:rFonts w:hint="eastAsia" w:ascii="仿宋" w:hAnsi="仿宋" w:eastAsia="仿宋" w:cs="仿宋"/>
          <w:color w:val="auto"/>
          <w:sz w:val="24"/>
          <w:szCs w:val="24"/>
          <w:highlight w:val="none"/>
          <w:lang w:val="en-US" w:bidi="ar-SA"/>
        </w:rPr>
        <w:t>运输方案，最终方案由</w:t>
      </w:r>
      <w:r>
        <w:rPr>
          <w:rFonts w:hint="eastAsia" w:ascii="仿宋" w:hAnsi="仿宋" w:eastAsia="仿宋" w:cs="仿宋"/>
          <w:bCs/>
          <w:color w:val="auto"/>
          <w:sz w:val="24"/>
          <w:szCs w:val="24"/>
          <w:highlight w:val="none"/>
          <w:lang w:val="en-US" w:bidi="ar-SA"/>
        </w:rPr>
        <w:t>甲方</w:t>
      </w:r>
      <w:r>
        <w:rPr>
          <w:rFonts w:hint="eastAsia" w:ascii="仿宋" w:hAnsi="仿宋" w:eastAsia="仿宋" w:cs="仿宋"/>
          <w:color w:val="auto"/>
          <w:sz w:val="24"/>
          <w:szCs w:val="24"/>
          <w:highlight w:val="none"/>
          <w:lang w:val="en-US" w:bidi="ar-SA"/>
        </w:rPr>
        <w:t>认可后实施。</w:t>
      </w:r>
    </w:p>
    <w:p w14:paraId="407B63CF">
      <w:pPr>
        <w:autoSpaceDE/>
        <w:autoSpaceDN/>
        <w:spacing w:line="48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6.3.1整机免费运输</w:t>
      </w:r>
      <w:r>
        <w:rPr>
          <w:rFonts w:hint="eastAsia" w:ascii="仿宋" w:hAnsi="仿宋" w:eastAsia="仿宋" w:cs="仿宋"/>
          <w:bCs/>
          <w:color w:val="auto"/>
          <w:sz w:val="24"/>
          <w:szCs w:val="24"/>
          <w:highlight w:val="none"/>
          <w:lang w:val="en-US" w:bidi="ar-SA"/>
        </w:rPr>
        <w:t>甲方</w:t>
      </w:r>
      <w:r>
        <w:rPr>
          <w:rFonts w:hint="eastAsia" w:ascii="仿宋" w:hAnsi="仿宋" w:eastAsia="仿宋" w:cs="仿宋"/>
          <w:color w:val="auto"/>
          <w:sz w:val="24"/>
          <w:szCs w:val="24"/>
          <w:highlight w:val="none"/>
          <w:lang w:val="en-US" w:bidi="ar-SA"/>
        </w:rPr>
        <w:t>现场并安装至甲方机位。乙方应在设备到达甲方安装地点后7天内派工程技术人员到达现场，并在甲方</w:t>
      </w:r>
      <w:r>
        <w:rPr>
          <w:rFonts w:hint="eastAsia" w:ascii="仿宋" w:hAnsi="仿宋" w:eastAsia="仿宋" w:cs="仿宋"/>
          <w:bCs/>
          <w:color w:val="auto"/>
          <w:sz w:val="24"/>
          <w:szCs w:val="24"/>
          <w:highlight w:val="none"/>
          <w:lang w:val="en-US" w:bidi="ar-SA"/>
        </w:rPr>
        <w:t>人员</w:t>
      </w:r>
      <w:r>
        <w:rPr>
          <w:rFonts w:hint="eastAsia" w:ascii="仿宋" w:hAnsi="仿宋" w:eastAsia="仿宋" w:cs="仿宋"/>
          <w:color w:val="auto"/>
          <w:sz w:val="24"/>
          <w:szCs w:val="24"/>
          <w:highlight w:val="none"/>
          <w:lang w:val="en-US" w:bidi="ar-SA"/>
        </w:rPr>
        <w:t>在场的情况下开箱清点（疫情期间外包装需经消杀方可开箱，货物拆箱安装所产生的垃圾由乙方负责处理）并进行安装、调试和试运行，直到该设备的技术指标完全符合合同要求，并经甲方确认验收通过为止。乙方安装人员应自备必要的专用工具、量具及调试用的材料等。如乙方未在7日内到达甲方指定安装地点，甲方有权自行开箱安装调试。开箱如有缺货、错装、损坏或技术问题，乙方应承担全部责任。在验收报告出具前，如需按相关规定，委托国家认可的第三方检测机构对货物进行检验并出具报告，所有费用均由乙方承担。设备验收签字前如有任何质量问题，乙方必须无条件更换。</w:t>
      </w:r>
    </w:p>
    <w:p w14:paraId="1B748F04">
      <w:pPr>
        <w:autoSpaceDN/>
        <w:spacing w:line="480" w:lineRule="auto"/>
        <w:ind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6.3.2乙方须承担货物验收前的财产保护责任，在验收前出现损坏由乙方负责。在安装运输过程中如出现人员伤亡及财产损坏由乙方承担赔偿责任。</w:t>
      </w:r>
    </w:p>
    <w:p w14:paraId="6D9E1C30">
      <w:pPr>
        <w:autoSpaceDE/>
        <w:autoSpaceDN/>
        <w:spacing w:line="48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6.3.3乙方免费承担运输、安装</w:t>
      </w:r>
      <w:r>
        <w:rPr>
          <w:rFonts w:hint="eastAsia" w:ascii="仿宋" w:hAnsi="仿宋" w:eastAsia="仿宋" w:cs="仿宋"/>
          <w:bCs/>
          <w:color w:val="auto"/>
          <w:sz w:val="24"/>
          <w:szCs w:val="24"/>
          <w:highlight w:val="none"/>
          <w:lang w:val="en-US" w:bidi="ar-SA"/>
        </w:rPr>
        <w:t>、存储</w:t>
      </w:r>
      <w:r>
        <w:rPr>
          <w:rFonts w:hint="eastAsia" w:ascii="仿宋" w:hAnsi="仿宋" w:eastAsia="仿宋" w:cs="仿宋"/>
          <w:color w:val="auto"/>
          <w:sz w:val="24"/>
          <w:szCs w:val="24"/>
          <w:highlight w:val="none"/>
          <w:lang w:val="en-US" w:bidi="ar-SA"/>
        </w:rPr>
        <w:t>及所需的全部费用包括（车辆、人工、材料）等，包括但不限于院内外运输所需钢板等铺垫材料。乙方需至少提前一天做好运输通道铺垫工作。</w:t>
      </w:r>
    </w:p>
    <w:p w14:paraId="7C87DF2E">
      <w:pPr>
        <w:autoSpaceDE/>
        <w:autoSpaceDN/>
        <w:spacing w:line="48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6.3.4乙方对在运输及安装工程中造成的大楼楼体（含通道、墙壁、电梯、楼梯、地面等）损伤进行赔偿。</w:t>
      </w:r>
    </w:p>
    <w:p w14:paraId="5458F4EB">
      <w:pPr>
        <w:autoSpaceDE/>
        <w:autoSpaceDN/>
        <w:spacing w:line="48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6.3.5在运输、安装过程中，乙方承担由于其运输和安装过程给甲方造成的损失和相应的经济、法律责任，对此甲方不承担任何责任。</w:t>
      </w:r>
    </w:p>
    <w:p w14:paraId="58F502A1">
      <w:pPr>
        <w:autoSpaceDE/>
        <w:autoSpaceDN/>
        <w:spacing w:line="480" w:lineRule="auto"/>
        <w:ind w:right="-1"/>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7</w:t>
      </w:r>
      <w:r>
        <w:rPr>
          <w:rFonts w:hint="eastAsia" w:ascii="仿宋" w:hAnsi="仿宋" w:eastAsia="仿宋" w:cs="仿宋"/>
          <w:color w:val="auto"/>
          <w:sz w:val="24"/>
          <w:szCs w:val="24"/>
          <w:highlight w:val="none"/>
          <w:lang w:val="en-US" w:bidi="ar-SA"/>
        </w:rPr>
        <w:t>.</w:t>
      </w:r>
      <w:r>
        <w:rPr>
          <w:rFonts w:hint="eastAsia" w:ascii="仿宋" w:hAnsi="仿宋" w:eastAsia="仿宋" w:cs="仿宋"/>
          <w:color w:val="auto"/>
          <w:kern w:val="2"/>
          <w:sz w:val="24"/>
          <w:szCs w:val="24"/>
          <w:highlight w:val="none"/>
          <w:lang w:val="en-US" w:bidi="ar-SA"/>
        </w:rPr>
        <w:t>包装与标志：</w:t>
      </w:r>
    </w:p>
    <w:p w14:paraId="7E72FE84">
      <w:pPr>
        <w:autoSpaceDE/>
        <w:autoSpaceDN/>
        <w:spacing w:line="48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7.1</w:t>
      </w:r>
      <w:r>
        <w:rPr>
          <w:rFonts w:hint="eastAsia" w:ascii="仿宋" w:hAnsi="仿宋" w:eastAsia="仿宋" w:cs="仿宋"/>
          <w:color w:val="auto"/>
          <w:kern w:val="2"/>
          <w:sz w:val="24"/>
          <w:szCs w:val="24"/>
          <w:highlight w:val="none"/>
          <w:lang w:val="en-US" w:bidi="ar-SA"/>
        </w:rPr>
        <w:t>包装应满足运输包装箱要求及环保熏蒸要求，拆箱后外包装须由乙方负责从甲方现场及时免费清理回收。</w:t>
      </w:r>
      <w:r>
        <w:rPr>
          <w:rFonts w:hint="eastAsia" w:ascii="仿宋" w:hAnsi="仿宋" w:eastAsia="仿宋" w:cs="仿宋"/>
          <w:color w:val="auto"/>
          <w:sz w:val="24"/>
          <w:szCs w:val="24"/>
          <w:highlight w:val="none"/>
          <w:lang w:val="en-US" w:bidi="ar-SA"/>
        </w:rPr>
        <w:t>包装材料应符合海南禁塑制品名录要求，优先使用低（无）挥发性有机物（VOCs）含量油墨印刷标识和全生物降解塑料。甲方接收合同设备时，合同设备外箱包装需无损。</w:t>
      </w:r>
    </w:p>
    <w:p w14:paraId="573C46E5">
      <w:pPr>
        <w:autoSpaceDE/>
        <w:autoSpaceDN/>
        <w:spacing w:line="48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sz w:val="24"/>
          <w:szCs w:val="24"/>
          <w:highlight w:val="none"/>
          <w:lang w:val="en-US" w:bidi="ar-SA"/>
        </w:rPr>
        <w:t>7.2</w:t>
      </w:r>
      <w:r>
        <w:rPr>
          <w:rFonts w:hint="eastAsia" w:ascii="仿宋" w:hAnsi="仿宋" w:eastAsia="仿宋" w:cs="仿宋"/>
          <w:color w:val="auto"/>
          <w:kern w:val="2"/>
          <w:sz w:val="24"/>
          <w:szCs w:val="24"/>
          <w:highlight w:val="none"/>
          <w:lang w:val="en-US" w:bidi="ar-SA"/>
        </w:rPr>
        <w:t>乙方应根据设备的不同形状和特点进行良好坚固的包装，适合长途运输、防潮、防湿、防震。</w:t>
      </w:r>
    </w:p>
    <w:p w14:paraId="09723515">
      <w:pPr>
        <w:autoSpaceDE/>
        <w:autoSpaceDN/>
        <w:spacing w:line="48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sz w:val="24"/>
          <w:szCs w:val="24"/>
          <w:highlight w:val="none"/>
          <w:lang w:val="en-US" w:bidi="ar-SA"/>
        </w:rPr>
        <w:t>7.3</w:t>
      </w:r>
      <w:r>
        <w:rPr>
          <w:rFonts w:hint="eastAsia" w:ascii="仿宋" w:hAnsi="仿宋" w:eastAsia="仿宋" w:cs="仿宋"/>
          <w:color w:val="auto"/>
          <w:kern w:val="2"/>
          <w:sz w:val="24"/>
          <w:szCs w:val="24"/>
          <w:highlight w:val="none"/>
          <w:lang w:val="en-US" w:bidi="ar-SA"/>
        </w:rPr>
        <w:t>乙方应在每一包装箱上注明：运输标志、装箱单号，唛头标记、设备名称、箱号、收货人、毛/净重、目的地、尺码（长×宽×高  mm标注），根据设备特点、装卸和运输中的不同要求，乙方应在包装箱上清楚地标有“小心轻放”“防潮”“勿倒置”等字样和其他标志图案。</w:t>
      </w:r>
    </w:p>
    <w:p w14:paraId="23DE0879">
      <w:pPr>
        <w:autoSpaceDE/>
        <w:autoSpaceDN/>
        <w:spacing w:line="48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7.4若设备重量为</w:t>
      </w:r>
      <w:r>
        <w:rPr>
          <w:rFonts w:hint="eastAsia" w:ascii="仿宋" w:hAnsi="仿宋" w:eastAsia="仿宋" w:cs="仿宋"/>
          <w:color w:val="auto"/>
          <w:kern w:val="2"/>
          <w:sz w:val="24"/>
          <w:szCs w:val="24"/>
          <w:highlight w:val="none"/>
          <w:u w:val="single"/>
          <w:lang w:val="en-US" w:bidi="ar-SA"/>
        </w:rPr>
        <w:t>2000kg</w:t>
      </w:r>
      <w:r>
        <w:rPr>
          <w:rFonts w:hint="eastAsia" w:ascii="仿宋" w:hAnsi="仿宋" w:eastAsia="仿宋" w:cs="仿宋"/>
          <w:color w:val="auto"/>
          <w:kern w:val="2"/>
          <w:sz w:val="24"/>
          <w:szCs w:val="24"/>
          <w:highlight w:val="none"/>
          <w:lang w:val="en-US" w:bidi="ar-SA"/>
        </w:rPr>
        <w:t>上，乙方应在每件包装箱的两侧明显地印刷标明常用标记图案，标明“重心点”，以便装卸和搬迁。</w:t>
      </w:r>
    </w:p>
    <w:p w14:paraId="362FFF0A">
      <w:pPr>
        <w:autoSpaceDE/>
        <w:autoSpaceDN/>
        <w:spacing w:line="48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7.5乙方现场安装所用的特殊工具、材料及消耗物件应同设备分开，单独包装并加以标注。</w:t>
      </w:r>
    </w:p>
    <w:p w14:paraId="357B1EB3">
      <w:pPr>
        <w:autoSpaceDE/>
        <w:autoSpaceDN/>
        <w:spacing w:line="480" w:lineRule="auto"/>
        <w:ind w:right="-1"/>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第四章  设备（器械）验收</w:t>
      </w:r>
    </w:p>
    <w:p w14:paraId="4A543DD2">
      <w:pPr>
        <w:spacing w:line="480" w:lineRule="auto"/>
        <w:ind w:right="-1"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bidi="ar-SA"/>
        </w:rPr>
        <w:t>　</w:t>
      </w:r>
      <w:r>
        <w:rPr>
          <w:rFonts w:hint="eastAsia" w:ascii="仿宋" w:hAnsi="仿宋" w:eastAsia="仿宋" w:cs="仿宋"/>
          <w:color w:val="auto"/>
          <w:sz w:val="24"/>
          <w:szCs w:val="24"/>
          <w:highlight w:val="none"/>
        </w:rPr>
        <w:t>8. 乙方应提供主机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器械</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及零备件的详细清单、设备</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器械）</w:t>
      </w:r>
      <w:r>
        <w:rPr>
          <w:rFonts w:hint="eastAsia" w:ascii="仿宋" w:hAnsi="仿宋" w:eastAsia="仿宋" w:cs="仿宋"/>
          <w:color w:val="auto"/>
          <w:sz w:val="24"/>
          <w:szCs w:val="24"/>
          <w:highlight w:val="none"/>
        </w:rPr>
        <w:t>的技术文件包括相应的装箱单、出厂检验记录、图纸、中文操作手册、中文维修手册（若有维修软件和维修密码，必须提供）、质量保证文件（或合格证）、服务指南等，这些文件应随同设备一起发运至甲方。同时乙方免费提供系统操作和维修的必要的专用工具及技术咨询。</w:t>
      </w:r>
    </w:p>
    <w:p w14:paraId="56252BF5">
      <w:pPr>
        <w:spacing w:line="480" w:lineRule="auto"/>
        <w:ind w:right="-1"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甲乙双方按照如下设备验收流程进行。</w:t>
      </w:r>
    </w:p>
    <w:p w14:paraId="7F6DAE2C">
      <w:pPr>
        <w:spacing w:line="480" w:lineRule="auto"/>
        <w:ind w:right="-1"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9.1</w:t>
      </w:r>
      <w:r>
        <w:rPr>
          <w:rFonts w:hint="eastAsia" w:ascii="仿宋" w:hAnsi="仿宋" w:eastAsia="仿宋" w:cs="仿宋"/>
          <w:color w:val="auto"/>
          <w:sz w:val="24"/>
          <w:szCs w:val="24"/>
          <w:highlight w:val="none"/>
        </w:rPr>
        <w:t>开箱查验。双方根据合同及招投标文件要求，共同对设备的包装、外观、设备品牌、原厂商、产地、规格型号、数量、生产日期(设备应在自合同签署之日往前推算</w:t>
      </w: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个月内</w:t>
      </w:r>
      <w:r>
        <w:rPr>
          <w:rFonts w:hint="eastAsia" w:ascii="仿宋" w:hAnsi="仿宋" w:eastAsia="仿宋" w:cs="仿宋"/>
          <w:color w:val="auto"/>
          <w:sz w:val="24"/>
          <w:szCs w:val="24"/>
          <w:highlight w:val="none"/>
          <w:lang w:val="en-US" w:eastAsia="zh-CN"/>
        </w:rPr>
        <w:t>或是合同签署之日后生产</w:t>
      </w:r>
      <w:r>
        <w:rPr>
          <w:rFonts w:hint="eastAsia" w:ascii="仿宋" w:hAnsi="仿宋" w:eastAsia="仿宋" w:cs="仿宋"/>
          <w:color w:val="auto"/>
          <w:sz w:val="24"/>
          <w:szCs w:val="24"/>
          <w:highlight w:val="none"/>
        </w:rPr>
        <w:t>)等进行查验。如有短缺、损坏、不合格产品等或与合同、招标文件不相符的情形，乙方应15日内予以更换，并承担相应的费用以及赔偿甲方遭受的一切损失。</w:t>
      </w:r>
    </w:p>
    <w:p w14:paraId="7BF3D482">
      <w:pPr>
        <w:spacing w:line="480" w:lineRule="auto"/>
        <w:ind w:left="47" w:right="-1"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9.2</w:t>
      </w:r>
      <w:r>
        <w:rPr>
          <w:rFonts w:hint="eastAsia" w:ascii="仿宋" w:hAnsi="仿宋" w:eastAsia="仿宋" w:cs="仿宋"/>
          <w:color w:val="auto"/>
          <w:sz w:val="24"/>
          <w:szCs w:val="24"/>
          <w:highlight w:val="none"/>
        </w:rPr>
        <w:t>安装调试。乙方应派专业工程师到现场进行安装、调试设备，保证各项性能正常，符合相关技术要求。在安装调试过程中，甲方应全程配合，产生的一切的人员、设备等的损伤损坏等不良事件由乙方负责。在安</w:t>
      </w:r>
      <w:r>
        <w:rPr>
          <w:rFonts w:hint="eastAsia" w:ascii="仿宋" w:hAnsi="仿宋" w:eastAsia="仿宋" w:cs="仿宋"/>
          <w:color w:val="auto"/>
          <w:spacing w:val="0"/>
          <w:sz w:val="24"/>
          <w:szCs w:val="24"/>
          <w:highlight w:val="none"/>
        </w:rPr>
        <w:t>装调试过程中，如合同设备的一项或数项指标未达到规定要求，乙方应于15个工作日内予以更换设备，由此产生的费用由乙方承担，并赔偿甲方遭受的一切损失。</w:t>
      </w:r>
    </w:p>
    <w:p w14:paraId="40407412">
      <w:pPr>
        <w:spacing w:line="480" w:lineRule="auto"/>
        <w:ind w:left="0"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spacing w:val="0"/>
          <w:position w:val="0"/>
          <w:sz w:val="24"/>
          <w:szCs w:val="24"/>
          <w:highlight w:val="none"/>
          <w:lang w:val="en-US" w:eastAsia="zh-CN"/>
        </w:rPr>
        <w:t>9.3</w:t>
      </w:r>
      <w:r>
        <w:rPr>
          <w:rFonts w:hint="eastAsia" w:ascii="仿宋" w:hAnsi="仿宋" w:eastAsia="仿宋" w:cs="仿宋"/>
          <w:color w:val="auto"/>
          <w:spacing w:val="0"/>
          <w:kern w:val="0"/>
          <w:position w:val="0"/>
          <w:sz w:val="24"/>
          <w:szCs w:val="24"/>
          <w:highlight w:val="none"/>
        </w:rPr>
        <w:t>人员培训。乙方负责对使用、保管、日常保养、清洗消毒和甲方工程</w:t>
      </w:r>
      <w:r>
        <w:rPr>
          <w:rFonts w:hint="eastAsia" w:ascii="仿宋" w:hAnsi="仿宋" w:eastAsia="仿宋" w:cs="仿宋"/>
          <w:color w:val="auto"/>
          <w:spacing w:val="0"/>
          <w:kern w:val="0"/>
          <w:sz w:val="24"/>
          <w:szCs w:val="24"/>
          <w:highlight w:val="none"/>
        </w:rPr>
        <w:t>师等人员进行相应培训，保证甲方能安全</w:t>
      </w:r>
      <w:r>
        <w:rPr>
          <w:rFonts w:hint="eastAsia" w:ascii="仿宋" w:hAnsi="仿宋" w:eastAsia="仿宋" w:cs="仿宋"/>
          <w:color w:val="auto"/>
          <w:kern w:val="0"/>
          <w:sz w:val="24"/>
          <w:szCs w:val="24"/>
          <w:highlight w:val="none"/>
        </w:rPr>
        <w:t>正常地使用设备。</w:t>
      </w:r>
    </w:p>
    <w:p w14:paraId="0E5EC2EC">
      <w:pPr>
        <w:spacing w:line="480" w:lineRule="auto"/>
        <w:ind w:left="0" w:firstLine="480" w:firstLineChars="200"/>
        <w:jc w:val="both"/>
        <w:rPr>
          <w:rFonts w:hint="eastAsia" w:ascii="仿宋" w:hAnsi="仿宋" w:eastAsia="仿宋" w:cs="仿宋"/>
          <w:color w:val="auto"/>
          <w:kern w:val="0"/>
          <w:sz w:val="24"/>
          <w:szCs w:val="24"/>
          <w:highlight w:val="none"/>
        </w:rPr>
      </w:pPr>
      <w:r>
        <w:rPr>
          <w:rFonts w:hint="eastAsia" w:ascii="仿宋" w:hAnsi="仿宋" w:eastAsia="仿宋" w:cs="仿宋"/>
          <w:color w:val="auto"/>
          <w:spacing w:val="0"/>
          <w:sz w:val="24"/>
          <w:szCs w:val="24"/>
          <w:highlight w:val="none"/>
          <w:lang w:val="en-US" w:eastAsia="zh-CN"/>
        </w:rPr>
        <w:t>9.4</w:t>
      </w:r>
      <w:r>
        <w:rPr>
          <w:rFonts w:hint="eastAsia" w:ascii="仿宋" w:hAnsi="仿宋" w:eastAsia="仿宋" w:cs="仿宋"/>
          <w:color w:val="auto"/>
          <w:spacing w:val="0"/>
          <w:kern w:val="0"/>
          <w:sz w:val="24"/>
          <w:szCs w:val="24"/>
          <w:highlight w:val="none"/>
        </w:rPr>
        <w:t>资料提供。乙方应按照甲方验收要求，收集好的验收资料，加盖公章。</w:t>
      </w:r>
    </w:p>
    <w:p w14:paraId="27290805">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pacing w:val="0"/>
          <w:sz w:val="24"/>
          <w:szCs w:val="24"/>
          <w:highlight w:val="none"/>
          <w:lang w:val="en-US" w:eastAsia="zh-CN"/>
        </w:rPr>
        <w:t>9.5</w:t>
      </w:r>
      <w:r>
        <w:rPr>
          <w:rFonts w:hint="eastAsia" w:ascii="仿宋" w:hAnsi="仿宋" w:eastAsia="仿宋" w:cs="仿宋"/>
          <w:color w:val="auto"/>
          <w:spacing w:val="0"/>
          <w:kern w:val="0"/>
          <w:sz w:val="24"/>
          <w:szCs w:val="24"/>
          <w:highlight w:val="none"/>
        </w:rPr>
        <w:t>合格验收。安装调试完毕后，甲方根据招投标文件和产品说明书的功能配置、技术参数等进行检验、试用。试用的期限双方根据设备的具体情况另行确定。试用期间如合同设备的一项或数项指标未能达到规定要求，乙方应于15</w:t>
      </w:r>
      <w:r>
        <w:rPr>
          <w:rFonts w:hint="eastAsia" w:ascii="仿宋" w:hAnsi="仿宋" w:eastAsia="仿宋" w:cs="仿宋"/>
          <w:color w:val="auto"/>
          <w:spacing w:val="0"/>
          <w:sz w:val="24"/>
          <w:szCs w:val="24"/>
          <w:highlight w:val="none"/>
        </w:rPr>
        <w:t>日内予以更换设备，由此产生的费用由乙方承担，并赔偿甲方遭受的一切损失。乙方应向甲方提供要求的验收资料。双方最后签署验收单，验收合格日期以甲方签署的日期起算。</w:t>
      </w:r>
    </w:p>
    <w:p w14:paraId="135F04A9">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pacing w:val="0"/>
          <w:position w:val="0"/>
          <w:sz w:val="24"/>
          <w:szCs w:val="24"/>
          <w:highlight w:val="none"/>
          <w:lang w:val="en-US" w:eastAsia="zh-CN"/>
        </w:rPr>
        <w:t>9.6</w:t>
      </w:r>
      <w:r>
        <w:rPr>
          <w:rFonts w:hint="eastAsia" w:ascii="仿宋" w:hAnsi="仿宋" w:eastAsia="仿宋" w:cs="仿宋"/>
          <w:color w:val="auto"/>
          <w:spacing w:val="0"/>
          <w:position w:val="0"/>
          <w:sz w:val="24"/>
          <w:szCs w:val="24"/>
          <w:highlight w:val="none"/>
        </w:rPr>
        <w:t>如果</w:t>
      </w:r>
      <w:r>
        <w:rPr>
          <w:rFonts w:hint="eastAsia" w:ascii="仿宋" w:hAnsi="仿宋" w:eastAsia="仿宋" w:cs="仿宋"/>
          <w:color w:val="auto"/>
          <w:spacing w:val="0"/>
          <w:position w:val="0"/>
          <w:sz w:val="24"/>
          <w:szCs w:val="24"/>
          <w:highlight w:val="none"/>
          <w:lang w:val="en-US" w:eastAsia="zh-CN"/>
        </w:rPr>
        <w:t>设备</w:t>
      </w:r>
      <w:r>
        <w:rPr>
          <w:rFonts w:hint="eastAsia" w:ascii="仿宋" w:hAnsi="仿宋" w:eastAsia="仿宋" w:cs="仿宋"/>
          <w:color w:val="auto"/>
          <w:spacing w:val="0"/>
          <w:position w:val="0"/>
          <w:sz w:val="24"/>
          <w:szCs w:val="24"/>
          <w:highlight w:val="none"/>
        </w:rPr>
        <w:t>含软件及相关服务涉及甲方软件链接，乙方应负责</w:t>
      </w:r>
      <w:r>
        <w:rPr>
          <w:rFonts w:hint="eastAsia" w:ascii="仿宋" w:hAnsi="仿宋" w:eastAsia="仿宋" w:cs="仿宋"/>
          <w:color w:val="auto"/>
          <w:spacing w:val="0"/>
          <w:position w:val="0"/>
          <w:sz w:val="24"/>
          <w:szCs w:val="24"/>
          <w:highlight w:val="none"/>
          <w:lang w:val="en-US" w:eastAsia="zh-CN"/>
        </w:rPr>
        <w:t>设备</w:t>
      </w:r>
      <w:r>
        <w:rPr>
          <w:rFonts w:hint="eastAsia" w:ascii="仿宋" w:hAnsi="仿宋" w:eastAsia="仿宋" w:cs="仿宋"/>
          <w:color w:val="auto"/>
          <w:spacing w:val="0"/>
          <w:sz w:val="24"/>
          <w:szCs w:val="24"/>
          <w:highlight w:val="none"/>
        </w:rPr>
        <w:t>(含软件及相关服)</w:t>
      </w:r>
      <w:r>
        <w:rPr>
          <w:rFonts w:hint="eastAsia" w:ascii="仿宋" w:hAnsi="仿宋" w:eastAsia="仿宋" w:cs="仿宋"/>
          <w:color w:val="auto"/>
          <w:spacing w:val="0"/>
          <w:sz w:val="24"/>
          <w:szCs w:val="24"/>
          <w:highlight w:val="none"/>
          <w:lang w:val="en-US" w:eastAsia="zh-CN"/>
        </w:rPr>
        <w:t>与</w:t>
      </w:r>
      <w:r>
        <w:rPr>
          <w:rFonts w:hint="eastAsia" w:ascii="仿宋" w:hAnsi="仿宋" w:eastAsia="仿宋" w:cs="仿宋"/>
          <w:color w:val="auto"/>
          <w:spacing w:val="0"/>
          <w:sz w:val="24"/>
          <w:szCs w:val="24"/>
          <w:highlight w:val="none"/>
        </w:rPr>
        <w:t>甲方网络端口链接的相关安装及费用。</w:t>
      </w:r>
    </w:p>
    <w:p w14:paraId="4612EB16">
      <w:pPr>
        <w:autoSpaceDE/>
        <w:autoSpaceDN/>
        <w:spacing w:line="480" w:lineRule="auto"/>
        <w:ind w:right="-1"/>
        <w:jc w:val="center"/>
        <w:rPr>
          <w:rFonts w:hint="eastAsia" w:ascii="仿宋" w:hAnsi="仿宋" w:eastAsia="仿宋" w:cs="仿宋"/>
          <w:b/>
          <w:color w:val="auto"/>
          <w:kern w:val="2"/>
          <w:sz w:val="24"/>
          <w:szCs w:val="24"/>
          <w:highlight w:val="none"/>
          <w:lang w:val="en-US" w:bidi="ar-SA"/>
        </w:rPr>
      </w:pPr>
    </w:p>
    <w:p w14:paraId="41B26EAD">
      <w:pP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br w:type="page"/>
      </w:r>
    </w:p>
    <w:p w14:paraId="67B0FFE3">
      <w:pPr>
        <w:autoSpaceDE/>
        <w:autoSpaceDN/>
        <w:spacing w:line="480" w:lineRule="auto"/>
        <w:ind w:right="-1"/>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第五章  设备使用观察期</w:t>
      </w:r>
    </w:p>
    <w:p w14:paraId="66071CC4">
      <w:pPr>
        <w:widowControl/>
        <w:autoSpaceDE/>
        <w:autoSpaceDN/>
        <w:spacing w:line="480" w:lineRule="auto"/>
        <w:jc w:val="both"/>
        <w:rPr>
          <w:rFonts w:hint="eastAsia" w:ascii="仿宋" w:hAnsi="仿宋" w:eastAsia="仿宋" w:cs="仿宋"/>
          <w:color w:val="auto"/>
          <w:kern w:val="2"/>
          <w:sz w:val="21"/>
          <w:szCs w:val="21"/>
          <w:highlight w:val="none"/>
          <w:lang w:val="en-US" w:bidi="ar-SA"/>
        </w:rPr>
      </w:pPr>
      <w:r>
        <w:rPr>
          <w:rFonts w:hint="eastAsia" w:ascii="仿宋" w:hAnsi="仿宋" w:eastAsia="仿宋" w:cs="仿宋"/>
          <w:color w:val="auto"/>
          <w:sz w:val="24"/>
          <w:szCs w:val="24"/>
          <w:highlight w:val="none"/>
          <w:lang w:val="en-US" w:eastAsia="zh-CN" w:bidi="ar-SA"/>
        </w:rPr>
        <w:t>　　</w:t>
      </w:r>
      <w:r>
        <w:rPr>
          <w:rFonts w:hint="eastAsia" w:ascii="仿宋" w:hAnsi="仿宋" w:eastAsia="仿宋" w:cs="仿宋"/>
          <w:color w:val="auto"/>
          <w:sz w:val="24"/>
          <w:szCs w:val="24"/>
          <w:highlight w:val="none"/>
          <w:lang w:val="en-US" w:bidi="ar-SA"/>
        </w:rPr>
        <w:t>1</w:t>
      </w:r>
      <w:r>
        <w:rPr>
          <w:rFonts w:hint="eastAsia" w:ascii="仿宋" w:hAnsi="仿宋" w:eastAsia="仿宋" w:cs="仿宋"/>
          <w:color w:val="auto"/>
          <w:sz w:val="24"/>
          <w:szCs w:val="24"/>
          <w:highlight w:val="none"/>
          <w:lang w:val="en-US" w:eastAsia="zh-CN" w:bidi="ar-SA"/>
        </w:rPr>
        <w:t>0</w:t>
      </w:r>
      <w:r>
        <w:rPr>
          <w:rFonts w:hint="eastAsia" w:ascii="仿宋" w:hAnsi="仿宋" w:eastAsia="仿宋" w:cs="仿宋"/>
          <w:color w:val="auto"/>
          <w:sz w:val="24"/>
          <w:szCs w:val="24"/>
          <w:highlight w:val="none"/>
          <w:lang w:val="en-US" w:bidi="ar-SA"/>
        </w:rPr>
        <w:t>.双方约定为从设备安装调试并通过验收合格之日起</w:t>
      </w:r>
      <w:r>
        <w:rPr>
          <w:rFonts w:hint="eastAsia" w:ascii="仿宋" w:hAnsi="仿宋" w:eastAsia="仿宋" w:cs="仿宋"/>
          <w:color w:val="auto"/>
          <w:sz w:val="24"/>
          <w:szCs w:val="24"/>
          <w:highlight w:val="none"/>
          <w:u w:val="single"/>
          <w:lang w:val="en-US" w:bidi="ar-SA"/>
        </w:rPr>
        <w:t xml:space="preserve"> 90 </w:t>
      </w:r>
      <w:r>
        <w:rPr>
          <w:rFonts w:hint="eastAsia" w:ascii="仿宋" w:hAnsi="仿宋" w:eastAsia="仿宋" w:cs="仿宋"/>
          <w:color w:val="auto"/>
          <w:sz w:val="24"/>
          <w:szCs w:val="24"/>
          <w:highlight w:val="none"/>
          <w:lang w:val="en-US" w:bidi="ar-SA"/>
        </w:rPr>
        <w:t>天为设备使用观察期。设备使用观察期内因设备发生的缺陷不能修补，原则上甲方可以选择退货或换货。在设备使用观察期内出现设备存在的问题，按如下约定处理：</w:t>
      </w:r>
    </w:p>
    <w:p w14:paraId="43EFD5CD">
      <w:pPr>
        <w:widowControl/>
        <w:autoSpaceDE/>
        <w:autoSpaceDN/>
        <w:spacing w:line="480" w:lineRule="auto"/>
        <w:ind w:firstLine="480" w:firstLineChars="200"/>
        <w:jc w:val="both"/>
        <w:rPr>
          <w:rFonts w:hint="eastAsia" w:ascii="仿宋" w:hAnsi="仿宋" w:eastAsia="仿宋" w:cs="仿宋"/>
          <w:color w:val="auto"/>
          <w:kern w:val="2"/>
          <w:sz w:val="21"/>
          <w:szCs w:val="21"/>
          <w:highlight w:val="none"/>
          <w:lang w:val="en-US" w:bidi="ar-SA"/>
        </w:rPr>
      </w:pPr>
      <w:r>
        <w:rPr>
          <w:rFonts w:hint="eastAsia" w:ascii="仿宋" w:hAnsi="仿宋" w:eastAsia="仿宋" w:cs="仿宋"/>
          <w:color w:val="auto"/>
          <w:sz w:val="24"/>
          <w:szCs w:val="24"/>
          <w:highlight w:val="none"/>
          <w:lang w:val="en-US" w:bidi="ar-SA"/>
        </w:rPr>
        <w:t>1</w:t>
      </w:r>
      <w:r>
        <w:rPr>
          <w:rFonts w:hint="eastAsia" w:ascii="仿宋" w:hAnsi="仿宋" w:eastAsia="仿宋" w:cs="仿宋"/>
          <w:color w:val="auto"/>
          <w:sz w:val="24"/>
          <w:szCs w:val="24"/>
          <w:highlight w:val="none"/>
          <w:lang w:val="en-US" w:eastAsia="zh-CN" w:bidi="ar-SA"/>
        </w:rPr>
        <w:t>0</w:t>
      </w:r>
      <w:r>
        <w:rPr>
          <w:rFonts w:hint="eastAsia" w:ascii="仿宋" w:hAnsi="仿宋" w:eastAsia="仿宋" w:cs="仿宋"/>
          <w:color w:val="auto"/>
          <w:sz w:val="24"/>
          <w:szCs w:val="24"/>
          <w:highlight w:val="none"/>
          <w:lang w:val="en-US" w:bidi="ar-SA"/>
        </w:rPr>
        <w:t>.1设备必须符合国家检测标准，符合招投标文件中确定的标准，不存在任何偏差。如设备的标准与约定不符，或设备存在缺陷，乙方应接到甲方书面通知后</w:t>
      </w:r>
      <w:r>
        <w:rPr>
          <w:rFonts w:hint="eastAsia" w:ascii="仿宋" w:hAnsi="仿宋" w:eastAsia="仿宋" w:cs="仿宋"/>
          <w:color w:val="auto"/>
          <w:sz w:val="24"/>
          <w:szCs w:val="24"/>
          <w:highlight w:val="none"/>
          <w:u w:val="single"/>
          <w:lang w:val="en-US" w:bidi="ar-SA"/>
        </w:rPr>
        <w:t xml:space="preserve"> 30 </w:t>
      </w:r>
      <w:r>
        <w:rPr>
          <w:rFonts w:hint="eastAsia" w:ascii="仿宋" w:hAnsi="仿宋" w:eastAsia="仿宋" w:cs="仿宋"/>
          <w:color w:val="auto"/>
          <w:sz w:val="24"/>
          <w:szCs w:val="24"/>
          <w:highlight w:val="none"/>
          <w:lang w:val="en-US" w:bidi="ar-SA"/>
        </w:rPr>
        <w:t>日内进行更换或修补，其费用由乙方承担。同时相应延长设备使用观察期。</w:t>
      </w:r>
    </w:p>
    <w:p w14:paraId="085FA4BF">
      <w:pPr>
        <w:widowControl/>
        <w:autoSpaceDE/>
        <w:autoSpaceDN/>
        <w:spacing w:line="480" w:lineRule="auto"/>
        <w:ind w:firstLine="480" w:firstLineChars="200"/>
        <w:jc w:val="both"/>
        <w:rPr>
          <w:rFonts w:hint="eastAsia" w:ascii="仿宋" w:hAnsi="仿宋" w:eastAsia="仿宋" w:cs="仿宋"/>
          <w:color w:val="auto"/>
          <w:kern w:val="2"/>
          <w:sz w:val="21"/>
          <w:szCs w:val="21"/>
          <w:highlight w:val="none"/>
          <w:lang w:val="en-US" w:bidi="ar-SA"/>
        </w:rPr>
      </w:pPr>
      <w:r>
        <w:rPr>
          <w:rFonts w:hint="eastAsia" w:ascii="仿宋" w:hAnsi="仿宋" w:eastAsia="仿宋" w:cs="仿宋"/>
          <w:color w:val="auto"/>
          <w:sz w:val="24"/>
          <w:szCs w:val="24"/>
          <w:highlight w:val="none"/>
          <w:lang w:val="en-US" w:bidi="ar-SA"/>
        </w:rPr>
        <w:t>1</w:t>
      </w:r>
      <w:r>
        <w:rPr>
          <w:rFonts w:hint="eastAsia" w:ascii="仿宋" w:hAnsi="仿宋" w:eastAsia="仿宋" w:cs="仿宋"/>
          <w:color w:val="auto"/>
          <w:sz w:val="24"/>
          <w:szCs w:val="24"/>
          <w:highlight w:val="none"/>
          <w:lang w:val="en-US" w:eastAsia="zh-CN" w:bidi="ar-SA"/>
        </w:rPr>
        <w:t>0</w:t>
      </w:r>
      <w:r>
        <w:rPr>
          <w:rFonts w:hint="eastAsia" w:ascii="仿宋" w:hAnsi="仿宋" w:eastAsia="仿宋" w:cs="仿宋"/>
          <w:color w:val="auto"/>
          <w:sz w:val="24"/>
          <w:szCs w:val="24"/>
          <w:highlight w:val="none"/>
          <w:lang w:val="en-US" w:bidi="ar-SA"/>
        </w:rPr>
        <w:t>.2如因设备的标准与约定不符，或设备存在缺陷，经更换或修补后仍然存在缺陷，甲方可要求退货，乙方应按合同规定的货款退还给甲方，并承担退货发生的所有损失和费用。</w:t>
      </w:r>
    </w:p>
    <w:p w14:paraId="150ADABE">
      <w:pPr>
        <w:widowControl/>
        <w:autoSpaceDE/>
        <w:autoSpaceDN/>
        <w:spacing w:line="480" w:lineRule="auto"/>
        <w:ind w:firstLine="480" w:firstLineChars="200"/>
        <w:jc w:val="both"/>
        <w:rPr>
          <w:rFonts w:hint="eastAsia" w:ascii="仿宋" w:hAnsi="仿宋" w:eastAsia="仿宋" w:cs="仿宋"/>
          <w:color w:val="auto"/>
          <w:kern w:val="2"/>
          <w:sz w:val="21"/>
          <w:szCs w:val="21"/>
          <w:highlight w:val="none"/>
          <w:lang w:val="en-US" w:bidi="ar-SA"/>
        </w:rPr>
      </w:pPr>
      <w:r>
        <w:rPr>
          <w:rFonts w:hint="eastAsia" w:ascii="仿宋" w:hAnsi="仿宋" w:eastAsia="仿宋" w:cs="仿宋"/>
          <w:color w:val="auto"/>
          <w:sz w:val="24"/>
          <w:szCs w:val="24"/>
          <w:highlight w:val="none"/>
          <w:lang w:val="en-US" w:bidi="ar-SA"/>
        </w:rPr>
        <w:t>1</w:t>
      </w:r>
      <w:r>
        <w:rPr>
          <w:rFonts w:hint="eastAsia" w:ascii="仿宋" w:hAnsi="仿宋" w:eastAsia="仿宋" w:cs="仿宋"/>
          <w:color w:val="auto"/>
          <w:sz w:val="24"/>
          <w:szCs w:val="24"/>
          <w:highlight w:val="none"/>
          <w:lang w:val="en-US" w:eastAsia="zh-CN" w:bidi="ar-SA"/>
        </w:rPr>
        <w:t>0</w:t>
      </w:r>
      <w:r>
        <w:rPr>
          <w:rFonts w:hint="eastAsia" w:ascii="仿宋" w:hAnsi="仿宋" w:eastAsia="仿宋" w:cs="仿宋"/>
          <w:color w:val="auto"/>
          <w:sz w:val="24"/>
          <w:szCs w:val="24"/>
          <w:highlight w:val="none"/>
          <w:lang w:val="en-US" w:bidi="ar-SA"/>
        </w:rPr>
        <w:t>.3乙方保证提供的设备必须为合法渠道销售的设备，并为全新未使用过的。并保证设备不侵犯任何第三方的专利、商标等权利。否则，乙方须承担对第三方的侵权责任并承担因此而发生的所有费用，同时赔偿甲方因此产生的损失。</w:t>
      </w:r>
    </w:p>
    <w:p w14:paraId="43F4A15A">
      <w:pPr>
        <w:autoSpaceDE/>
        <w:autoSpaceDN/>
        <w:spacing w:line="480" w:lineRule="auto"/>
        <w:ind w:left="-2" w:leftChars="0" w:right="-1" w:firstLine="480" w:firstLineChars="200"/>
        <w:jc w:val="both"/>
        <w:rPr>
          <w:rFonts w:hint="eastAsia" w:ascii="仿宋" w:hAnsi="仿宋" w:eastAsia="仿宋" w:cs="仿宋"/>
          <w:b/>
          <w:color w:val="auto"/>
          <w:kern w:val="2"/>
          <w:sz w:val="18"/>
          <w:szCs w:val="18"/>
          <w:highlight w:val="none"/>
          <w:lang w:val="en-US" w:bidi="ar-SA"/>
        </w:rPr>
      </w:pPr>
      <w:r>
        <w:rPr>
          <w:rFonts w:hint="eastAsia" w:ascii="仿宋" w:hAnsi="仿宋" w:eastAsia="仿宋" w:cs="仿宋"/>
          <w:color w:val="auto"/>
          <w:sz w:val="24"/>
          <w:szCs w:val="24"/>
          <w:highlight w:val="none"/>
          <w:lang w:val="en-US" w:eastAsia="zh-CN" w:bidi="ar-SA"/>
        </w:rPr>
        <w:t>10.4</w:t>
      </w:r>
      <w:r>
        <w:rPr>
          <w:rFonts w:hint="eastAsia" w:ascii="仿宋" w:hAnsi="仿宋" w:eastAsia="仿宋" w:cs="仿宋"/>
          <w:color w:val="auto"/>
          <w:sz w:val="24"/>
          <w:szCs w:val="24"/>
          <w:highlight w:val="none"/>
          <w:lang w:val="en-US" w:bidi="ar-SA"/>
        </w:rPr>
        <w:t>如因设备的质量问题发生纠纷，应由国家质检部门进行质量鉴定，鉴定费用等相关费用均由乙方承担。</w:t>
      </w:r>
    </w:p>
    <w:p w14:paraId="18472254">
      <w:pPr>
        <w:autoSpaceDE/>
        <w:autoSpaceDN/>
        <w:spacing w:line="480" w:lineRule="auto"/>
        <w:ind w:right="-1"/>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第六章  技术服务、操作维修培训及质量等相关保证</w:t>
      </w:r>
    </w:p>
    <w:p w14:paraId="729D8157">
      <w:pPr>
        <w:widowControl/>
        <w:autoSpaceDN/>
        <w:spacing w:line="480" w:lineRule="auto"/>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1</w:t>
      </w:r>
      <w:r>
        <w:rPr>
          <w:rFonts w:hint="eastAsia" w:ascii="仿宋" w:hAnsi="仿宋" w:eastAsia="仿宋" w:cs="仿宋"/>
          <w:color w:val="auto"/>
          <w:kern w:val="2"/>
          <w:sz w:val="24"/>
          <w:szCs w:val="24"/>
          <w:highlight w:val="none"/>
          <w:lang w:val="en-US" w:bidi="ar-SA"/>
        </w:rPr>
        <w:t>.售后保证货物到达使用单位完好无损，如有缺漏、损坏，由</w:t>
      </w:r>
      <w:r>
        <w:rPr>
          <w:rFonts w:hint="eastAsia" w:ascii="仿宋" w:hAnsi="仿宋" w:eastAsia="仿宋" w:cs="仿宋"/>
          <w:color w:val="auto"/>
          <w:kern w:val="2"/>
          <w:sz w:val="24"/>
          <w:szCs w:val="24"/>
          <w:highlight w:val="none"/>
          <w:lang w:val="en-US" w:eastAsia="zh-CN" w:bidi="ar-SA"/>
        </w:rPr>
        <w:t>乙方</w:t>
      </w:r>
      <w:r>
        <w:rPr>
          <w:rFonts w:hint="eastAsia" w:ascii="仿宋" w:hAnsi="仿宋" w:eastAsia="仿宋" w:cs="仿宋"/>
          <w:color w:val="auto"/>
          <w:kern w:val="2"/>
          <w:sz w:val="24"/>
          <w:szCs w:val="24"/>
          <w:highlight w:val="none"/>
          <w:lang w:val="en-US" w:bidi="ar-SA"/>
        </w:rPr>
        <w:t>负责调换、补齐。并派遣技术工程师安装调试，安装完成后有技术工程师上门培训。</w:t>
      </w:r>
    </w:p>
    <w:p w14:paraId="627E6CC0">
      <w:pPr>
        <w:widowControl/>
        <w:autoSpaceDN/>
        <w:spacing w:line="480" w:lineRule="auto"/>
        <w:jc w:val="both"/>
        <w:rPr>
          <w:rFonts w:hint="eastAsia" w:ascii="仿宋" w:hAnsi="仿宋" w:eastAsia="仿宋" w:cs="仿宋"/>
          <w:color w:val="auto"/>
          <w:kern w:val="2"/>
          <w:sz w:val="21"/>
          <w:szCs w:val="21"/>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2</w:t>
      </w:r>
      <w:r>
        <w:rPr>
          <w:rFonts w:hint="eastAsia" w:ascii="仿宋" w:hAnsi="仿宋" w:eastAsia="仿宋" w:cs="仿宋"/>
          <w:color w:val="auto"/>
          <w:kern w:val="2"/>
          <w:sz w:val="24"/>
          <w:szCs w:val="24"/>
          <w:highlight w:val="none"/>
          <w:lang w:val="en-US" w:bidi="ar-SA"/>
        </w:rPr>
        <w:t xml:space="preserve">.技术资料：随机提供全套、完整的技术资料，包括说明书、操作手册、维修保养说明书。 </w:t>
      </w:r>
    </w:p>
    <w:p w14:paraId="1CC4D6AE">
      <w:pPr>
        <w:autoSpaceDE/>
        <w:autoSpaceDN/>
        <w:spacing w:line="480" w:lineRule="auto"/>
        <w:ind w:right="-1"/>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sz w:val="24"/>
          <w:szCs w:val="24"/>
          <w:highlight w:val="none"/>
          <w:lang w:val="en-US" w:eastAsia="zh-CN" w:bidi="ar-SA"/>
        </w:rPr>
        <w:t>　　</w:t>
      </w:r>
      <w:r>
        <w:rPr>
          <w:rFonts w:hint="eastAsia" w:ascii="仿宋" w:hAnsi="仿宋" w:eastAsia="仿宋" w:cs="仿宋"/>
          <w:color w:val="auto"/>
          <w:sz w:val="24"/>
          <w:szCs w:val="24"/>
          <w:highlight w:val="none"/>
          <w:lang w:val="en-US" w:bidi="ar-SA"/>
        </w:rPr>
        <w:t>1</w:t>
      </w:r>
      <w:r>
        <w:rPr>
          <w:rFonts w:hint="eastAsia" w:ascii="仿宋" w:hAnsi="仿宋" w:eastAsia="仿宋" w:cs="仿宋"/>
          <w:color w:val="auto"/>
          <w:sz w:val="24"/>
          <w:szCs w:val="24"/>
          <w:highlight w:val="none"/>
          <w:lang w:val="en-US" w:eastAsia="zh-CN" w:bidi="ar-SA"/>
        </w:rPr>
        <w:t>3</w:t>
      </w:r>
      <w:r>
        <w:rPr>
          <w:rFonts w:hint="eastAsia" w:ascii="仿宋" w:hAnsi="仿宋" w:eastAsia="仿宋" w:cs="仿宋"/>
          <w:color w:val="auto"/>
          <w:sz w:val="24"/>
          <w:szCs w:val="24"/>
          <w:highlight w:val="none"/>
          <w:lang w:val="en-US" w:bidi="ar-SA"/>
        </w:rPr>
        <w:t xml:space="preserve">．培训： </w:t>
      </w:r>
    </w:p>
    <w:p w14:paraId="1EC8E7AE">
      <w:pPr>
        <w:autoSpaceDE/>
        <w:autoSpaceDN/>
        <w:spacing w:line="48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1</w:t>
      </w:r>
      <w:r>
        <w:rPr>
          <w:rFonts w:hint="eastAsia" w:ascii="仿宋" w:hAnsi="仿宋" w:eastAsia="仿宋" w:cs="仿宋"/>
          <w:color w:val="auto"/>
          <w:sz w:val="24"/>
          <w:szCs w:val="24"/>
          <w:highlight w:val="none"/>
          <w:lang w:val="en-US" w:eastAsia="zh-CN" w:bidi="ar-SA"/>
        </w:rPr>
        <w:t>3</w:t>
      </w:r>
      <w:r>
        <w:rPr>
          <w:rFonts w:hint="eastAsia" w:ascii="仿宋" w:hAnsi="仿宋" w:eastAsia="仿宋" w:cs="仿宋"/>
          <w:color w:val="auto"/>
          <w:sz w:val="24"/>
          <w:szCs w:val="24"/>
          <w:highlight w:val="none"/>
          <w:lang w:val="en-US" w:bidi="ar-SA"/>
        </w:rPr>
        <w:t>.1乙方委派经验丰富的专业技术人员在甲方使用现场对甲方人员进行设备操作、维护、维修、保养、检测等相关内容的免费培训，</w:t>
      </w:r>
      <w:r>
        <w:rPr>
          <w:rFonts w:hint="eastAsia" w:ascii="仿宋" w:hAnsi="仿宋" w:eastAsia="仿宋" w:cs="仿宋"/>
          <w:color w:val="auto"/>
          <w:kern w:val="2"/>
          <w:sz w:val="24"/>
          <w:szCs w:val="24"/>
          <w:highlight w:val="none"/>
          <w:lang w:val="en-US" w:bidi="ar-SA"/>
        </w:rPr>
        <w:t xml:space="preserve">并提供授权证书。 </w:t>
      </w:r>
      <w:r>
        <w:rPr>
          <w:rFonts w:hint="eastAsia" w:ascii="仿宋" w:hAnsi="仿宋" w:eastAsia="仿宋" w:cs="仿宋"/>
          <w:color w:val="auto"/>
          <w:sz w:val="24"/>
          <w:szCs w:val="24"/>
          <w:highlight w:val="none"/>
          <w:lang w:val="en-US" w:bidi="ar-SA"/>
        </w:rPr>
        <w:t>使甲方全面了解直至完全掌握设备的使用，并应提供原厂培训。培训内容包括：设备操作、应用、维护、维修培训。培训应在设备安装调试后</w:t>
      </w:r>
      <w:r>
        <w:rPr>
          <w:rFonts w:hint="eastAsia" w:ascii="仿宋" w:hAnsi="仿宋" w:eastAsia="仿宋" w:cs="仿宋"/>
          <w:color w:val="auto"/>
          <w:kern w:val="2"/>
          <w:sz w:val="24"/>
          <w:szCs w:val="24"/>
          <w:highlight w:val="none"/>
          <w:lang w:val="en-US" w:bidi="ar-SA"/>
        </w:rPr>
        <w:t>5</w:t>
      </w:r>
      <w:r>
        <w:rPr>
          <w:rFonts w:hint="eastAsia" w:ascii="仿宋" w:hAnsi="仿宋" w:eastAsia="仿宋" w:cs="仿宋"/>
          <w:color w:val="auto"/>
          <w:sz w:val="24"/>
          <w:szCs w:val="24"/>
          <w:highlight w:val="none"/>
          <w:lang w:val="en-US" w:bidi="ar-SA"/>
        </w:rPr>
        <w:t>个工作日内完成，乙方对甲方每类人员进行为期不少于</w:t>
      </w:r>
      <w:r>
        <w:rPr>
          <w:rFonts w:hint="eastAsia" w:ascii="仿宋" w:hAnsi="仿宋" w:eastAsia="仿宋" w:cs="仿宋"/>
          <w:color w:val="auto"/>
          <w:sz w:val="24"/>
          <w:szCs w:val="24"/>
          <w:highlight w:val="none"/>
          <w:u w:val="single"/>
          <w:lang w:val="en-US" w:bidi="ar-SA"/>
        </w:rPr>
        <w:t xml:space="preserve"> 1  </w:t>
      </w:r>
      <w:r>
        <w:rPr>
          <w:rFonts w:hint="eastAsia" w:ascii="仿宋" w:hAnsi="仿宋" w:eastAsia="仿宋" w:cs="仿宋"/>
          <w:color w:val="auto"/>
          <w:sz w:val="24"/>
          <w:szCs w:val="24"/>
          <w:highlight w:val="none"/>
          <w:lang w:val="en-US" w:bidi="ar-SA"/>
        </w:rPr>
        <w:t>个工作日的操作及使用维护培训，并达到甲方被培训人员能够独立操作、应用及维护设备的要求。必要时提供跟台操作培训。</w:t>
      </w:r>
    </w:p>
    <w:p w14:paraId="7F7073B0">
      <w:pPr>
        <w:autoSpaceDE/>
        <w:autoSpaceDN/>
        <w:spacing w:line="48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1</w:t>
      </w:r>
      <w:r>
        <w:rPr>
          <w:rFonts w:hint="eastAsia" w:ascii="仿宋" w:hAnsi="仿宋" w:eastAsia="仿宋" w:cs="仿宋"/>
          <w:color w:val="auto"/>
          <w:sz w:val="24"/>
          <w:szCs w:val="24"/>
          <w:highlight w:val="none"/>
          <w:lang w:val="en-US" w:eastAsia="zh-CN" w:bidi="ar-SA"/>
        </w:rPr>
        <w:t>3</w:t>
      </w:r>
      <w:r>
        <w:rPr>
          <w:rFonts w:hint="eastAsia" w:ascii="仿宋" w:hAnsi="仿宋" w:eastAsia="仿宋" w:cs="仿宋"/>
          <w:color w:val="auto"/>
          <w:sz w:val="24"/>
          <w:szCs w:val="24"/>
          <w:highlight w:val="none"/>
          <w:lang w:val="en-US" w:bidi="ar-SA"/>
        </w:rPr>
        <w:t xml:space="preserve">.2在使用一段时间后，如甲方有培训需求，乙方应根据甲方的要求另行安排免费培训计划。 </w:t>
      </w:r>
    </w:p>
    <w:p w14:paraId="347990A2">
      <w:pPr>
        <w:autoSpaceDE/>
        <w:autoSpaceDN/>
        <w:spacing w:line="480" w:lineRule="auto"/>
        <w:ind w:right="-1"/>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color w:val="auto"/>
          <w:kern w:val="2"/>
          <w:sz w:val="24"/>
          <w:szCs w:val="24"/>
          <w:highlight w:val="none"/>
          <w:lang w:val="en-US" w:bidi="ar-SA"/>
        </w:rPr>
        <w:t xml:space="preserve">.服务保证： </w:t>
      </w:r>
    </w:p>
    <w:p w14:paraId="2AF306FC">
      <w:pPr>
        <w:widowControl/>
        <w:autoSpaceDN/>
        <w:spacing w:line="480" w:lineRule="auto"/>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1"/>
          <w:szCs w:val="21"/>
          <w:highlight w:val="none"/>
          <w:lang w:val="en-US" w:bidi="ar-SA"/>
        </w:rPr>
        <w:t xml:space="preserve">  </w:t>
      </w:r>
      <w:r>
        <w:rPr>
          <w:rFonts w:hint="eastAsia" w:ascii="仿宋" w:hAnsi="仿宋" w:eastAsia="仿宋" w:cs="仿宋"/>
          <w:color w:val="auto"/>
          <w:kern w:val="2"/>
          <w:sz w:val="24"/>
          <w:szCs w:val="24"/>
          <w:highlight w:val="none"/>
          <w:lang w:val="en-US" w:bidi="ar-SA"/>
        </w:rPr>
        <w:t>设备出现故障时，提供技术工程师进行现场技术性维护，质保期间产品的一切质量问题，更换部件及产品本身质量原因造成的直接经济损失应全部由</w:t>
      </w:r>
      <w:r>
        <w:rPr>
          <w:rFonts w:hint="eastAsia" w:ascii="仿宋" w:hAnsi="仿宋" w:eastAsia="仿宋" w:cs="仿宋"/>
          <w:color w:val="auto"/>
          <w:kern w:val="2"/>
          <w:sz w:val="24"/>
          <w:szCs w:val="24"/>
          <w:highlight w:val="none"/>
          <w:lang w:val="en-US" w:eastAsia="zh-CN" w:bidi="ar-SA"/>
        </w:rPr>
        <w:t>乙方</w:t>
      </w:r>
      <w:r>
        <w:rPr>
          <w:rFonts w:hint="eastAsia" w:ascii="仿宋" w:hAnsi="仿宋" w:eastAsia="仿宋" w:cs="仿宋"/>
          <w:color w:val="auto"/>
          <w:kern w:val="2"/>
          <w:sz w:val="24"/>
          <w:szCs w:val="24"/>
          <w:highlight w:val="none"/>
          <w:lang w:val="en-US" w:bidi="ar-SA"/>
        </w:rPr>
        <w:t>自行负责，且须负责对其提供的产品提供现场服务。配合甲方进行场地装修、免费进行第三方设备或系统对接等相关事宜。</w:t>
      </w:r>
    </w:p>
    <w:p w14:paraId="298B1DE0">
      <w:pPr>
        <w:autoSpaceDE/>
        <w:autoSpaceDN/>
        <w:spacing w:line="48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整机（含全部消耗性部件）由厂家承诺自甲方设备主管部门验收合格之日起：保修　年，即甲方安装调试验收合格签字之日起响应维保时间内连续运转良好（如招标技术参数要求有其他规定的，以技术参数要求为准）。续保的全包的年保修费用（乙方提供产品的全部硬软件）不超过设备合同总价的 5 ％。</w:t>
      </w:r>
      <w:r>
        <w:rPr>
          <w:rFonts w:hint="eastAsia" w:ascii="仿宋" w:hAnsi="仿宋" w:eastAsia="仿宋" w:cs="仿宋"/>
          <w:color w:val="auto"/>
          <w:kern w:val="2"/>
          <w:sz w:val="24"/>
          <w:szCs w:val="24"/>
          <w:highlight w:val="none"/>
          <w:lang w:val="en-US" w:bidi="ar-SA"/>
        </w:rPr>
        <w:t>安装后及定期进行性能验证并出具报告，设备使用期间定期校准并出具校准报告。</w:t>
      </w:r>
    </w:p>
    <w:p w14:paraId="4236CB4B">
      <w:pPr>
        <w:autoSpaceDE/>
        <w:autoSpaceDN/>
        <w:spacing w:line="48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color w:val="auto"/>
          <w:kern w:val="2"/>
          <w:sz w:val="24"/>
          <w:szCs w:val="24"/>
          <w:highlight w:val="none"/>
          <w:lang w:val="en-US" w:bidi="ar-SA"/>
        </w:rPr>
        <w:t>.2在免费保修期及甲方向乙方购买的全包年保修期内，乙方免费更换整机部件及所含全部消耗性配件并免收相应人工工时费，乙方免费定期预防性维护保养次数不得少于</w:t>
      </w:r>
      <w:r>
        <w:rPr>
          <w:rFonts w:hint="eastAsia" w:ascii="仿宋" w:hAnsi="仿宋" w:eastAsia="仿宋" w:cs="仿宋"/>
          <w:color w:val="auto"/>
          <w:kern w:val="2"/>
          <w:sz w:val="24"/>
          <w:szCs w:val="24"/>
          <w:highlight w:val="none"/>
          <w:u w:val="single"/>
          <w:lang w:val="en-US" w:bidi="ar-SA"/>
        </w:rPr>
        <w:t>2</w:t>
      </w:r>
      <w:r>
        <w:rPr>
          <w:rFonts w:hint="eastAsia" w:ascii="仿宋" w:hAnsi="仿宋" w:eastAsia="仿宋" w:cs="仿宋"/>
          <w:color w:val="auto"/>
          <w:kern w:val="2"/>
          <w:sz w:val="24"/>
          <w:szCs w:val="24"/>
          <w:highlight w:val="none"/>
          <w:lang w:val="en-US" w:bidi="ar-SA"/>
        </w:rPr>
        <w:t>次/年，保养需在不影响甲方工作前提下进行。系统免费升级至最新版本（含软硬件，如为医疗器械则最新软件版本需提供合法资质认证）。如甲方需要，乙方免费提供质控不得少于</w:t>
      </w:r>
      <w:r>
        <w:rPr>
          <w:rFonts w:hint="eastAsia" w:ascii="仿宋" w:hAnsi="仿宋" w:eastAsia="仿宋" w:cs="仿宋"/>
          <w:color w:val="auto"/>
          <w:kern w:val="2"/>
          <w:sz w:val="24"/>
          <w:szCs w:val="24"/>
          <w:highlight w:val="none"/>
          <w:u w:val="single"/>
          <w:lang w:val="en-US" w:bidi="ar-SA"/>
        </w:rPr>
        <w:t>2</w:t>
      </w:r>
      <w:r>
        <w:rPr>
          <w:rFonts w:hint="eastAsia" w:ascii="仿宋" w:hAnsi="仿宋" w:eastAsia="仿宋" w:cs="仿宋"/>
          <w:color w:val="auto"/>
          <w:kern w:val="2"/>
          <w:sz w:val="24"/>
          <w:szCs w:val="24"/>
          <w:highlight w:val="none"/>
          <w:lang w:val="en-US" w:bidi="ar-SA"/>
        </w:rPr>
        <w:t>次/年。</w:t>
      </w:r>
    </w:p>
    <w:p w14:paraId="1FD1F90A">
      <w:pPr>
        <w:autoSpaceDE/>
        <w:autoSpaceDN/>
        <w:spacing w:line="48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color w:val="auto"/>
          <w:kern w:val="2"/>
          <w:sz w:val="24"/>
          <w:szCs w:val="24"/>
          <w:highlight w:val="none"/>
          <w:lang w:val="en-US" w:bidi="ar-SA"/>
        </w:rPr>
        <w:t>.3质保期内供方应免费负责设备维 修及抢修，维修响应速度为</w:t>
      </w:r>
      <w:r>
        <w:rPr>
          <w:rFonts w:hint="eastAsia" w:ascii="仿宋" w:hAnsi="仿宋" w:eastAsia="仿宋" w:cs="仿宋"/>
          <w:color w:val="auto"/>
          <w:sz w:val="24"/>
          <w:highlight w:val="none"/>
          <w:lang w:val="en-US" w:eastAsia="zh-CN"/>
        </w:rPr>
        <w:t>2小时响应，24小时到达现场</w:t>
      </w:r>
      <w:r>
        <w:rPr>
          <w:rFonts w:hint="eastAsia" w:ascii="仿宋" w:hAnsi="仿宋" w:eastAsia="仿宋" w:cs="仿宋"/>
          <w:color w:val="auto"/>
          <w:kern w:val="2"/>
          <w:sz w:val="24"/>
          <w:szCs w:val="24"/>
          <w:highlight w:val="none"/>
          <w:lang w:val="en-US" w:bidi="ar-SA"/>
        </w:rPr>
        <w:t>。③供方保证年开机率大于95％（按工作日计算），若≤95％ 则相应延长保修期。</w:t>
      </w:r>
    </w:p>
    <w:p w14:paraId="2AF1CE6F">
      <w:pPr>
        <w:widowControl/>
        <w:autoSpaceDN/>
        <w:spacing w:line="480" w:lineRule="auto"/>
        <w:jc w:val="both"/>
        <w:rPr>
          <w:rFonts w:hint="eastAsia" w:ascii="仿宋" w:hAnsi="仿宋" w:eastAsia="仿宋" w:cs="仿宋"/>
          <w:color w:val="auto"/>
          <w:kern w:val="2"/>
          <w:sz w:val="21"/>
          <w:szCs w:val="21"/>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color w:val="auto"/>
          <w:kern w:val="2"/>
          <w:sz w:val="24"/>
          <w:szCs w:val="24"/>
          <w:highlight w:val="none"/>
          <w:lang w:val="en-US" w:bidi="ar-SA"/>
        </w:rPr>
        <w:t>.4保修期外，为设备提供终身维护，在必要时进行定位维护升级和修理。维修零配件、消耗品的供应应由双方协商或另设合同决定。乙方维修更换配件仅收取配件成本费且成本费用不得超过乙方向甲方提供的单价报价，重复维修同一故障不收费，更换配件应在订货后的</w:t>
      </w:r>
      <w:r>
        <w:rPr>
          <w:rFonts w:hint="eastAsia" w:ascii="仿宋" w:hAnsi="仿宋" w:eastAsia="仿宋" w:cs="仿宋"/>
          <w:color w:val="auto"/>
          <w:kern w:val="2"/>
          <w:sz w:val="24"/>
          <w:szCs w:val="24"/>
          <w:highlight w:val="none"/>
          <w:u w:val="single"/>
          <w:lang w:val="en-US" w:bidi="ar-SA"/>
        </w:rPr>
        <w:t xml:space="preserve">30 </w:t>
      </w:r>
      <w:r>
        <w:rPr>
          <w:rFonts w:hint="eastAsia" w:ascii="仿宋" w:hAnsi="仿宋" w:eastAsia="仿宋" w:cs="仿宋"/>
          <w:color w:val="auto"/>
          <w:kern w:val="2"/>
          <w:sz w:val="24"/>
          <w:szCs w:val="24"/>
          <w:highlight w:val="none"/>
          <w:lang w:val="en-US" w:bidi="ar-SA"/>
        </w:rPr>
        <w:t>天内到货并在安装后免费保修</w:t>
      </w:r>
      <w:r>
        <w:rPr>
          <w:rFonts w:hint="eastAsia" w:ascii="仿宋" w:hAnsi="仿宋" w:eastAsia="仿宋" w:cs="仿宋"/>
          <w:color w:val="auto"/>
          <w:kern w:val="2"/>
          <w:sz w:val="24"/>
          <w:szCs w:val="24"/>
          <w:highlight w:val="none"/>
          <w:u w:val="single"/>
          <w:lang w:val="en-US" w:eastAsia="zh-CN" w:bidi="ar-SA"/>
        </w:rPr>
        <w:t>　</w:t>
      </w:r>
      <w:r>
        <w:rPr>
          <w:rFonts w:hint="eastAsia" w:ascii="仿宋" w:hAnsi="仿宋" w:eastAsia="仿宋" w:cs="仿宋"/>
          <w:color w:val="auto"/>
          <w:kern w:val="2"/>
          <w:sz w:val="24"/>
          <w:szCs w:val="24"/>
          <w:highlight w:val="none"/>
          <w:u w:val="single"/>
          <w:lang w:val="en-US" w:bidi="ar-SA"/>
        </w:rPr>
        <w:t>个月</w:t>
      </w:r>
      <w:r>
        <w:rPr>
          <w:rFonts w:hint="eastAsia" w:ascii="仿宋" w:hAnsi="仿宋" w:eastAsia="仿宋" w:cs="仿宋"/>
          <w:color w:val="auto"/>
          <w:kern w:val="2"/>
          <w:sz w:val="24"/>
          <w:szCs w:val="24"/>
          <w:highlight w:val="none"/>
          <w:lang w:val="en-US" w:bidi="ar-SA"/>
        </w:rPr>
        <w:t>。</w:t>
      </w:r>
    </w:p>
    <w:p w14:paraId="6E44CB8C">
      <w:pPr>
        <w:keepNext w:val="0"/>
        <w:keepLines w:val="0"/>
        <w:pageBreakBefore w:val="0"/>
        <w:widowControl/>
        <w:suppressLineNumbers w:val="0"/>
        <w:kinsoku/>
        <w:wordWrap/>
        <w:overflowPunct/>
        <w:topLinePunct w:val="0"/>
        <w:autoSpaceDE/>
        <w:autoSpaceDN/>
        <w:bidi w:val="0"/>
        <w:adjustRightInd/>
        <w:snapToGrid/>
        <w:spacing w:line="480" w:lineRule="auto"/>
        <w:ind w:firstLine="48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lang w:val="en-US" w:eastAsia="zh-CN"/>
        </w:rPr>
        <w:t>14.5</w:t>
      </w:r>
      <w:r>
        <w:rPr>
          <w:rFonts w:hint="eastAsia" w:ascii="仿宋" w:hAnsi="仿宋" w:eastAsia="仿宋" w:cs="仿宋"/>
          <w:color w:val="auto"/>
          <w:sz w:val="24"/>
          <w:szCs w:val="24"/>
          <w:highlight w:val="none"/>
        </w:rPr>
        <w:t>乙方负责设备的终身维修，保证安装后</w:t>
      </w:r>
      <w:r>
        <w:rPr>
          <w:rFonts w:hint="eastAsia" w:ascii="仿宋" w:hAnsi="仿宋" w:eastAsia="仿宋" w:cs="仿宋"/>
          <w:color w:val="auto"/>
          <w:sz w:val="24"/>
          <w:szCs w:val="24"/>
          <w:highlight w:val="none"/>
          <w:u w:val="single"/>
          <w:lang w:val="en-US" w:eastAsia="zh-CN"/>
        </w:rPr>
        <w:t>8</w:t>
      </w:r>
      <w:r>
        <w:rPr>
          <w:rFonts w:hint="eastAsia" w:ascii="仿宋" w:hAnsi="仿宋" w:eastAsia="仿宋" w:cs="仿宋"/>
          <w:color w:val="auto"/>
          <w:sz w:val="24"/>
          <w:szCs w:val="24"/>
          <w:highlight w:val="none"/>
        </w:rPr>
        <w:t>年内的零配件供应。</w:t>
      </w:r>
      <w:r>
        <w:rPr>
          <w:rFonts w:hint="eastAsia" w:ascii="仿宋" w:hAnsi="仿宋" w:eastAsia="仿宋" w:cs="仿宋"/>
          <w:color w:val="auto"/>
          <w:kern w:val="0"/>
          <w:sz w:val="24"/>
          <w:szCs w:val="24"/>
          <w:highlight w:val="none"/>
          <w:lang w:val="en-US" w:eastAsia="zh-CN" w:bidi="ar"/>
        </w:rPr>
        <w:t xml:space="preserve">保修期后零配 </w:t>
      </w:r>
    </w:p>
    <w:p w14:paraId="352F7525">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件的价格不应超过市场平均价格。</w:t>
      </w:r>
    </w:p>
    <w:p w14:paraId="0A2914B6">
      <w:pPr>
        <w:keepNext w:val="0"/>
        <w:keepLines w:val="0"/>
        <w:pageBreakBefore w:val="0"/>
        <w:widowControl/>
        <w:suppressLineNumbers w:val="0"/>
        <w:kinsoku/>
        <w:wordWrap/>
        <w:overflowPunct/>
        <w:topLinePunct w:val="0"/>
        <w:autoSpaceDE/>
        <w:autoSpaceDN/>
        <w:bidi w:val="0"/>
        <w:adjustRightInd/>
        <w:snapToGrid/>
        <w:spacing w:line="480" w:lineRule="auto"/>
        <w:ind w:firstLine="48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lang w:val="en-US" w:eastAsia="zh-CN"/>
        </w:rPr>
        <w:t>14.6</w:t>
      </w:r>
      <w:r>
        <w:rPr>
          <w:rFonts w:hint="eastAsia" w:ascii="仿宋" w:hAnsi="仿宋" w:eastAsia="仿宋" w:cs="仿宋"/>
          <w:color w:val="auto"/>
          <w:kern w:val="0"/>
          <w:sz w:val="24"/>
          <w:szCs w:val="24"/>
          <w:highlight w:val="none"/>
          <w:lang w:val="en-US" w:eastAsia="zh-CN" w:bidi="ar"/>
        </w:rPr>
        <w:t xml:space="preserve">质保期后，乙方应向甲方提供及时的、优质的、价格优惠的技术服务和备品 </w:t>
      </w:r>
    </w:p>
    <w:p w14:paraId="2CA270E2">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0"/>
          <w:sz w:val="24"/>
          <w:szCs w:val="24"/>
          <w:highlight w:val="none"/>
          <w:lang w:val="en-US" w:eastAsia="zh-CN" w:bidi="ar"/>
        </w:rPr>
        <w:t>备件供应。</w:t>
      </w:r>
    </w:p>
    <w:p w14:paraId="5B1413CA">
      <w:pPr>
        <w:autoSpaceDE/>
        <w:autoSpaceDN/>
        <w:spacing w:line="48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color w:val="auto"/>
          <w:kern w:val="2"/>
          <w:sz w:val="24"/>
          <w:szCs w:val="24"/>
          <w:highlight w:val="none"/>
          <w:lang w:val="en-US" w:bidi="ar-SA"/>
        </w:rPr>
        <w:t>.7对于隐蔽性的、经合理检测不能发觉的缺陷，即使免费保修期已过，由于其产品本身的设计缺陷、制造缺陷、安装缺陷造成的故障，仍应由乙方免费负责维修、更换。</w:t>
      </w:r>
    </w:p>
    <w:p w14:paraId="5DA57EA8">
      <w:pPr>
        <w:autoSpaceDE/>
        <w:autoSpaceDN/>
        <w:spacing w:line="48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color w:val="auto"/>
          <w:kern w:val="2"/>
          <w:sz w:val="24"/>
          <w:szCs w:val="24"/>
          <w:highlight w:val="none"/>
          <w:lang w:val="en-US" w:bidi="ar-SA"/>
        </w:rPr>
        <w:t>.8免费开放所有数字通讯接口及协议，数据可以导出。</w:t>
      </w:r>
    </w:p>
    <w:p w14:paraId="5650E116">
      <w:pPr>
        <w:autoSpaceDE/>
        <w:autoSpaceDN/>
        <w:spacing w:line="48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color w:val="auto"/>
          <w:kern w:val="2"/>
          <w:sz w:val="24"/>
          <w:szCs w:val="24"/>
          <w:highlight w:val="none"/>
          <w:lang w:val="en-US" w:bidi="ar-SA"/>
        </w:rPr>
        <w:t>.9如设备出现故障，乙方应根据甲方要求免费提供经过相关国家强制检定合格的备用设备。</w:t>
      </w:r>
    </w:p>
    <w:p w14:paraId="1C378B2D">
      <w:pPr>
        <w:autoSpaceDE/>
        <w:autoSpaceDN/>
        <w:spacing w:line="480" w:lineRule="auto"/>
        <w:ind w:right="-1"/>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5</w:t>
      </w:r>
      <w:r>
        <w:rPr>
          <w:rFonts w:hint="eastAsia" w:ascii="仿宋" w:hAnsi="仿宋" w:eastAsia="仿宋" w:cs="仿宋"/>
          <w:color w:val="auto"/>
          <w:kern w:val="2"/>
          <w:sz w:val="24"/>
          <w:szCs w:val="24"/>
          <w:highlight w:val="none"/>
          <w:lang w:val="en-US" w:bidi="ar-SA"/>
        </w:rPr>
        <w:t>．乙方保证设备终身报修响应时间</w:t>
      </w:r>
      <w:r>
        <w:rPr>
          <w:rFonts w:hint="eastAsia" w:ascii="仿宋" w:hAnsi="仿宋" w:eastAsia="仿宋" w:cs="仿宋"/>
          <w:color w:val="auto"/>
          <w:kern w:val="2"/>
          <w:sz w:val="24"/>
          <w:szCs w:val="24"/>
          <w:highlight w:val="none"/>
          <w:u w:val="single"/>
          <w:lang w:val="en-US" w:bidi="ar-SA"/>
        </w:rPr>
        <w:t>2小时</w:t>
      </w:r>
      <w:r>
        <w:rPr>
          <w:rFonts w:hint="eastAsia" w:ascii="仿宋" w:hAnsi="仿宋" w:eastAsia="仿宋" w:cs="仿宋"/>
          <w:color w:val="auto"/>
          <w:kern w:val="2"/>
          <w:sz w:val="24"/>
          <w:szCs w:val="24"/>
          <w:highlight w:val="none"/>
          <w:lang w:val="en-US" w:bidi="ar-SA"/>
        </w:rPr>
        <w:t>内，到场时间24小时内（如电话及远程诊断无法解决）（不可抗力除外），维修完毕时间不得超过三个工作日，如确需更换零件的，维修完毕期限可由双方协商后确定。</w:t>
      </w:r>
    </w:p>
    <w:p w14:paraId="1CC8B668">
      <w:pPr>
        <w:autoSpaceDE/>
        <w:autoSpaceDN/>
        <w:spacing w:line="480" w:lineRule="auto"/>
        <w:ind w:right="-1"/>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sz w:val="24"/>
          <w:szCs w:val="24"/>
          <w:highlight w:val="none"/>
          <w:lang w:val="en-US" w:eastAsia="zh-CN" w:bidi="ar-SA"/>
        </w:rPr>
        <w:t>　　</w:t>
      </w:r>
      <w:r>
        <w:rPr>
          <w:rFonts w:hint="eastAsia" w:ascii="仿宋" w:hAnsi="仿宋" w:eastAsia="仿宋" w:cs="仿宋"/>
          <w:color w:val="auto"/>
          <w:sz w:val="24"/>
          <w:szCs w:val="24"/>
          <w:highlight w:val="none"/>
          <w:lang w:val="en-US" w:bidi="ar-SA"/>
        </w:rPr>
        <w:t>1</w:t>
      </w:r>
      <w:r>
        <w:rPr>
          <w:rFonts w:hint="eastAsia" w:ascii="仿宋" w:hAnsi="仿宋" w:eastAsia="仿宋" w:cs="仿宋"/>
          <w:color w:val="auto"/>
          <w:sz w:val="24"/>
          <w:szCs w:val="24"/>
          <w:highlight w:val="none"/>
          <w:lang w:val="en-US" w:eastAsia="zh-CN" w:bidi="ar-SA"/>
        </w:rPr>
        <w:t>6</w:t>
      </w:r>
      <w:r>
        <w:rPr>
          <w:rFonts w:hint="eastAsia" w:ascii="仿宋" w:hAnsi="仿宋" w:eastAsia="仿宋" w:cs="仿宋"/>
          <w:color w:val="auto"/>
          <w:sz w:val="24"/>
          <w:szCs w:val="24"/>
          <w:highlight w:val="none"/>
          <w:lang w:val="en-US" w:bidi="ar-SA"/>
        </w:rPr>
        <w:t xml:space="preserve">. </w:t>
      </w:r>
      <w:r>
        <w:rPr>
          <w:rFonts w:hint="eastAsia" w:ascii="仿宋" w:hAnsi="仿宋" w:eastAsia="仿宋" w:cs="仿宋"/>
          <w:color w:val="auto"/>
          <w:kern w:val="2"/>
          <w:sz w:val="24"/>
          <w:szCs w:val="24"/>
          <w:highlight w:val="none"/>
          <w:lang w:val="en-US" w:bidi="ar-SA"/>
        </w:rPr>
        <w:t xml:space="preserve">售后服务电话  </w:t>
      </w:r>
    </w:p>
    <w:p w14:paraId="096FAA39">
      <w:pPr>
        <w:spacing w:line="480" w:lineRule="auto"/>
        <w:ind w:right="-1"/>
        <w:jc w:val="left"/>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 xml:space="preserve">乙方销售人员：             </w:t>
      </w: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 xml:space="preserve">乙方售后人员： </w:t>
      </w:r>
    </w:p>
    <w:p w14:paraId="21EBFC5D">
      <w:pPr>
        <w:autoSpaceDE/>
        <w:autoSpaceDN/>
        <w:spacing w:line="480" w:lineRule="auto"/>
        <w:ind w:right="-1"/>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2"/>
          <w:sz w:val="24"/>
          <w:szCs w:val="24"/>
          <w:highlight w:val="none"/>
          <w:lang w:val="en-US" w:bidi="ar-SA"/>
        </w:rPr>
        <w:t>联系方式：</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val="en-US" w:bidi="ar-SA"/>
        </w:rPr>
        <w:t xml:space="preserve"> </w:t>
      </w: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 xml:space="preserve">  联系方式：</w:t>
      </w:r>
    </w:p>
    <w:p w14:paraId="33F8485A">
      <w:pPr>
        <w:autoSpaceDE/>
        <w:autoSpaceDN/>
        <w:spacing w:line="48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sz w:val="24"/>
          <w:szCs w:val="24"/>
          <w:highlight w:val="none"/>
          <w:lang w:val="en-US" w:bidi="ar-SA"/>
        </w:rPr>
        <w:t>1</w:t>
      </w:r>
      <w:r>
        <w:rPr>
          <w:rFonts w:hint="eastAsia" w:ascii="仿宋" w:hAnsi="仿宋" w:eastAsia="仿宋" w:cs="仿宋"/>
          <w:color w:val="auto"/>
          <w:sz w:val="24"/>
          <w:szCs w:val="24"/>
          <w:highlight w:val="none"/>
          <w:lang w:val="en-US" w:eastAsia="zh-CN" w:bidi="ar-SA"/>
        </w:rPr>
        <w:t>7</w:t>
      </w:r>
      <w:r>
        <w:rPr>
          <w:rFonts w:hint="eastAsia" w:ascii="仿宋" w:hAnsi="仿宋" w:eastAsia="仿宋" w:cs="仿宋"/>
          <w:color w:val="auto"/>
          <w:sz w:val="24"/>
          <w:szCs w:val="24"/>
          <w:highlight w:val="none"/>
          <w:lang w:val="en-US" w:bidi="ar-SA"/>
        </w:rPr>
        <w:t>.</w:t>
      </w:r>
      <w:r>
        <w:rPr>
          <w:rFonts w:hint="eastAsia" w:ascii="仿宋" w:hAnsi="仿宋" w:eastAsia="仿宋" w:cs="仿宋"/>
          <w:color w:val="auto"/>
          <w:kern w:val="2"/>
          <w:sz w:val="24"/>
          <w:szCs w:val="24"/>
          <w:highlight w:val="none"/>
          <w:lang w:val="en-US" w:bidi="ar-SA"/>
        </w:rPr>
        <w:t xml:space="preserve"> </w:t>
      </w:r>
      <w:r>
        <w:rPr>
          <w:rFonts w:hint="eastAsia" w:ascii="仿宋" w:hAnsi="仿宋" w:eastAsia="仿宋" w:cs="仿宋"/>
          <w:color w:val="auto"/>
          <w:sz w:val="24"/>
          <w:szCs w:val="24"/>
          <w:highlight w:val="none"/>
          <w:lang w:val="en-US" w:bidi="ar-SA"/>
        </w:rPr>
        <w:t>乙方应保证甲方单位在使用该仪器设备或其任何一部分时免受第三方提出侵犯其专利权、商标权或工业产权的起诉。一旦出现任何第三方提出侵权指控，乙方必须与第三方进行交涉，并承担可能及已经发生的全部责任及经济赔偿。</w:t>
      </w:r>
    </w:p>
    <w:p w14:paraId="30781FFB">
      <w:pPr>
        <w:autoSpaceDN/>
        <w:spacing w:line="480" w:lineRule="auto"/>
        <w:ind w:firstLine="482" w:firstLineChars="200"/>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第七章 违约责任</w:t>
      </w:r>
    </w:p>
    <w:p w14:paraId="3C07ACDF">
      <w:pPr>
        <w:autoSpaceDE/>
        <w:autoSpaceDN/>
        <w:spacing w:line="480" w:lineRule="auto"/>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18</w:t>
      </w:r>
      <w:r>
        <w:rPr>
          <w:rFonts w:hint="eastAsia" w:ascii="仿宋" w:hAnsi="仿宋" w:eastAsia="仿宋" w:cs="仿宋"/>
          <w:color w:val="auto"/>
          <w:kern w:val="2"/>
          <w:sz w:val="24"/>
          <w:szCs w:val="24"/>
          <w:highlight w:val="none"/>
          <w:lang w:val="en-US" w:bidi="ar-SA"/>
        </w:rPr>
        <w:t>.甲方承诺保证产品采购流程的合法性，遵守职业道德和法律。</w:t>
      </w:r>
    </w:p>
    <w:p w14:paraId="480F8AF2">
      <w:pPr>
        <w:autoSpaceDE/>
        <w:autoSpaceDN/>
        <w:spacing w:line="480" w:lineRule="auto"/>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19</w:t>
      </w:r>
      <w:r>
        <w:rPr>
          <w:rFonts w:hint="eastAsia" w:ascii="仿宋" w:hAnsi="仿宋" w:eastAsia="仿宋" w:cs="仿宋"/>
          <w:color w:val="auto"/>
          <w:kern w:val="2"/>
          <w:sz w:val="24"/>
          <w:szCs w:val="24"/>
          <w:highlight w:val="none"/>
          <w:lang w:val="en-US" w:bidi="ar-SA"/>
        </w:rPr>
        <w:t>.乙方提供的资质文件，应符合中国相关政策法律规定，如有违反，视为乙方交付的产品不符合本合同约定的标准，甲方除按本合同的约定要求乙方对器械予以更换、退货外，还可单方解除本合同、要求乙方退还已付款项。乙方负责承担由此给甲方造成的全部经济损失。</w:t>
      </w:r>
    </w:p>
    <w:p w14:paraId="4D4EBCF6">
      <w:pPr>
        <w:autoSpaceDE/>
        <w:autoSpaceDN/>
        <w:spacing w:line="480" w:lineRule="auto"/>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20</w:t>
      </w:r>
      <w:r>
        <w:rPr>
          <w:rFonts w:hint="eastAsia" w:ascii="仿宋" w:hAnsi="仿宋" w:eastAsia="仿宋" w:cs="仿宋"/>
          <w:color w:val="auto"/>
          <w:kern w:val="2"/>
          <w:sz w:val="24"/>
          <w:szCs w:val="24"/>
          <w:highlight w:val="none"/>
          <w:lang w:val="en-US" w:bidi="ar-SA"/>
        </w:rPr>
        <w:t>.乙方未能按合同约定的交货地点、交货要求等履行交货义务的，甲方有权拒绝收货，或由乙方负责承担全部损失。</w:t>
      </w:r>
    </w:p>
    <w:p w14:paraId="2DB94514">
      <w:pPr>
        <w:autoSpaceDE/>
        <w:autoSpaceDN/>
        <w:spacing w:line="480" w:lineRule="auto"/>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2</w:t>
      </w:r>
      <w:r>
        <w:rPr>
          <w:rFonts w:hint="eastAsia" w:ascii="仿宋" w:hAnsi="仿宋" w:eastAsia="仿宋" w:cs="仿宋"/>
          <w:color w:val="auto"/>
          <w:kern w:val="2"/>
          <w:sz w:val="24"/>
          <w:szCs w:val="24"/>
          <w:highlight w:val="none"/>
          <w:lang w:val="en-US" w:eastAsia="zh-CN" w:bidi="ar-SA"/>
        </w:rPr>
        <w:t>1</w:t>
      </w:r>
      <w:r>
        <w:rPr>
          <w:rFonts w:hint="eastAsia" w:ascii="仿宋" w:hAnsi="仿宋" w:eastAsia="仿宋" w:cs="仿宋"/>
          <w:color w:val="auto"/>
          <w:kern w:val="2"/>
          <w:sz w:val="24"/>
          <w:szCs w:val="24"/>
          <w:highlight w:val="none"/>
          <w:lang w:val="en-US" w:bidi="ar-SA"/>
        </w:rPr>
        <w:t>.乙方未能按本合同约定按时发货或到货，每逾期一天应向甲方支付全部货款的千分之五的违约金。迟延超过30日的，甲方有权解除本合同，并予以退货，乙方除应返还甲方已经支付的全部付款项外，还应向甲方支付合同价款百分之十五的违约金。</w:t>
      </w:r>
    </w:p>
    <w:p w14:paraId="50B1C3AF">
      <w:pPr>
        <w:autoSpaceDE/>
        <w:autoSpaceDN/>
        <w:spacing w:line="480" w:lineRule="auto"/>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2</w:t>
      </w:r>
      <w:r>
        <w:rPr>
          <w:rFonts w:hint="eastAsia" w:ascii="仿宋" w:hAnsi="仿宋" w:eastAsia="仿宋" w:cs="仿宋"/>
          <w:color w:val="auto"/>
          <w:kern w:val="2"/>
          <w:sz w:val="24"/>
          <w:szCs w:val="24"/>
          <w:highlight w:val="none"/>
          <w:lang w:val="en-US" w:eastAsia="zh-CN" w:bidi="ar-SA"/>
        </w:rPr>
        <w:t>2</w:t>
      </w:r>
      <w:r>
        <w:rPr>
          <w:rFonts w:hint="eastAsia" w:ascii="仿宋" w:hAnsi="仿宋" w:eastAsia="仿宋" w:cs="仿宋"/>
          <w:color w:val="auto"/>
          <w:kern w:val="2"/>
          <w:sz w:val="24"/>
          <w:szCs w:val="24"/>
          <w:highlight w:val="none"/>
          <w:lang w:val="en-US" w:bidi="ar-SA"/>
        </w:rPr>
        <w:t>.在安装过程中，因乙方过失给甲方造成损失，由乙方承担赔偿责任。货物验收后，因货物质量问题给甲方或第三方的人身和财产造成损害的，由乙方承担相应责任并负责赔偿。</w:t>
      </w:r>
    </w:p>
    <w:p w14:paraId="1D959DA6">
      <w:pPr>
        <w:autoSpaceDE/>
        <w:autoSpaceDN/>
        <w:spacing w:line="480" w:lineRule="auto"/>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2</w:t>
      </w:r>
      <w:r>
        <w:rPr>
          <w:rFonts w:hint="eastAsia" w:ascii="仿宋" w:hAnsi="仿宋" w:eastAsia="仿宋" w:cs="仿宋"/>
          <w:color w:val="auto"/>
          <w:kern w:val="2"/>
          <w:sz w:val="24"/>
          <w:szCs w:val="24"/>
          <w:highlight w:val="none"/>
          <w:lang w:val="en-US" w:eastAsia="zh-CN" w:bidi="ar-SA"/>
        </w:rPr>
        <w:t>3</w:t>
      </w:r>
      <w:r>
        <w:rPr>
          <w:rFonts w:hint="eastAsia" w:ascii="仿宋" w:hAnsi="仿宋" w:eastAsia="仿宋" w:cs="仿宋"/>
          <w:color w:val="auto"/>
          <w:kern w:val="2"/>
          <w:sz w:val="24"/>
          <w:szCs w:val="24"/>
          <w:highlight w:val="none"/>
          <w:lang w:val="en-US" w:bidi="ar-SA"/>
        </w:rPr>
        <w:t>.如果乙方向甲方交付的货物数量、质量、规格与合同约定不符，甲方有权拒绝验收并要求乙方重新交付符合合同约定的货物，乙方未能在</w:t>
      </w:r>
      <w:r>
        <w:rPr>
          <w:rFonts w:hint="eastAsia" w:ascii="仿宋" w:hAnsi="仿宋" w:eastAsia="仿宋" w:cs="仿宋"/>
          <w:color w:val="auto"/>
          <w:kern w:val="2"/>
          <w:sz w:val="24"/>
          <w:szCs w:val="24"/>
          <w:highlight w:val="none"/>
          <w:u w:val="single"/>
          <w:lang w:val="en-US" w:bidi="ar-SA"/>
        </w:rPr>
        <w:t>30日</w:t>
      </w:r>
      <w:r>
        <w:rPr>
          <w:rFonts w:hint="eastAsia" w:ascii="仿宋" w:hAnsi="仿宋" w:eastAsia="仿宋" w:cs="仿宋"/>
          <w:color w:val="auto"/>
          <w:kern w:val="2"/>
          <w:sz w:val="24"/>
          <w:szCs w:val="24"/>
          <w:highlight w:val="none"/>
          <w:lang w:val="en-US" w:bidi="ar-SA"/>
        </w:rPr>
        <w:t>内重新交付货物或者重新交付的货物仍不符合合同约定的，甲方有权解除本合同，并予以退货，乙方除应返还甲方已经支付的全部付款项外，还应向甲方支付合同价款</w:t>
      </w:r>
      <w:r>
        <w:rPr>
          <w:rFonts w:hint="eastAsia" w:ascii="仿宋" w:hAnsi="仿宋" w:eastAsia="仿宋" w:cs="仿宋"/>
          <w:color w:val="auto"/>
          <w:kern w:val="2"/>
          <w:sz w:val="24"/>
          <w:szCs w:val="24"/>
          <w:highlight w:val="none"/>
          <w:u w:val="single"/>
          <w:lang w:val="en-US" w:bidi="ar-SA"/>
        </w:rPr>
        <w:t>百分之十五</w:t>
      </w:r>
      <w:r>
        <w:rPr>
          <w:rFonts w:hint="eastAsia" w:ascii="仿宋" w:hAnsi="仿宋" w:eastAsia="仿宋" w:cs="仿宋"/>
          <w:color w:val="auto"/>
          <w:kern w:val="2"/>
          <w:sz w:val="24"/>
          <w:szCs w:val="24"/>
          <w:highlight w:val="none"/>
          <w:lang w:val="en-US" w:bidi="ar-SA"/>
        </w:rPr>
        <w:t>的违约金；因重新交付货物造成履行延误的，每延误一日，乙方按合同价款的千分之五向甲方支付违约金。</w:t>
      </w:r>
    </w:p>
    <w:p w14:paraId="041038B4">
      <w:pPr>
        <w:autoSpaceDE/>
        <w:autoSpaceDN/>
        <w:spacing w:line="480" w:lineRule="auto"/>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2</w:t>
      </w: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color w:val="auto"/>
          <w:kern w:val="2"/>
          <w:sz w:val="24"/>
          <w:szCs w:val="24"/>
          <w:highlight w:val="none"/>
          <w:lang w:val="en-US" w:bidi="ar-SA"/>
        </w:rPr>
        <w:t>.乙方拒不履行保修义务的，甲方有权委托第三方进行维修，由此产生的费用由乙方承担，给甲方造成损失的乙方应当予以赔偿。</w:t>
      </w:r>
    </w:p>
    <w:p w14:paraId="25F556E2">
      <w:pPr>
        <w:autoSpaceDE/>
        <w:autoSpaceDN/>
        <w:spacing w:line="480" w:lineRule="auto"/>
        <w:ind w:right="-1"/>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第八章  不可抗力</w:t>
      </w:r>
    </w:p>
    <w:p w14:paraId="719CA9B7">
      <w:pPr>
        <w:autoSpaceDE/>
        <w:autoSpaceDN/>
        <w:spacing w:line="480" w:lineRule="auto"/>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2</w:t>
      </w:r>
      <w:r>
        <w:rPr>
          <w:rFonts w:hint="eastAsia" w:ascii="仿宋" w:hAnsi="仿宋" w:eastAsia="仿宋" w:cs="仿宋"/>
          <w:color w:val="auto"/>
          <w:kern w:val="2"/>
          <w:sz w:val="24"/>
          <w:szCs w:val="24"/>
          <w:highlight w:val="none"/>
          <w:lang w:val="en-US" w:eastAsia="zh-CN" w:bidi="ar-SA"/>
        </w:rPr>
        <w:t>5</w:t>
      </w:r>
      <w:r>
        <w:rPr>
          <w:rFonts w:hint="eastAsia" w:ascii="仿宋" w:hAnsi="仿宋" w:eastAsia="仿宋" w:cs="仿宋"/>
          <w:color w:val="auto"/>
          <w:kern w:val="2"/>
          <w:sz w:val="24"/>
          <w:szCs w:val="24"/>
          <w:highlight w:val="none"/>
          <w:lang w:val="en-US" w:bidi="ar-SA"/>
        </w:rPr>
        <w:t>.因不可抗力导致合同无法履行，合同双方不承担违约责任，但是一方因未履行本合同义务而遭遇不可抗力的除外。不可抗力是指任何一方不能控制不能预见的情况，以及发生的战争、严重火灾、洪水、台风、地震、政府指令等其他类似的自然或社会事件。因不可抗力影响本合同履行时，可对本合同的履行期限适当延长。</w:t>
      </w:r>
    </w:p>
    <w:p w14:paraId="4F409977">
      <w:pPr>
        <w:autoSpaceDE/>
        <w:autoSpaceDN/>
        <w:spacing w:line="480" w:lineRule="auto"/>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2</w:t>
      </w:r>
      <w:r>
        <w:rPr>
          <w:rFonts w:hint="eastAsia" w:ascii="仿宋" w:hAnsi="仿宋" w:eastAsia="仿宋" w:cs="仿宋"/>
          <w:color w:val="auto"/>
          <w:kern w:val="2"/>
          <w:sz w:val="24"/>
          <w:szCs w:val="24"/>
          <w:highlight w:val="none"/>
          <w:lang w:val="en-US" w:eastAsia="zh-CN" w:bidi="ar-SA"/>
        </w:rPr>
        <w:t>6</w:t>
      </w:r>
      <w:r>
        <w:rPr>
          <w:rFonts w:hint="eastAsia" w:ascii="仿宋" w:hAnsi="仿宋" w:eastAsia="仿宋" w:cs="仿宋"/>
          <w:color w:val="auto"/>
          <w:kern w:val="2"/>
          <w:sz w:val="24"/>
          <w:szCs w:val="24"/>
          <w:highlight w:val="none"/>
          <w:lang w:val="en-US" w:bidi="ar-SA"/>
        </w:rPr>
        <w:t>.延长合同的履行期限不应超过不可抗力的持续时间。</w:t>
      </w:r>
    </w:p>
    <w:p w14:paraId="2B72A727">
      <w:pPr>
        <w:autoSpaceDE/>
        <w:autoSpaceDN/>
        <w:spacing w:line="480" w:lineRule="auto"/>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2</w:t>
      </w:r>
      <w:r>
        <w:rPr>
          <w:rFonts w:hint="eastAsia" w:ascii="仿宋" w:hAnsi="仿宋" w:eastAsia="仿宋" w:cs="仿宋"/>
          <w:color w:val="auto"/>
          <w:kern w:val="2"/>
          <w:sz w:val="24"/>
          <w:szCs w:val="24"/>
          <w:highlight w:val="none"/>
          <w:lang w:val="en-US" w:eastAsia="zh-CN" w:bidi="ar-SA"/>
        </w:rPr>
        <w:t>7</w:t>
      </w:r>
      <w:r>
        <w:rPr>
          <w:rFonts w:hint="eastAsia" w:ascii="仿宋" w:hAnsi="仿宋" w:eastAsia="仿宋" w:cs="仿宋"/>
          <w:color w:val="auto"/>
          <w:kern w:val="2"/>
          <w:sz w:val="24"/>
          <w:szCs w:val="24"/>
          <w:highlight w:val="none"/>
          <w:lang w:val="en-US" w:bidi="ar-SA"/>
        </w:rPr>
        <w:t>.不可抗力事故发生后，受不可抗力事故影响的一方应在</w:t>
      </w:r>
      <w:r>
        <w:rPr>
          <w:rFonts w:hint="eastAsia" w:ascii="仿宋" w:hAnsi="仿宋" w:eastAsia="仿宋" w:cs="仿宋"/>
          <w:color w:val="auto"/>
          <w:kern w:val="2"/>
          <w:sz w:val="24"/>
          <w:szCs w:val="24"/>
          <w:highlight w:val="none"/>
          <w:lang w:val="en-US" w:eastAsia="zh-CN" w:bidi="ar-SA"/>
        </w:rPr>
        <w:t>24</w:t>
      </w:r>
      <w:r>
        <w:rPr>
          <w:rFonts w:hint="eastAsia" w:ascii="仿宋" w:hAnsi="仿宋" w:eastAsia="仿宋" w:cs="仿宋"/>
          <w:color w:val="auto"/>
          <w:kern w:val="2"/>
          <w:sz w:val="24"/>
          <w:szCs w:val="24"/>
          <w:highlight w:val="none"/>
          <w:lang w:val="en-US" w:bidi="ar-SA"/>
        </w:rPr>
        <w:t>小时内将所发生的不可抗力事故情况以能够送达的有效方式通知对方，并将不可抗力事故发生地有关部门出具的证明文件一并送达。</w:t>
      </w:r>
    </w:p>
    <w:p w14:paraId="6292954F">
      <w:pPr>
        <w:autoSpaceDE/>
        <w:autoSpaceDN/>
        <w:spacing w:line="480" w:lineRule="auto"/>
        <w:ind w:right="-1"/>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第九章  争议的解决</w:t>
      </w:r>
    </w:p>
    <w:p w14:paraId="69D19793">
      <w:pPr>
        <w:autoSpaceDE/>
        <w:autoSpaceDN/>
        <w:spacing w:line="480" w:lineRule="auto"/>
        <w:ind w:right="-1" w:firstLine="426"/>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28</w:t>
      </w:r>
      <w:r>
        <w:rPr>
          <w:rFonts w:hint="eastAsia" w:ascii="仿宋" w:hAnsi="仿宋" w:eastAsia="仿宋" w:cs="仿宋"/>
          <w:color w:val="auto"/>
          <w:kern w:val="2"/>
          <w:sz w:val="24"/>
          <w:szCs w:val="24"/>
          <w:highlight w:val="none"/>
          <w:lang w:val="en-US" w:bidi="ar-SA"/>
        </w:rPr>
        <w:t>.双方如在履行合同中发生纠纷，首先应友好协商，协商不成，双方均应向甲方所在地法院起诉。因诉讼产生的律师费、诉讼费、差旅费等合理支出由违约方承担。</w:t>
      </w:r>
    </w:p>
    <w:p w14:paraId="14A149E1">
      <w:pPr>
        <w:autoSpaceDE/>
        <w:autoSpaceDN/>
        <w:spacing w:line="480" w:lineRule="auto"/>
        <w:ind w:right="-1"/>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第十章   其它</w:t>
      </w:r>
    </w:p>
    <w:p w14:paraId="2985CDA0">
      <w:pPr>
        <w:autoSpaceDE/>
        <w:autoSpaceDN/>
        <w:spacing w:line="480" w:lineRule="auto"/>
        <w:ind w:right="-1" w:firstLine="480" w:firstLineChars="20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29.对本合同条款的任何变更、修改或增减，均应采用书面形式签认或签订补充协议，并具有同等法律效力。</w:t>
      </w:r>
    </w:p>
    <w:p w14:paraId="756AAE25">
      <w:pPr>
        <w:autoSpaceDE/>
        <w:autoSpaceDN/>
        <w:spacing w:line="480" w:lineRule="auto"/>
        <w:ind w:right="-1" w:firstLine="480" w:firstLineChars="20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30.合同履约事项应满足符合招标文件、响应文件要求，以上文件中未约定事宜以合同约定为准，合同未尽事宜经双方协商处理。</w:t>
      </w:r>
    </w:p>
    <w:p w14:paraId="1C911A4E">
      <w:pPr>
        <w:autoSpaceDE/>
        <w:autoSpaceDN/>
        <w:spacing w:line="480" w:lineRule="auto"/>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31</w:t>
      </w:r>
      <w:r>
        <w:rPr>
          <w:rFonts w:hint="eastAsia" w:ascii="仿宋" w:hAnsi="仿宋" w:eastAsia="仿宋" w:cs="仿宋"/>
          <w:color w:val="auto"/>
          <w:kern w:val="2"/>
          <w:sz w:val="24"/>
          <w:szCs w:val="24"/>
          <w:highlight w:val="none"/>
          <w:lang w:val="en-US" w:bidi="ar-SA"/>
        </w:rPr>
        <w:t>.本合同由双方法定代表人或授权代表签字并盖章，生效起始时间为本合同签订日期。</w:t>
      </w:r>
    </w:p>
    <w:p w14:paraId="4944A67D">
      <w:pPr>
        <w:autoSpaceDE/>
        <w:autoSpaceDN/>
        <w:spacing w:line="480" w:lineRule="auto"/>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32</w:t>
      </w:r>
      <w:r>
        <w:rPr>
          <w:rFonts w:hint="eastAsia" w:ascii="仿宋" w:hAnsi="仿宋" w:eastAsia="仿宋" w:cs="仿宋"/>
          <w:color w:val="auto"/>
          <w:kern w:val="2"/>
          <w:sz w:val="24"/>
          <w:szCs w:val="24"/>
          <w:highlight w:val="none"/>
          <w:lang w:val="en-US" w:bidi="ar-SA"/>
        </w:rPr>
        <w:t>.本合同一式伍份，甲乙双方各执贰份，招标代理执壹份，具有同等法律效力。</w:t>
      </w:r>
    </w:p>
    <w:p w14:paraId="7F5B1F9D">
      <w:pPr>
        <w:keepNext w:val="0"/>
        <w:keepLines w:val="0"/>
        <w:pageBreakBefore w:val="0"/>
        <w:kinsoku/>
        <w:wordWrap/>
        <w:overflowPunct/>
        <w:topLinePunct w:val="0"/>
        <w:autoSpaceDE/>
        <w:autoSpaceDN/>
        <w:bidi w:val="0"/>
        <w:adjustRightInd/>
        <w:snapToGrid/>
        <w:spacing w:line="480" w:lineRule="auto"/>
        <w:ind w:right="-1"/>
        <w:textAlignment w:val="auto"/>
        <w:rPr>
          <w:rFonts w:hint="default" w:ascii="仿宋" w:hAnsi="仿宋" w:eastAsia="仿宋" w:cs="仿宋"/>
          <w:b/>
          <w:bCs/>
          <w:color w:val="auto"/>
          <w:sz w:val="24"/>
          <w:szCs w:val="24"/>
          <w:highlight w:val="none"/>
          <w:u w:val="single"/>
          <w:lang w:val="en-US" w:eastAsia="zh-CN"/>
        </w:rPr>
      </w:pPr>
      <w:r>
        <w:rPr>
          <w:rFonts w:hint="eastAsia" w:ascii="仿宋" w:hAnsi="仿宋" w:eastAsia="仿宋" w:cs="仿宋"/>
          <w:b/>
          <w:bCs/>
          <w:color w:val="auto"/>
          <w:sz w:val="24"/>
          <w:szCs w:val="24"/>
          <w:highlight w:val="none"/>
        </w:rPr>
        <w:t>甲方：</w:t>
      </w:r>
      <w:r>
        <w:rPr>
          <w:rFonts w:hint="eastAsia" w:ascii="仿宋" w:hAnsi="仿宋" w:eastAsia="仿宋" w:cs="仿宋"/>
          <w:b/>
          <w:bCs/>
          <w:color w:val="auto"/>
          <w:sz w:val="24"/>
          <w:szCs w:val="24"/>
          <w:highlight w:val="none"/>
          <w:u w:val="single"/>
        </w:rPr>
        <w:t xml:space="preserve">  海南医</w:t>
      </w:r>
      <w:r>
        <w:rPr>
          <w:rFonts w:hint="eastAsia" w:ascii="仿宋" w:hAnsi="仿宋" w:eastAsia="仿宋" w:cs="仿宋"/>
          <w:b/>
          <w:bCs/>
          <w:color w:val="auto"/>
          <w:sz w:val="24"/>
          <w:szCs w:val="24"/>
          <w:highlight w:val="none"/>
          <w:u w:val="single"/>
          <w:lang w:eastAsia="zh-CN"/>
        </w:rPr>
        <w:t>科大学</w:t>
      </w:r>
      <w:r>
        <w:rPr>
          <w:rFonts w:hint="eastAsia" w:ascii="仿宋" w:hAnsi="仿宋" w:eastAsia="仿宋" w:cs="仿宋"/>
          <w:b/>
          <w:bCs/>
          <w:color w:val="auto"/>
          <w:sz w:val="24"/>
          <w:szCs w:val="24"/>
          <w:highlight w:val="none"/>
          <w:u w:val="single"/>
        </w:rPr>
        <w:t xml:space="preserve">第一附属医院 </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u w:val="none"/>
          <w:lang w:val="en-US" w:eastAsia="zh-CN"/>
        </w:rPr>
        <w:t xml:space="preserve">  </w:t>
      </w:r>
      <w:r>
        <w:rPr>
          <w:rFonts w:hint="eastAsia" w:ascii="仿宋" w:hAnsi="仿宋" w:eastAsia="仿宋" w:cs="仿宋"/>
          <w:b/>
          <w:bCs/>
          <w:color w:val="auto"/>
          <w:sz w:val="24"/>
          <w:szCs w:val="24"/>
          <w:highlight w:val="none"/>
        </w:rPr>
        <w:t>乙方：</w:t>
      </w:r>
      <w:r>
        <w:rPr>
          <w:rFonts w:hint="eastAsia" w:ascii="仿宋" w:hAnsi="仿宋" w:eastAsia="仿宋" w:cs="仿宋"/>
          <w:b/>
          <w:bCs/>
          <w:color w:val="auto"/>
          <w:sz w:val="24"/>
          <w:szCs w:val="24"/>
          <w:highlight w:val="none"/>
          <w:u w:val="single"/>
          <w:lang w:val="en-US" w:eastAsia="zh-CN"/>
        </w:rPr>
        <w:t xml:space="preserve">                    </w:t>
      </w:r>
    </w:p>
    <w:p w14:paraId="02DE8F5E">
      <w:pPr>
        <w:keepNext w:val="0"/>
        <w:keepLines w:val="0"/>
        <w:pageBreakBefore w:val="0"/>
        <w:kinsoku/>
        <w:wordWrap/>
        <w:overflowPunct/>
        <w:topLinePunct w:val="0"/>
        <w:autoSpaceDE/>
        <w:autoSpaceDN/>
        <w:bidi w:val="0"/>
        <w:adjustRightInd/>
        <w:snapToGrid/>
        <w:spacing w:line="480" w:lineRule="auto"/>
        <w:ind w:right="-1"/>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 盖章）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（盖章）                                    </w:t>
      </w:r>
    </w:p>
    <w:p w14:paraId="2A375E8F">
      <w:pPr>
        <w:keepNext w:val="0"/>
        <w:keepLines w:val="0"/>
        <w:pageBreakBefore w:val="0"/>
        <w:kinsoku/>
        <w:wordWrap/>
        <w:overflowPunct/>
        <w:topLinePunct w:val="0"/>
        <w:autoSpaceDE/>
        <w:autoSpaceDN/>
        <w:bidi w:val="0"/>
        <w:adjustRightInd/>
        <w:snapToGrid/>
        <w:spacing w:line="480" w:lineRule="auto"/>
        <w:ind w:right="-1"/>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法定</w:t>
      </w:r>
      <w:r>
        <w:rPr>
          <w:rFonts w:hint="eastAsia" w:ascii="仿宋" w:hAnsi="仿宋" w:eastAsia="仿宋" w:cs="仿宋"/>
          <w:b/>
          <w:bCs/>
          <w:color w:val="auto"/>
          <w:sz w:val="24"/>
          <w:szCs w:val="24"/>
          <w:highlight w:val="none"/>
          <w:lang w:eastAsia="zh-CN"/>
        </w:rPr>
        <w:t>（授权）</w:t>
      </w:r>
      <w:r>
        <w:rPr>
          <w:rFonts w:hint="eastAsia" w:ascii="仿宋" w:hAnsi="仿宋" w:eastAsia="仿宋" w:cs="仿宋"/>
          <w:b/>
          <w:bCs/>
          <w:color w:val="auto"/>
          <w:sz w:val="24"/>
          <w:szCs w:val="24"/>
          <w:highlight w:val="none"/>
        </w:rPr>
        <w:t>代表人：</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rPr>
        <w:t xml:space="preserve">    法定</w:t>
      </w:r>
      <w:r>
        <w:rPr>
          <w:rFonts w:hint="eastAsia" w:ascii="仿宋" w:hAnsi="仿宋" w:eastAsia="仿宋" w:cs="仿宋"/>
          <w:b/>
          <w:bCs/>
          <w:color w:val="auto"/>
          <w:sz w:val="24"/>
          <w:szCs w:val="24"/>
          <w:highlight w:val="none"/>
          <w:lang w:eastAsia="zh-CN"/>
        </w:rPr>
        <w:t>（授权）</w:t>
      </w:r>
      <w:r>
        <w:rPr>
          <w:rFonts w:hint="eastAsia" w:ascii="仿宋" w:hAnsi="仿宋" w:eastAsia="仿宋" w:cs="仿宋"/>
          <w:b/>
          <w:bCs/>
          <w:color w:val="auto"/>
          <w:sz w:val="24"/>
          <w:szCs w:val="24"/>
          <w:highlight w:val="none"/>
        </w:rPr>
        <w:t xml:space="preserve">代表人： </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bCs/>
          <w:color w:val="auto"/>
          <w:sz w:val="24"/>
          <w:szCs w:val="24"/>
          <w:highlight w:val="none"/>
        </w:rPr>
        <w:t xml:space="preserve">   </w:t>
      </w:r>
    </w:p>
    <w:p w14:paraId="29D90D60">
      <w:pPr>
        <w:keepNext w:val="0"/>
        <w:keepLines w:val="0"/>
        <w:pageBreakBefore w:val="0"/>
        <w:kinsoku/>
        <w:wordWrap/>
        <w:overflowPunct/>
        <w:topLinePunct w:val="0"/>
        <w:autoSpaceDE/>
        <w:autoSpaceDN/>
        <w:bidi w:val="0"/>
        <w:adjustRightInd/>
        <w:snapToGrid/>
        <w:spacing w:line="480" w:lineRule="auto"/>
        <w:ind w:right="-1"/>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经办人：</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bCs/>
          <w:color w:val="auto"/>
          <w:sz w:val="24"/>
          <w:szCs w:val="24"/>
          <w:highlight w:val="none"/>
        </w:rPr>
        <w:t xml:space="preserve">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经办人：</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bCs/>
          <w:color w:val="auto"/>
          <w:sz w:val="24"/>
          <w:szCs w:val="24"/>
          <w:highlight w:val="none"/>
        </w:rPr>
        <w:t xml:space="preserve">                                         </w:t>
      </w:r>
    </w:p>
    <w:p w14:paraId="19525C2C">
      <w:pPr>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仿宋" w:hAnsi="仿宋" w:eastAsia="仿宋" w:cs="仿宋"/>
          <w:b/>
          <w:bCs/>
          <w:color w:val="auto"/>
          <w:sz w:val="24"/>
          <w:szCs w:val="24"/>
          <w:highlight w:val="none"/>
          <w:u w:val="single"/>
        </w:rPr>
      </w:pPr>
    </w:p>
    <w:p w14:paraId="2BB4B729">
      <w:pPr>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签订日期：</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rPr>
        <w:t>年</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u w:val="single"/>
          <w:lang w:val="en-US"/>
        </w:rPr>
        <w:t xml:space="preserve"> </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rPr>
        <w:t>月</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rPr>
        <w:t xml:space="preserve">日                      </w:t>
      </w:r>
    </w:p>
    <w:p w14:paraId="0C3DA8F9">
      <w:pPr>
        <w:keepNext w:val="0"/>
        <w:keepLines w:val="0"/>
        <w:pageBreakBefore w:val="0"/>
        <w:kinsoku/>
        <w:wordWrap/>
        <w:overflowPunct/>
        <w:topLinePunct w:val="0"/>
        <w:autoSpaceDE/>
        <w:autoSpaceDN/>
        <w:bidi w:val="0"/>
        <w:adjustRightInd/>
        <w:snapToGrid/>
        <w:spacing w:line="480" w:lineRule="auto"/>
        <w:ind w:firstLine="434" w:firstLineChars="200"/>
        <w:textAlignment w:val="auto"/>
        <w:rPr>
          <w:rFonts w:hint="eastAsia" w:ascii="仿宋" w:hAnsi="仿宋" w:eastAsia="仿宋" w:cs="仿宋"/>
          <w:b/>
          <w:color w:val="auto"/>
          <w:spacing w:val="-12"/>
          <w:sz w:val="24"/>
          <w:szCs w:val="24"/>
          <w:highlight w:val="none"/>
        </w:rPr>
      </w:pPr>
    </w:p>
    <w:p w14:paraId="29B8414C">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仿宋" w:hAnsi="仿宋" w:eastAsia="仿宋" w:cs="仿宋"/>
          <w:b/>
          <w:color w:val="auto"/>
          <w:spacing w:val="-12"/>
          <w:sz w:val="24"/>
          <w:szCs w:val="24"/>
          <w:highlight w:val="none"/>
        </w:rPr>
      </w:pPr>
      <w:r>
        <w:rPr>
          <w:rFonts w:hint="eastAsia" w:ascii="仿宋" w:hAnsi="仿宋" w:eastAsia="仿宋" w:cs="仿宋"/>
          <w:b/>
          <w:color w:val="auto"/>
          <w:spacing w:val="-12"/>
          <w:sz w:val="24"/>
          <w:szCs w:val="24"/>
          <w:highlight w:val="none"/>
        </w:rPr>
        <w:t>招标代理机构：</w:t>
      </w:r>
      <w:r>
        <w:rPr>
          <w:rFonts w:hint="eastAsia" w:ascii="仿宋" w:hAnsi="仿宋" w:eastAsia="仿宋" w:cs="仿宋"/>
          <w:b/>
          <w:color w:val="auto"/>
          <w:spacing w:val="-12"/>
          <w:sz w:val="24"/>
          <w:szCs w:val="24"/>
          <w:highlight w:val="none"/>
          <w:lang w:eastAsia="zh-CN"/>
        </w:rPr>
        <w:t>　　　　　　</w:t>
      </w:r>
      <w:r>
        <w:rPr>
          <w:rFonts w:hint="eastAsia" w:ascii="仿宋" w:hAnsi="仿宋" w:eastAsia="仿宋" w:cs="仿宋"/>
          <w:b/>
          <w:color w:val="auto"/>
          <w:spacing w:val="-12"/>
          <w:sz w:val="24"/>
          <w:szCs w:val="24"/>
          <w:highlight w:val="none"/>
        </w:rPr>
        <w:t>（盖章）</w:t>
      </w:r>
    </w:p>
    <w:p w14:paraId="489C4C48">
      <w:pPr>
        <w:keepNext w:val="0"/>
        <w:keepLines w:val="0"/>
        <w:pageBreakBefore w:val="0"/>
        <w:kinsoku/>
        <w:wordWrap/>
        <w:overflowPunct/>
        <w:topLinePunct w:val="0"/>
        <w:autoSpaceDE/>
        <w:autoSpaceDN/>
        <w:bidi w:val="0"/>
        <w:adjustRightInd/>
        <w:snapToGrid/>
        <w:spacing w:line="48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经办人：</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color w:val="auto"/>
          <w:sz w:val="24"/>
          <w:szCs w:val="24"/>
          <w:highlight w:val="none"/>
        </w:rPr>
        <w:tab/>
      </w:r>
      <w:r>
        <w:rPr>
          <w:rFonts w:hint="eastAsia" w:ascii="仿宋" w:hAnsi="仿宋" w:eastAsia="仿宋" w:cs="仿宋"/>
          <w:b/>
          <w:color w:val="auto"/>
          <w:sz w:val="24"/>
          <w:szCs w:val="24"/>
          <w:highlight w:val="none"/>
        </w:rPr>
        <w:t xml:space="preserve">         </w:t>
      </w:r>
    </w:p>
    <w:p w14:paraId="0B9E9402">
      <w:pPr>
        <w:keepNext w:val="0"/>
        <w:keepLines w:val="0"/>
        <w:pageBreakBefore w:val="0"/>
        <w:widowControl/>
        <w:kinsoku/>
        <w:wordWrap/>
        <w:overflowPunct/>
        <w:topLinePunct w:val="0"/>
        <w:autoSpaceDE/>
        <w:autoSpaceDN/>
        <w:bidi w:val="0"/>
        <w:adjustRightInd/>
        <w:snapToGrid/>
        <w:spacing w:line="480" w:lineRule="auto"/>
        <w:ind w:firstLine="482" w:firstLineChars="200"/>
        <w:textAlignment w:val="auto"/>
        <w:rPr>
          <w:rFonts w:hint="eastAsia" w:ascii="仿宋" w:hAnsi="仿宋" w:eastAsia="仿宋" w:cs="仿宋"/>
          <w:b/>
          <w:color w:val="auto"/>
          <w:sz w:val="24"/>
          <w:szCs w:val="24"/>
          <w:highlight w:val="none"/>
          <w:u w:val="single"/>
        </w:rPr>
      </w:pPr>
    </w:p>
    <w:p w14:paraId="656A2AFB">
      <w:pPr>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u w:val="single"/>
          <w:lang w:val="en-US" w:eastAsia="zh-CN"/>
        </w:rPr>
        <w:t xml:space="preserve">  </w:t>
      </w:r>
      <w:r>
        <w:rPr>
          <w:rFonts w:hint="eastAsia" w:ascii="仿宋" w:hAnsi="仿宋" w:eastAsia="仿宋" w:cs="仿宋"/>
          <w:b/>
          <w:color w:val="auto"/>
          <w:sz w:val="24"/>
          <w:szCs w:val="24"/>
          <w:highlight w:val="none"/>
        </w:rPr>
        <w:t>年</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u w:val="single"/>
          <w:lang w:val="en-US" w:eastAsia="zh-CN"/>
        </w:rPr>
        <w:t xml:space="preserve">  </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rPr>
        <w:t>月</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u w:val="single"/>
          <w:lang w:val="en-US" w:eastAsia="zh-CN"/>
        </w:rPr>
        <w:t xml:space="preserve">  </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rPr>
        <w:t xml:space="preserve">日   </w:t>
      </w:r>
    </w:p>
    <w:p w14:paraId="6469D559">
      <w:pPr>
        <w:pStyle w:val="5"/>
        <w:spacing w:line="480" w:lineRule="auto"/>
        <w:rPr>
          <w:rFonts w:hint="eastAsia" w:ascii="仿宋" w:hAnsi="仿宋" w:eastAsia="仿宋" w:cs="仿宋"/>
          <w:b/>
          <w:color w:val="auto"/>
          <w:sz w:val="24"/>
          <w:szCs w:val="24"/>
          <w:highlight w:val="none"/>
        </w:rPr>
      </w:pPr>
    </w:p>
    <w:p w14:paraId="2C9FADB4">
      <w:pPr>
        <w:pStyle w:val="6"/>
        <w:spacing w:line="48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附1:中标通知书</w:t>
      </w:r>
    </w:p>
    <w:p w14:paraId="4DB2E70D">
      <w:pPr>
        <w:pStyle w:val="15"/>
        <w:spacing w:line="480" w:lineRule="auto"/>
        <w:ind w:firstLine="0" w:firstLineChars="0"/>
        <w:rPr>
          <w:rFonts w:hint="eastAsia" w:ascii="仿宋" w:hAnsi="仿宋" w:eastAsia="仿宋" w:cs="仿宋"/>
          <w:color w:val="auto"/>
          <w:highlight w:val="none"/>
          <w:lang w:eastAsia="zh-CN"/>
        </w:rPr>
      </w:pPr>
      <w:r>
        <w:rPr>
          <w:rFonts w:hint="eastAsia" w:ascii="仿宋" w:hAnsi="仿宋" w:eastAsia="仿宋" w:cs="仿宋"/>
          <w:color w:val="auto"/>
          <w:sz w:val="28"/>
          <w:szCs w:val="28"/>
          <w:highlight w:val="none"/>
        </w:rPr>
        <w:t>附</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:产品清单、配置清单、易损易耗部件清单、消耗品或消耗材料清单</w:t>
      </w:r>
    </w:p>
    <w:p w14:paraId="7BCE83D5">
      <w:pPr>
        <w:pStyle w:val="15"/>
        <w:spacing w:line="480" w:lineRule="auto"/>
        <w:ind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附3: 需求响应、偏离说明表</w:t>
      </w:r>
    </w:p>
    <w:p w14:paraId="1A78C737">
      <w:pPr>
        <w:spacing w:line="480" w:lineRule="auto"/>
        <w:rPr>
          <w:color w:val="auto"/>
          <w:highlight w:val="none"/>
        </w:rPr>
      </w:pPr>
      <w:r>
        <w:rPr>
          <w:rFonts w:hint="eastAsia" w:ascii="仿宋" w:hAnsi="仿宋" w:eastAsia="仿宋" w:cs="仿宋"/>
          <w:color w:val="auto"/>
          <w:kern w:val="2"/>
          <w:sz w:val="28"/>
          <w:szCs w:val="28"/>
          <w:highlight w:val="none"/>
          <w:lang w:val="en-US" w:eastAsia="zh-CN" w:bidi="ar-SA"/>
        </w:rPr>
        <w:t>附件4：承诺书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5A341B">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5DC6E8">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1D5DC6E8">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C7AD9F"/>
    <w:multiLevelType w:val="singleLevel"/>
    <w:tmpl w:val="48C7AD9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5013F1"/>
    <w:rsid w:val="1CB3390E"/>
    <w:rsid w:val="5DF277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qFormat/>
    <w:uiPriority w:val="9"/>
    <w:pPr>
      <w:keepNext/>
      <w:keepLines/>
      <w:spacing w:before="340" w:beforeLines="0" w:beforeAutospacing="0" w:after="330" w:afterLines="0" w:afterAutospacing="0" w:line="576" w:lineRule="auto"/>
      <w:outlineLvl w:val="0"/>
    </w:pPr>
    <w:rPr>
      <w:kern w:val="44"/>
      <w:sz w:val="44"/>
    </w:rPr>
  </w:style>
  <w:style w:type="paragraph" w:styleId="4">
    <w:name w:val="heading 2"/>
    <w:basedOn w:val="1"/>
    <w:next w:val="1"/>
    <w:unhideWhenUsed/>
    <w:qFormat/>
    <w:uiPriority w:val="9"/>
    <w:pPr>
      <w:spacing w:line="482" w:lineRule="exact"/>
      <w:ind w:right="2507"/>
      <w:jc w:val="center"/>
      <w:outlineLvl w:val="1"/>
    </w:pPr>
    <w:rPr>
      <w:rFonts w:ascii="隶书" w:hAnsi="隶书" w:eastAsia="隶书" w:cs="隶书"/>
      <w:sz w:val="44"/>
      <w:szCs w:val="44"/>
    </w:rPr>
  </w:style>
  <w:style w:type="paragraph" w:styleId="3">
    <w:name w:val="heading 3"/>
    <w:basedOn w:val="1"/>
    <w:next w:val="1"/>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autoSpaceDN/>
      <w:ind w:firstLine="420" w:firstLineChars="200"/>
      <w:jc w:val="both"/>
    </w:pPr>
    <w:rPr>
      <w:rFonts w:ascii="仿宋_GB2312" w:hAnsi="Times New Roman" w:cs="Times New Roman"/>
      <w:b/>
      <w:kern w:val="2"/>
      <w:sz w:val="21"/>
      <w:szCs w:val="20"/>
      <w:lang w:val="en-US" w:bidi="ar-SA"/>
    </w:rPr>
  </w:style>
  <w:style w:type="paragraph" w:styleId="6">
    <w:name w:val="Body Text"/>
    <w:basedOn w:val="1"/>
    <w:qFormat/>
    <w:uiPriority w:val="0"/>
    <w:pPr>
      <w:tabs>
        <w:tab w:val="left" w:pos="0"/>
      </w:tabs>
      <w:spacing w:after="120"/>
    </w:pPr>
    <w:rPr>
      <w:rFonts w:ascii="Times New Roman"/>
      <w:sz w:val="24"/>
      <w:szCs w:val="24"/>
    </w:rPr>
  </w:style>
  <w:style w:type="paragraph" w:styleId="7">
    <w:name w:val="footer"/>
    <w:basedOn w:val="1"/>
    <w:qFormat/>
    <w:uiPriority w:val="99"/>
    <w:pPr>
      <w:tabs>
        <w:tab w:val="center" w:pos="4153"/>
        <w:tab w:val="right" w:pos="8306"/>
      </w:tabs>
      <w:snapToGrid w:val="0"/>
    </w:pPr>
    <w:rPr>
      <w:sz w:val="18"/>
    </w:rPr>
  </w:style>
  <w:style w:type="paragraph" w:customStyle="1" w:styleId="10">
    <w:name w:val="分类号"/>
    <w:basedOn w:val="1"/>
    <w:qFormat/>
    <w:uiPriority w:val="0"/>
    <w:pPr>
      <w:autoSpaceDE/>
      <w:autoSpaceDN/>
      <w:jc w:val="both"/>
    </w:pPr>
    <w:rPr>
      <w:rFonts w:ascii="仿宋_GB2312" w:hAnsi="Times New Roman" w:eastAsia="仿宋_GB2312" w:cs="Times New Roman"/>
      <w:kern w:val="2"/>
      <w:sz w:val="28"/>
      <w:szCs w:val="28"/>
      <w:lang w:val="en-US" w:bidi="ar-SA"/>
    </w:rPr>
  </w:style>
  <w:style w:type="paragraph" w:customStyle="1" w:styleId="11">
    <w:name w:val="硕士学位论文"/>
    <w:basedOn w:val="1"/>
    <w:qFormat/>
    <w:uiPriority w:val="0"/>
    <w:pPr>
      <w:autoSpaceDE/>
      <w:autoSpaceDN/>
      <w:spacing w:before="240"/>
      <w:jc w:val="center"/>
    </w:pPr>
    <w:rPr>
      <w:rFonts w:ascii="Times New Roman" w:hAnsi="Times New Roman" w:cs="Times New Roman"/>
      <w:kern w:val="2"/>
      <w:sz w:val="44"/>
      <w:szCs w:val="44"/>
      <w:lang w:val="en-US" w:bidi="ar-SA"/>
    </w:rPr>
  </w:style>
  <w:style w:type="paragraph" w:customStyle="1" w:styleId="12">
    <w:name w:val="论文标题"/>
    <w:basedOn w:val="1"/>
    <w:qFormat/>
    <w:uiPriority w:val="0"/>
    <w:pPr>
      <w:autoSpaceDE/>
      <w:autoSpaceDN/>
      <w:jc w:val="center"/>
    </w:pPr>
    <w:rPr>
      <w:rFonts w:ascii="Times New Roman" w:hAnsi="Times New Roman" w:eastAsia="楷体_GB2312" w:cs="Times New Roman"/>
      <w:b/>
      <w:kern w:val="36"/>
      <w:sz w:val="52"/>
      <w:szCs w:val="52"/>
      <w:lang w:val="en-US" w:bidi="ar-SA"/>
    </w:rPr>
  </w:style>
  <w:style w:type="paragraph" w:customStyle="1" w:styleId="13">
    <w:name w:val="研究生姓名"/>
    <w:basedOn w:val="1"/>
    <w:qFormat/>
    <w:uiPriority w:val="0"/>
    <w:pPr>
      <w:autoSpaceDE/>
      <w:autoSpaceDN/>
      <w:ind w:firstLine="700" w:firstLineChars="700"/>
      <w:jc w:val="both"/>
    </w:pPr>
    <w:rPr>
      <w:rFonts w:ascii="Times New Roman" w:hAnsi="Times New Roman" w:cs="Times New Roman"/>
      <w:kern w:val="2"/>
      <w:sz w:val="28"/>
      <w:szCs w:val="28"/>
      <w:lang w:val="en-US" w:bidi="ar-SA"/>
    </w:rPr>
  </w:style>
  <w:style w:type="paragraph" w:customStyle="1" w:styleId="14">
    <w:name w:val="封面日期"/>
    <w:basedOn w:val="1"/>
    <w:qFormat/>
    <w:uiPriority w:val="0"/>
    <w:pPr>
      <w:autoSpaceDE/>
      <w:autoSpaceDN/>
      <w:jc w:val="center"/>
    </w:pPr>
    <w:rPr>
      <w:rFonts w:ascii="黑体" w:hAnsi="Times New Roman" w:eastAsia="黑体" w:cs="Times New Roman"/>
      <w:kern w:val="2"/>
      <w:sz w:val="32"/>
      <w:szCs w:val="32"/>
      <w:lang w:val="en-US" w:bidi="ar-SA"/>
    </w:rPr>
  </w:style>
  <w:style w:type="paragraph" w:customStyle="1" w:styleId="15">
    <w:name w:val="正文1"/>
    <w:basedOn w:val="1"/>
    <w:qFormat/>
    <w:uiPriority w:val="0"/>
    <w:pPr>
      <w:autoSpaceDE/>
      <w:autoSpaceDN/>
      <w:spacing w:line="360" w:lineRule="auto"/>
      <w:ind w:firstLine="480" w:firstLineChars="200"/>
      <w:jc w:val="both"/>
    </w:pPr>
    <w:rPr>
      <w:rFonts w:hAnsi="Times New Roman" w:cs="Times New Roman"/>
      <w:kern w:val="2"/>
      <w:sz w:val="24"/>
      <w:szCs w:val="24"/>
      <w:lang w:val="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7235</Words>
  <Characters>7527</Characters>
  <Lines>0</Lines>
  <Paragraphs>0</Paragraphs>
  <TotalTime>7</TotalTime>
  <ScaleCrop>false</ScaleCrop>
  <LinksUpToDate>false</LinksUpToDate>
  <CharactersWithSpaces>7748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2025-03-26T09:49:00Z</dcterms:created>
  <dc:creator>Administrator</dc:creator>
  <cp:lastModifiedBy>s</cp:lastModifiedBy>
  <dcterms:modified xsi:type="dcterms:W3CDTF">2025-03-26T10:21:02Z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eyJoZGlkIjoiYmU5NDc5ZThiYjkzODVhOTU0YzBiYzhhNmFmMGE5MDQiLCJ1c2VySWQiOiI1MzMxMDQyODcifQ==</vt:lpwstr>
  </property>
  <property fmtid="{D5CDD505-2E9C-101B-9397-08002B2CF9AE}" pid="4" name="ICV">
    <vt:lpwstr>417F78DE706E45B78C978A2761ECE1B1_12</vt:lpwstr>
  </property>
</Properties>
</file>