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E8C33">
      <w:pPr>
        <w:spacing w:line="360" w:lineRule="auto"/>
        <w:jc w:val="center"/>
        <w:rPr>
          <w:rFonts w:hint="default"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第三章 采购需求</w:t>
      </w:r>
    </w:p>
    <w:p w14:paraId="6F07BF65">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★号项为必须满足项，不满足按无效投标处理。▲号项为重要技术</w:t>
      </w:r>
      <w:r>
        <w:rPr>
          <w:rFonts w:hint="eastAsia" w:ascii="宋体" w:hAnsi="宋体" w:cs="宋体"/>
          <w:b/>
          <w:bCs/>
          <w:color w:val="auto"/>
          <w:sz w:val="24"/>
          <w:szCs w:val="24"/>
          <w:lang w:val="en-US" w:eastAsia="zh-CN"/>
        </w:rPr>
        <w:t>参数</w:t>
      </w:r>
      <w:r>
        <w:rPr>
          <w:rFonts w:hint="eastAsia" w:ascii="宋体" w:hAnsi="宋体" w:eastAsia="宋体" w:cs="宋体"/>
          <w:b/>
          <w:bCs/>
          <w:color w:val="auto"/>
          <w:sz w:val="24"/>
          <w:szCs w:val="24"/>
          <w:lang w:eastAsia="zh-CN"/>
        </w:rPr>
        <w:t>，不满足做扣分处理。</w:t>
      </w:r>
      <w:r>
        <w:rPr>
          <w:rFonts w:hint="eastAsia" w:ascii="宋体" w:hAnsi="宋体" w:eastAsia="宋体" w:cs="宋体"/>
          <w:b/>
          <w:bCs/>
          <w:color w:val="auto"/>
          <w:sz w:val="24"/>
          <w:szCs w:val="24"/>
          <w:lang w:val="en-US" w:eastAsia="zh-CN"/>
        </w:rPr>
        <w:t>非</w:t>
      </w:r>
      <w:r>
        <w:rPr>
          <w:rFonts w:hint="eastAsia" w:ascii="宋体" w:hAnsi="宋体" w:eastAsia="宋体" w:cs="宋体"/>
          <w:b/>
          <w:bCs/>
          <w:color w:val="auto"/>
          <w:sz w:val="24"/>
          <w:szCs w:val="24"/>
          <w:lang w:eastAsia="zh-CN"/>
        </w:rPr>
        <w:t>★▲号</w:t>
      </w:r>
      <w:r>
        <w:rPr>
          <w:rFonts w:hint="eastAsia" w:ascii="宋体" w:hAnsi="宋体" w:eastAsia="宋体" w:cs="宋体"/>
          <w:b/>
          <w:bCs/>
          <w:color w:val="auto"/>
          <w:sz w:val="24"/>
          <w:szCs w:val="24"/>
          <w:lang w:val="en-US" w:eastAsia="zh-CN"/>
        </w:rPr>
        <w:t>为一般技术参数，不满足做扣分处理。</w:t>
      </w:r>
    </w:p>
    <w:p w14:paraId="75BA6F7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★号、▲号条款技术参数</w:t>
      </w:r>
      <w:r>
        <w:rPr>
          <w:rFonts w:hint="eastAsia" w:ascii="宋体" w:hAnsi="宋体" w:cs="宋体"/>
          <w:color w:val="000000"/>
          <w:kern w:val="0"/>
          <w:sz w:val="24"/>
          <w:szCs w:val="24"/>
          <w:lang w:val="en-US" w:eastAsia="zh-CN" w:bidi="ar"/>
        </w:rPr>
        <w:t>须</w:t>
      </w:r>
      <w:r>
        <w:rPr>
          <w:rFonts w:hint="default" w:ascii="宋体" w:hAnsi="宋体" w:eastAsia="宋体" w:cs="宋体"/>
          <w:color w:val="000000"/>
          <w:kern w:val="0"/>
          <w:sz w:val="24"/>
          <w:szCs w:val="24"/>
          <w:lang w:val="en-US" w:eastAsia="zh-CN" w:bidi="ar"/>
        </w:rPr>
        <w:t>提供技术支持证明材料，技术支持资料包括以下任意一种形式：</w:t>
      </w:r>
    </w:p>
    <w:p w14:paraId="2CAE4F9E">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（1）投标货物制造商公开发布的印刷资料； </w:t>
      </w:r>
    </w:p>
    <w:p w14:paraId="61D268C6">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国家认可的</w:t>
      </w:r>
      <w:r>
        <w:rPr>
          <w:rFonts w:hint="default" w:ascii="宋体" w:hAnsi="宋体" w:eastAsia="宋体" w:cs="宋体"/>
          <w:color w:val="000000"/>
          <w:kern w:val="0"/>
          <w:sz w:val="24"/>
          <w:szCs w:val="24"/>
          <w:lang w:val="en-US" w:eastAsia="zh-CN" w:bidi="ar"/>
        </w:rPr>
        <w:t xml:space="preserve">检测机构出具的检测报告； </w:t>
      </w:r>
    </w:p>
    <w:p w14:paraId="132B98D0">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（3）货物制造商盖章的技术参数确认函； </w:t>
      </w:r>
    </w:p>
    <w:p w14:paraId="5D83EB51">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 xml:space="preserve">（4）产品彩页； </w:t>
      </w:r>
    </w:p>
    <w:p w14:paraId="21872089">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color w:val="000000"/>
          <w:kern w:val="0"/>
          <w:sz w:val="24"/>
          <w:szCs w:val="24"/>
          <w:lang w:val="en-US" w:eastAsia="zh-CN" w:bidi="ar"/>
        </w:rPr>
      </w:pPr>
      <w:r>
        <w:rPr>
          <w:rFonts w:hint="default" w:ascii="宋体" w:hAnsi="宋体" w:eastAsia="宋体" w:cs="宋体"/>
          <w:color w:val="000000"/>
          <w:kern w:val="0"/>
          <w:sz w:val="24"/>
          <w:szCs w:val="24"/>
          <w:lang w:val="en-US" w:eastAsia="zh-CN" w:bidi="ar"/>
        </w:rPr>
        <w:t>（5）货物制造商盖章的产品白皮书。</w:t>
      </w:r>
    </w:p>
    <w:p w14:paraId="07631F84">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宋体" w:hAnsi="宋体" w:eastAsia="宋体" w:cs="宋体"/>
          <w:b w:val="0"/>
          <w:bCs w:val="0"/>
          <w:i w:val="0"/>
          <w:iCs w:val="0"/>
          <w:color w:val="000000"/>
          <w:kern w:val="0"/>
          <w:sz w:val="24"/>
          <w:szCs w:val="24"/>
          <w:u w:val="none"/>
          <w:lang w:val="en-US" w:eastAsia="zh-CN" w:bidi="ar"/>
        </w:rPr>
      </w:pPr>
      <w:r>
        <w:rPr>
          <w:rFonts w:hint="default" w:ascii="宋体" w:hAnsi="宋体" w:eastAsia="宋体" w:cs="宋体"/>
          <w:b/>
          <w:bCs/>
          <w:color w:val="000000"/>
          <w:kern w:val="0"/>
          <w:sz w:val="24"/>
          <w:szCs w:val="24"/>
          <w:lang w:val="en-US" w:eastAsia="zh-CN" w:bidi="ar"/>
        </w:rPr>
        <w:t>一般参数（非▲号、★号的其他指标）应在投标文件中提供货物制造商盖章的技术参数确认函，否则视为负偏离</w:t>
      </w:r>
      <w:r>
        <w:rPr>
          <w:rFonts w:hint="eastAsia" w:ascii="宋体" w:hAnsi="宋体" w:eastAsia="宋体" w:cs="宋体"/>
          <w:b/>
          <w:bCs/>
          <w:color w:val="000000"/>
          <w:kern w:val="0"/>
          <w:sz w:val="24"/>
          <w:szCs w:val="24"/>
          <w:lang w:val="en-US" w:eastAsia="zh-CN" w:bidi="ar"/>
        </w:rPr>
        <w:t>。</w:t>
      </w:r>
    </w:p>
    <w:p w14:paraId="04A5AFCC">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其中：★十二必须配套的附属设备设施、★十三售后服务 提供承诺书</w:t>
      </w:r>
    </w:p>
    <w:p w14:paraId="11F8ECA1">
      <w:pPr>
        <w:pStyle w:val="2"/>
        <w:rPr>
          <w:rFonts w:hint="default"/>
          <w:lang w:val="en-US" w:eastAsia="zh-CN"/>
        </w:rPr>
      </w:pP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1、项目名称：2024年超长期特别国债“以旧换新”项目医疗设备集中采购（十二）</w:t>
      </w:r>
    </w:p>
    <w:p w14:paraId="21D0B24D">
      <w:p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2、采购预算（最高限价）：745万元</w:t>
      </w:r>
    </w:p>
    <w:p w14:paraId="3C6E3330">
      <w:pPr>
        <w:spacing w:line="360" w:lineRule="auto"/>
        <w:jc w:val="both"/>
        <w:rPr>
          <w:rFonts w:hint="default" w:asciiTheme="minorEastAsia" w:hAnsiTheme="minorEastAsia" w:eastAsiaTheme="minorEastAsia" w:cstheme="minorEastAsia"/>
          <w:sz w:val="24"/>
          <w:szCs w:val="24"/>
          <w:lang w:val="en-US" w:eastAsia="zh-CN"/>
        </w:rPr>
      </w:pPr>
      <w:r>
        <w:rPr>
          <w:rFonts w:hint="default" w:asciiTheme="minorEastAsia" w:hAnsiTheme="minorEastAsia" w:eastAsiaTheme="minorEastAsia" w:cstheme="minorEastAsia"/>
          <w:sz w:val="24"/>
          <w:szCs w:val="24"/>
          <w:lang w:val="en-US" w:eastAsia="zh-CN"/>
        </w:rPr>
        <w:t>注：超出采购预算金额（最高限价）的报价，按无效投标处理。</w:t>
      </w:r>
    </w:p>
    <w:tbl>
      <w:tblPr>
        <w:tblStyle w:val="12"/>
        <w:tblW w:w="8300" w:type="dxa"/>
        <w:tblInd w:w="3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1160"/>
        <w:gridCol w:w="2940"/>
        <w:gridCol w:w="1417"/>
        <w:gridCol w:w="1240"/>
        <w:gridCol w:w="1543"/>
      </w:tblGrid>
      <w:tr w14:paraId="7F62B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4" w:hRule="atLeast"/>
        </w:trPr>
        <w:tc>
          <w:tcPr>
            <w:tcW w:w="11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BB1979">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标包</w:t>
            </w:r>
          </w:p>
        </w:tc>
        <w:tc>
          <w:tcPr>
            <w:tcW w:w="2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1F1FFA">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标的名称</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306547">
            <w:pPr>
              <w:keepNext w:val="0"/>
              <w:keepLines w:val="0"/>
              <w:widowControl/>
              <w:suppressLineNumbers w:val="0"/>
              <w:jc w:val="center"/>
              <w:textAlignment w:val="center"/>
              <w:rPr>
                <w:rFonts w:hint="default" w:ascii="宋体" w:hAnsi="宋体" w:eastAsia="宋体" w:cs="宋体"/>
                <w:i w:val="0"/>
                <w:color w:val="000000"/>
                <w:sz w:val="24"/>
                <w:szCs w:val="24"/>
                <w:u w:val="none"/>
                <w:lang w:val="en-US"/>
              </w:rPr>
            </w:pPr>
            <w:r>
              <w:rPr>
                <w:rFonts w:hint="eastAsia" w:ascii="宋体" w:hAnsi="宋体" w:eastAsia="宋体" w:cs="宋体"/>
                <w:i w:val="0"/>
                <w:color w:val="000000"/>
                <w:kern w:val="0"/>
                <w:sz w:val="24"/>
                <w:szCs w:val="24"/>
                <w:u w:val="none"/>
                <w:lang w:val="en-US" w:eastAsia="zh-CN" w:bidi="ar"/>
              </w:rPr>
              <w:t>最高限价</w:t>
            </w:r>
          </w:p>
        </w:tc>
        <w:tc>
          <w:tcPr>
            <w:tcW w:w="12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2E1A1F">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数量</w:t>
            </w:r>
          </w:p>
        </w:tc>
        <w:tc>
          <w:tcPr>
            <w:tcW w:w="1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3971A6">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是否接受进口</w:t>
            </w:r>
          </w:p>
        </w:tc>
      </w:tr>
      <w:tr w14:paraId="0A897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9" w:hRule="atLeast"/>
        </w:trPr>
        <w:tc>
          <w:tcPr>
            <w:tcW w:w="11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2C340E8">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w:t>
            </w:r>
          </w:p>
        </w:tc>
        <w:tc>
          <w:tcPr>
            <w:tcW w:w="29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5F7978">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大孔径CT定位系统</w:t>
            </w:r>
          </w:p>
        </w:tc>
        <w:tc>
          <w:tcPr>
            <w:tcW w:w="1417"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4A5B23">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745万元</w:t>
            </w:r>
          </w:p>
        </w:tc>
        <w:tc>
          <w:tcPr>
            <w:tcW w:w="12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7282F8">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1套</w:t>
            </w:r>
          </w:p>
        </w:tc>
        <w:tc>
          <w:tcPr>
            <w:tcW w:w="15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5029EC">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否</w:t>
            </w:r>
          </w:p>
        </w:tc>
      </w:tr>
    </w:tbl>
    <w:p w14:paraId="33004E98">
      <w:pPr>
        <w:spacing w:line="360" w:lineRule="auto"/>
        <w:jc w:val="both"/>
        <w:rPr>
          <w:rFonts w:hint="default" w:asciiTheme="minorEastAsia" w:hAnsiTheme="minorEastAsia" w:eastAsiaTheme="minorEastAsia" w:cstheme="minorEastAsia"/>
          <w:sz w:val="24"/>
          <w:szCs w:val="24"/>
          <w:lang w:val="en-US" w:eastAsia="zh-CN"/>
        </w:rPr>
      </w:pPr>
    </w:p>
    <w:p w14:paraId="14621D3D">
      <w:pPr>
        <w:numPr>
          <w:ilvl w:val="0"/>
          <w:numId w:val="2"/>
        </w:numPr>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交货期：合同签订后在收到发货通知之日起30日内交付合同标的物设备到货。</w:t>
      </w:r>
    </w:p>
    <w:p w14:paraId="1B6BB8FB">
      <w:pPr>
        <w:numPr>
          <w:ilvl w:val="0"/>
          <w:numId w:val="2"/>
        </w:numPr>
        <w:spacing w:line="360" w:lineRule="auto"/>
        <w:jc w:val="both"/>
        <w:rPr>
          <w:rFonts w:hint="default" w:ascii="宋体" w:hAnsi="宋体" w:eastAsia="宋体" w:cs="宋体"/>
          <w:color w:val="000000"/>
          <w:kern w:val="0"/>
          <w:sz w:val="24"/>
          <w:szCs w:val="24"/>
          <w:lang w:val="en-US" w:eastAsia="zh-CN" w:bidi="ar"/>
        </w:rPr>
      </w:pPr>
      <w:r>
        <w:rPr>
          <w:rFonts w:hint="eastAsia" w:asciiTheme="minorEastAsia" w:hAnsiTheme="minorEastAsia" w:eastAsiaTheme="minorEastAsia" w:cstheme="minorEastAsia"/>
          <w:sz w:val="24"/>
          <w:szCs w:val="24"/>
          <w:lang w:val="en-US" w:eastAsia="zh-CN"/>
        </w:rPr>
        <w:t>交货地点：甲方指定地点</w:t>
      </w:r>
    </w:p>
    <w:p w14:paraId="46940B34">
      <w:pPr>
        <w:pStyle w:val="6"/>
        <w:rPr>
          <w:rFonts w:hint="default"/>
          <w:lang w:val="en-US" w:eastAsia="zh-CN"/>
        </w:rPr>
      </w:pPr>
    </w:p>
    <w:p w14:paraId="39DAF544">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技术商务要求</w:t>
      </w:r>
    </w:p>
    <w:p w14:paraId="08E9C508">
      <w:pPr>
        <w:jc w:val="center"/>
        <w:rPr>
          <w:rFonts w:hint="eastAsia" w:asciiTheme="minorEastAsia" w:hAnsiTheme="minorEastAsia" w:eastAsiaTheme="minorEastAsia" w:cstheme="minorEastAsia"/>
          <w:b/>
          <w:bCs/>
          <w:sz w:val="30"/>
          <w:szCs w:val="30"/>
          <w:lang w:val="en-US" w:eastAsia="zh-CN"/>
        </w:rPr>
      </w:pPr>
    </w:p>
    <w:tbl>
      <w:tblPr>
        <w:tblStyle w:val="12"/>
        <w:tblW w:w="830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15"/>
        <w:gridCol w:w="6788"/>
      </w:tblGrid>
      <w:tr w14:paraId="1C592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5ABE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序号</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F66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技术商务要求</w:t>
            </w:r>
          </w:p>
        </w:tc>
      </w:tr>
      <w:tr w14:paraId="4C059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B0E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一</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443A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机架系统</w:t>
            </w:r>
          </w:p>
        </w:tc>
      </w:tr>
      <w:tr w14:paraId="7EE73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CE1D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D1C1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机架孔径≥80cm</w:t>
            </w:r>
          </w:p>
        </w:tc>
      </w:tr>
      <w:tr w14:paraId="419C5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F8E9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89DA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滑环类型：低压滑环</w:t>
            </w:r>
          </w:p>
        </w:tc>
      </w:tr>
      <w:tr w14:paraId="044C1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C31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169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rPr>
              <w:t>探测器类型（提供所投产品型号的最先进探测器技术）（提供承诺书）</w:t>
            </w:r>
          </w:p>
        </w:tc>
      </w:tr>
      <w:tr w14:paraId="01D77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2503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6546">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探测器排数≥24</w:t>
            </w:r>
          </w:p>
        </w:tc>
      </w:tr>
      <w:tr w14:paraId="1B8D07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747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30A7">
            <w:pPr>
              <w:keepNext w:val="0"/>
              <w:keepLines w:val="0"/>
              <w:widowControl/>
              <w:suppressLineNumbers w:val="0"/>
              <w:jc w:val="left"/>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探测器层数≥32</w:t>
            </w:r>
          </w:p>
        </w:tc>
      </w:tr>
      <w:tr w14:paraId="225BB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89CA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22D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每排探测器物理通道个数≥900</w:t>
            </w:r>
          </w:p>
        </w:tc>
      </w:tr>
      <w:tr w14:paraId="73E85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BC5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966E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冷却方式：风冷</w:t>
            </w:r>
          </w:p>
        </w:tc>
      </w:tr>
      <w:tr w14:paraId="77116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A0B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二</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344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扫描床</w:t>
            </w:r>
          </w:p>
        </w:tc>
      </w:tr>
      <w:tr w14:paraId="2501E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020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90BC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床面水平移动范围≥160cm</w:t>
            </w:r>
          </w:p>
        </w:tc>
      </w:tr>
      <w:tr w14:paraId="4C12F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E42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E2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最大扫描范围≥135mm</w:t>
            </w:r>
          </w:p>
        </w:tc>
      </w:tr>
      <w:tr w14:paraId="715FC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31D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399B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床面垂直升降范围≥28cm</w:t>
            </w:r>
          </w:p>
        </w:tc>
      </w:tr>
      <w:tr w14:paraId="706D9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D0D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73B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扫描床面载重量≥290 Kg</w:t>
            </w:r>
          </w:p>
        </w:tc>
      </w:tr>
      <w:tr w14:paraId="739BA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69F5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C39F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提供放疗定位专用全碳纤维平床板</w:t>
            </w:r>
          </w:p>
        </w:tc>
      </w:tr>
      <w:tr w14:paraId="2D9A9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F07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D5B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提供放疗专用扫描床系统</w:t>
            </w:r>
          </w:p>
        </w:tc>
      </w:tr>
      <w:tr w14:paraId="0C3D8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C91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C45E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水平进床精度≤1±mm</w:t>
            </w:r>
          </w:p>
        </w:tc>
      </w:tr>
      <w:tr w14:paraId="7EFF7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05B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FAA6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垂直升降精度≤1±mm</w:t>
            </w:r>
          </w:p>
        </w:tc>
      </w:tr>
      <w:tr w14:paraId="49DCD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64B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2.9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AD7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扫描床最高位置距离地面≥950mm</w:t>
            </w:r>
          </w:p>
        </w:tc>
      </w:tr>
      <w:tr w14:paraId="33821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1A7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87A8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X线系统</w:t>
            </w:r>
          </w:p>
        </w:tc>
      </w:tr>
      <w:tr w14:paraId="3DB1E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9B5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252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高压发生器为CT整机同品牌厂商生产</w:t>
            </w:r>
          </w:p>
        </w:tc>
      </w:tr>
      <w:tr w14:paraId="6EE92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7D3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7067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高压发生器最大输出功率（非等效）≥75 kw</w:t>
            </w:r>
          </w:p>
        </w:tc>
      </w:tr>
      <w:tr w14:paraId="20880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B7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615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球管阳极热容量（非等效）≥7MHU</w:t>
            </w:r>
          </w:p>
        </w:tc>
      </w:tr>
      <w:tr w14:paraId="554F1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3447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3AFC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球管阳极最大散热率≥1700KHU/分钟</w:t>
            </w:r>
          </w:p>
        </w:tc>
      </w:tr>
      <w:tr w14:paraId="117CA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9A9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BE4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球管最小电流≤13mA</w:t>
            </w:r>
          </w:p>
        </w:tc>
      </w:tr>
      <w:tr w14:paraId="77692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1A3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26B8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最大球管电流≥625mA</w:t>
            </w:r>
          </w:p>
        </w:tc>
      </w:tr>
      <w:tr w14:paraId="0180C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ED0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9ED9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最大球管电压≥140KV</w:t>
            </w:r>
          </w:p>
        </w:tc>
      </w:tr>
      <w:tr w14:paraId="7BE93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310C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E43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最小球管电压≤80KV</w:t>
            </w:r>
          </w:p>
        </w:tc>
      </w:tr>
      <w:tr w14:paraId="3CFB80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F805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B8F0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电压调节范围≥4档</w:t>
            </w:r>
          </w:p>
        </w:tc>
      </w:tr>
      <w:tr w14:paraId="62FB0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E93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四</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549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控制台</w:t>
            </w:r>
          </w:p>
        </w:tc>
      </w:tr>
      <w:tr w14:paraId="49877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D85A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8DC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计算机</w:t>
            </w:r>
          </w:p>
        </w:tc>
      </w:tr>
      <w:tr w14:paraId="710FE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56D6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A18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硬盘容量≥1TB </w:t>
            </w:r>
          </w:p>
        </w:tc>
      </w:tr>
      <w:tr w14:paraId="29F8B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283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0C2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内存≥24GB </w:t>
            </w:r>
          </w:p>
        </w:tc>
      </w:tr>
      <w:tr w14:paraId="0146B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93B5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D2CE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硬盘存储容量（512*512）≥750000幅</w:t>
            </w:r>
          </w:p>
        </w:tc>
      </w:tr>
      <w:tr w14:paraId="4201E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6749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9954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显示距阵≥1024×1024 </w:t>
            </w:r>
          </w:p>
        </w:tc>
      </w:tr>
      <w:tr w14:paraId="07058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9B8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A905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重建矩阵≥512×512 </w:t>
            </w:r>
          </w:p>
        </w:tc>
      </w:tr>
      <w:tr w14:paraId="6F832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005B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4.1.6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9DF9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1024重建矩阵图像可以传输到医生工作站和TPS用于靶区勾画和剂量计算</w:t>
            </w:r>
          </w:p>
        </w:tc>
      </w:tr>
      <w:tr w14:paraId="597BE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048C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6EC2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彩色显示器≥24英寸，≥2台</w:t>
            </w:r>
          </w:p>
        </w:tc>
      </w:tr>
      <w:tr w14:paraId="645CA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0B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97A9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在主操作台上独立完成3D、MPR、CTA等所有应用功能</w:t>
            </w:r>
          </w:p>
        </w:tc>
      </w:tr>
      <w:tr w14:paraId="39FC7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20A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80C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乳腺扫描时可用的最大有效显示视野EFOV≥80cm</w:t>
            </w:r>
          </w:p>
        </w:tc>
      </w:tr>
      <w:tr w14:paraId="3D22D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3CA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3A48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盆腔扫描时可用的最大有效显示视野EFOV≥80cm</w:t>
            </w:r>
          </w:p>
        </w:tc>
      </w:tr>
      <w:tr w14:paraId="361CB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DC1F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510F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同步并行处理功能：扫描、重建、显示、存储、打印等操作可同步进行</w:t>
            </w:r>
          </w:p>
        </w:tc>
      </w:tr>
      <w:tr w14:paraId="42053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A7C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897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可以独立完成MPR、SSD、MIP,三维容积等重建功能</w:t>
            </w:r>
          </w:p>
        </w:tc>
      </w:tr>
      <w:tr w14:paraId="677AC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C332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DEB3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自动病人呼吸屏气辅助控制系统，双向语音传输</w:t>
            </w:r>
          </w:p>
        </w:tc>
      </w:tr>
      <w:tr w14:paraId="2CC5A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DEB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77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并行重建功能：并行处理多种模式的图像的重建与重组，可以在一个扫描方案中预置和完成不同算法的重建任务</w:t>
            </w:r>
          </w:p>
        </w:tc>
      </w:tr>
      <w:tr w14:paraId="7FBA2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22C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五</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CDF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扫描参数</w:t>
            </w:r>
          </w:p>
        </w:tc>
      </w:tr>
      <w:tr w14:paraId="7D408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A835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2DDA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快扫描速度≤0.5sec/360° </w:t>
            </w:r>
          </w:p>
        </w:tc>
      </w:tr>
      <w:tr w14:paraId="08EFF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FF0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9E4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最薄螺旋扫描层厚≤0.625mm</w:t>
            </w:r>
          </w:p>
        </w:tc>
      </w:tr>
      <w:tr w14:paraId="5E2FC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DAF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E4DE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图像重建速度≥30幅/秒（512X512矩阵）</w:t>
            </w:r>
          </w:p>
        </w:tc>
      </w:tr>
      <w:tr w14:paraId="10B3E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BD3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2740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最大真实扫描视野(SFOV)≥60cm</w:t>
            </w:r>
          </w:p>
        </w:tc>
      </w:tr>
      <w:tr w14:paraId="3B732F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2826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36F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最大显示（扩展）视野(EFOV)≥80cm</w:t>
            </w:r>
          </w:p>
        </w:tc>
      </w:tr>
      <w:tr w14:paraId="74A68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0B3D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59F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最小螺距≤ 0.04</w:t>
            </w:r>
          </w:p>
        </w:tc>
      </w:tr>
      <w:tr w14:paraId="253E8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1965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70A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最大螺距≥1.5</w:t>
            </w:r>
          </w:p>
        </w:tc>
      </w:tr>
      <w:tr w14:paraId="4E531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27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137F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图像重建矩阵≥1024×1024</w:t>
            </w:r>
          </w:p>
        </w:tc>
      </w:tr>
      <w:tr w14:paraId="2E7B7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63F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8617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单次螺旋连续扫描时间≥120秒</w:t>
            </w:r>
          </w:p>
        </w:tc>
      </w:tr>
      <w:tr w14:paraId="5AA7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DBC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5.10 </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7068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提供快速扫描协议集成方案</w:t>
            </w:r>
          </w:p>
        </w:tc>
      </w:tr>
      <w:tr w14:paraId="5BF17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D954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607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肺部等组织结构的范围自动识别</w:t>
            </w:r>
          </w:p>
        </w:tc>
      </w:tr>
      <w:tr w14:paraId="0BC538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334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5.12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CE2D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自动曝光控制功能</w:t>
            </w:r>
          </w:p>
        </w:tc>
      </w:tr>
      <w:tr w14:paraId="67F97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0F7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六</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16AE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4D-CT扫描及4D图像重建功能</w:t>
            </w:r>
          </w:p>
        </w:tc>
      </w:tr>
      <w:tr w14:paraId="2EDBA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0E26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88B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具备电影扫描模式实现高清4D扫描</w:t>
            </w:r>
          </w:p>
        </w:tc>
      </w:tr>
      <w:tr w14:paraId="46DEA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C98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B0A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具备呼吸门控设备接口（可兼容包括Anzai，RGSC,RPM,C-Rad等主流呼吸门控设备）、光学体表追踪系统设备接口</w:t>
            </w:r>
          </w:p>
        </w:tc>
      </w:tr>
      <w:tr w14:paraId="3329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04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5EC5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主机处理并重建4D图像功能</w:t>
            </w:r>
          </w:p>
        </w:tc>
      </w:tr>
      <w:tr w14:paraId="33AAE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3CB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BA61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4D 呼吸运动电影显示</w:t>
            </w:r>
          </w:p>
        </w:tc>
      </w:tr>
      <w:tr w14:paraId="67644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B1AC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6.5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D46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4D图像可传输至其他厂家勾画靶区的软件系统</w:t>
            </w:r>
          </w:p>
        </w:tc>
      </w:tr>
      <w:tr w14:paraId="761D0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24253">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七</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F09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图像质量</w:t>
            </w:r>
          </w:p>
        </w:tc>
      </w:tr>
      <w:tr w14:paraId="1FBD7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9CAB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93C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空间分辨率(10%MTF)≥13.9 LP/cm</w:t>
            </w:r>
          </w:p>
        </w:tc>
      </w:tr>
      <w:tr w14:paraId="3A9C0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709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1E9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空间分辨率(50%MTF)≥9.6LP/cm</w:t>
            </w:r>
          </w:p>
        </w:tc>
      </w:tr>
      <w:tr w14:paraId="1B622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354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7.3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99A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低密度分辨率≤5mm @0.3%</w:t>
            </w:r>
          </w:p>
        </w:tc>
      </w:tr>
      <w:tr w14:paraId="41C1E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4D8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八</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1B7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临床应用软件</w:t>
            </w:r>
          </w:p>
        </w:tc>
      </w:tr>
      <w:tr w14:paraId="26269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73B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E233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MPR，曲面重建MPR (Curved MPR)</w:t>
            </w:r>
          </w:p>
        </w:tc>
      </w:tr>
      <w:tr w14:paraId="0447B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0DA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5E36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三维（3D、SSD）软件</w:t>
            </w:r>
          </w:p>
        </w:tc>
      </w:tr>
      <w:tr w14:paraId="747CC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E4B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68C8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最大及最小密度投影(MIP, MinP)</w:t>
            </w:r>
          </w:p>
        </w:tc>
      </w:tr>
      <w:tr w14:paraId="4293D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5FD6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9E19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实时三维软件</w:t>
            </w:r>
          </w:p>
        </w:tc>
      </w:tr>
      <w:tr w14:paraId="11751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4CDC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F1F3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动态剂量调制</w:t>
            </w:r>
          </w:p>
        </w:tc>
      </w:tr>
      <w:tr w14:paraId="478D7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7F0E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1E0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三维容积测量评估功能（可用于出血量的评估；小结节容积，密度与内部结构的评估）</w:t>
            </w:r>
          </w:p>
        </w:tc>
      </w:tr>
      <w:tr w14:paraId="3895B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2D4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CAC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三维容积漫游软件和组织器官的彩色容积重建与显示(VRT)</w:t>
            </w:r>
          </w:p>
        </w:tc>
      </w:tr>
      <w:tr w14:paraId="48FDD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90E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E6CB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容积透明重建功能（用于肺和支气管，骨骼系统的显示）</w:t>
            </w:r>
          </w:p>
        </w:tc>
      </w:tr>
      <w:tr w14:paraId="3B128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48F5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9D77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造影剂自动跟踪软件（在血管内造影剂浓度达到设定值后自动触发个体化增强扫描。）</w:t>
            </w:r>
          </w:p>
        </w:tc>
      </w:tr>
      <w:tr w14:paraId="42340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D0A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▲8.10 </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86BC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儿童低剂量成像软件和扫描序列</w:t>
            </w:r>
          </w:p>
        </w:tc>
      </w:tr>
      <w:tr w14:paraId="4706F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DFD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93B3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自动毫安选择功能</w:t>
            </w:r>
          </w:p>
        </w:tc>
      </w:tr>
      <w:tr w14:paraId="2BDBC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44E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537E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自动层面相关显示</w:t>
            </w:r>
          </w:p>
        </w:tc>
      </w:tr>
      <w:tr w14:paraId="24E21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22A46">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8.13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C47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rPr>
              <w:t>提供截止投标时间，所投产品型号最新的高级迭代重建技术（提供承诺函）</w:t>
            </w:r>
          </w:p>
        </w:tc>
      </w:tr>
      <w:tr w14:paraId="0C52E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6AE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九</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30B9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模拟定位功能</w:t>
            </w:r>
          </w:p>
        </w:tc>
      </w:tr>
      <w:tr w14:paraId="1CC28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CA0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A78A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手动轮廓勾画，可以利用点对点的自动密度梯度跟踪方法进行勾画，具备传统击点连线法，手动连续画法,二维画法，三维画法，层与层之间拷贝轮廓，在照射野角部设置标记</w:t>
            </w:r>
          </w:p>
        </w:tc>
      </w:tr>
      <w:tr w14:paraId="1D692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8F57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42A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自动识别器官几何等中心，手动设置等中心，设计多叶光栅</w:t>
            </w:r>
          </w:p>
        </w:tc>
      </w:tr>
      <w:tr w14:paraId="27F87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18EB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013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可在任意角度产生DRR图像，DRR重建矩阵不小于CT矩阵(≥512×512)</w:t>
            </w:r>
          </w:p>
        </w:tc>
      </w:tr>
      <w:tr w14:paraId="388E8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2742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23F5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DRR视图应同时包含BEV，同时在DRR上可显示靶区及其他组织，照射野大小形状及档块等</w:t>
            </w:r>
          </w:p>
        </w:tc>
      </w:tr>
      <w:tr w14:paraId="1BF10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A939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FB67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DRR的射线能量可由用户设定</w:t>
            </w:r>
          </w:p>
        </w:tc>
      </w:tr>
      <w:tr w14:paraId="7ADD7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9926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BA082">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提供病人摆位，固定，参考点，体表标记，假体模型，DRR胶片输出等功能</w:t>
            </w:r>
          </w:p>
        </w:tc>
      </w:tr>
      <w:tr w14:paraId="7A6CB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C4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9.7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BE2D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完整的轮廓勾画虚拟X光透视图像和虚拟模拟</w:t>
            </w:r>
          </w:p>
        </w:tc>
      </w:tr>
      <w:tr w14:paraId="1E1F2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FCD2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十</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53A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Dicom 3.0 接口，要求能实现DICOM图像的导入和导出及其它所有DICOM服务</w:t>
            </w:r>
          </w:p>
        </w:tc>
      </w:tr>
      <w:tr w14:paraId="4466C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ABBDA">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十一</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12237">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质控模体</w:t>
            </w:r>
          </w:p>
        </w:tc>
      </w:tr>
      <w:tr w14:paraId="7A96A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9DCC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0CE1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提供CT模拟定位设备校准专用模体</w:t>
            </w:r>
          </w:p>
        </w:tc>
      </w:tr>
      <w:tr w14:paraId="11817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8E637">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52C79">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可校准CT值准确性</w:t>
            </w:r>
          </w:p>
        </w:tc>
      </w:tr>
      <w:tr w14:paraId="3557D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AB48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E48E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可完成均匀性、噪声、层厚质控</w:t>
            </w:r>
          </w:p>
        </w:tc>
      </w:tr>
      <w:tr w14:paraId="6536B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9B01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11.4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891C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提供CT质控软件，并可自动生成检测报告</w:t>
            </w:r>
          </w:p>
        </w:tc>
      </w:tr>
      <w:tr w14:paraId="1E7D3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75B62">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★十二</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4718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必须配套的附属设备设施（提供承诺书）</w:t>
            </w:r>
          </w:p>
        </w:tc>
      </w:tr>
      <w:tr w14:paraId="09545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76E48">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96B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模拟定位CT系统含（机架、探测器、高压发生器、球管等）1套</w:t>
            </w:r>
          </w:p>
        </w:tc>
      </w:tr>
      <w:tr w14:paraId="3C4A1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1FB1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D5F6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检查床1张</w:t>
            </w:r>
          </w:p>
        </w:tc>
      </w:tr>
      <w:tr w14:paraId="48FE8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2288B">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065E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平板定位床1张</w:t>
            </w:r>
          </w:p>
        </w:tc>
      </w:tr>
      <w:tr w14:paraId="6BD1A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C314">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882C">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计算机系统1套</w:t>
            </w:r>
          </w:p>
        </w:tc>
      </w:tr>
      <w:tr w14:paraId="67D81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7BF1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8EE63">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成人铅衣套装(至少包含帽子、眼镜、围脖、背心、围裙、连体衣、手套)3套</w:t>
            </w:r>
          </w:p>
        </w:tc>
      </w:tr>
      <w:tr w14:paraId="6591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A4F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1E5C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CT标准质控模体1套</w:t>
            </w:r>
          </w:p>
        </w:tc>
      </w:tr>
      <w:tr w14:paraId="56ED7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0137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CBE9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适用于大孔径CT的无针筒高压注射器1套</w:t>
            </w:r>
          </w:p>
        </w:tc>
      </w:tr>
      <w:tr w14:paraId="34266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15BCD">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B5C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光学体表追踪系统（光学体表定位系统）1套，含CT端和直线加速器端</w:t>
            </w:r>
          </w:p>
        </w:tc>
      </w:tr>
      <w:tr w14:paraId="5DFF1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57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12.9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3720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激光灯绿光1套</w:t>
            </w:r>
          </w:p>
        </w:tc>
      </w:tr>
      <w:tr w14:paraId="77A46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8171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12.10 </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DE22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调强剂量验证系统1套</w:t>
            </w:r>
          </w:p>
        </w:tc>
      </w:tr>
      <w:tr w14:paraId="7F0AE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5373">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★十三</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6BFD">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售后服务（提供承诺书）</w:t>
            </w:r>
          </w:p>
        </w:tc>
      </w:tr>
      <w:tr w14:paraId="0BD08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1134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B951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免费保修期结束后，如中标供应商继续参与设备维保，全保修（含球管、高压发生器、探测器等高值器件耗材）费用为中标价格≤8%/每年。</w:t>
            </w:r>
          </w:p>
        </w:tc>
      </w:tr>
      <w:tr w14:paraId="65EEC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95A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9B3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维修工程师：国内有专职的CT设备维修工程师（请提供详细名录和通讯方式）。</w:t>
            </w:r>
          </w:p>
        </w:tc>
      </w:tr>
      <w:tr w14:paraId="30B27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4E939">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ED9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配件仓库：国内有固定的配件仓库（请提供详细地址和通讯方式及其仓储的配件价值）。</w:t>
            </w:r>
          </w:p>
        </w:tc>
      </w:tr>
      <w:tr w14:paraId="1208D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1CE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0AC2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电话维修系统：国内有800、400免费电话维修系统。</w:t>
            </w:r>
          </w:p>
        </w:tc>
      </w:tr>
      <w:tr w14:paraId="4E932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FE3E2">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8FBB8">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远程维修诊断系统：提供远程维修中心的详细地址。</w:t>
            </w:r>
          </w:p>
        </w:tc>
      </w:tr>
      <w:tr w14:paraId="16534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EF10">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13.6</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A110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维修响应速度：1小时内作出维修方案决定；如2小时内无法通过电话解决问题，维修人员必须在接到故障报告后24小时内到达医院，不管是否节假日。</w:t>
            </w:r>
          </w:p>
        </w:tc>
      </w:tr>
      <w:tr w14:paraId="6E1C7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A1B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13.7</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F99BE">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保修期内的开机率，保证开机率≥95%（按工作日计算）</w:t>
            </w:r>
          </w:p>
        </w:tc>
      </w:tr>
      <w:tr w14:paraId="09559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AC21">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13.8</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7AE06">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rPr>
              <w:t>整机全免费保修期（无免责条款的整机所有部件、配件、配套附属设备（包括第三方配套））≥3年（自验收合格双方签字之日起计算），终身维修。保修期内一年至少提供四次巡检。免费保修期内遇有故障停机，每停机1天，免费保修期将顺延5天。保修期内每年免费提供一次设备的质量检测及检测报告（由国家授权的检测机构进行）。</w:t>
            </w:r>
          </w:p>
        </w:tc>
      </w:tr>
      <w:tr w14:paraId="215A3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C539C">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13.9</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DA24">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提供本次旧设备拆机、移机等服务，由中标供应商负责相关费用。</w:t>
            </w:r>
          </w:p>
        </w:tc>
      </w:tr>
      <w:tr w14:paraId="7A27E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27F35">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 xml:space="preserve">13.10 </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0796F">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本项目为整体性交钥匙工程。中标供应商负责在医院提供的房间场地条件下，完成包括但不限于场地评估、机房承重加固、机房建设（包括机房屏蔽设施建设、机房和操作间整体装修、提供机房电缆及铺设、机房空调及安装等），以及负责医院办理项目涉及的环境影响评价、职业病危害预评价和职业病危害控制评价等国家法规要求办理的相关手续（达到安装要求，交钥匙给科室直接使用的标准，同时通过有资质检测公司的检测，检测合格后并出具设备及机房检测报告)。所有建设费用由中标供应商负责，医院相关部门协助完成建设。</w:t>
            </w:r>
          </w:p>
        </w:tc>
      </w:tr>
      <w:tr w14:paraId="1384B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9F2F">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13.11</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FC40A">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提供备件送达期限：国内＜2天，国外＜4天。设备停产后的备件供应：保证十年（提供生产厂家盖章的承诺函）。</w:t>
            </w:r>
          </w:p>
        </w:tc>
      </w:tr>
      <w:tr w14:paraId="78376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AF0FA">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13.12</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4D7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全面负责设备的安装和调试。</w:t>
            </w:r>
          </w:p>
        </w:tc>
      </w:tr>
      <w:tr w14:paraId="57B3D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B3BF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13.13</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72D5">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有特殊检查工作要求时厂家需提供原厂工程师进行现场保障工作。</w:t>
            </w:r>
          </w:p>
        </w:tc>
      </w:tr>
      <w:tr w14:paraId="546D4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5DD1">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13.14</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592AB">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3名人员到国内三甲医院进行为期三个月的学习培训。中标供应商负责所有费用。</w:t>
            </w:r>
          </w:p>
        </w:tc>
      </w:tr>
      <w:tr w14:paraId="3C428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0C389">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13.15</w:t>
            </w:r>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5F930">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负责设备（含软件及相关服务）与使用医院网络端口链接的相关安装及费用。</w:t>
            </w:r>
          </w:p>
        </w:tc>
      </w:tr>
      <w:tr w14:paraId="1A8D1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1" w:hRule="atLeast"/>
        </w:trPr>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C0BA4">
            <w:pPr>
              <w:keepNext w:val="0"/>
              <w:keepLines w:val="0"/>
              <w:widowControl/>
              <w:suppressLineNumbers w:val="0"/>
              <w:jc w:val="center"/>
              <w:textAlignment w:val="center"/>
              <w:rPr>
                <w:rFonts w:hint="default" w:ascii="宋体" w:hAnsi="宋体" w:eastAsia="宋体" w:cs="宋体"/>
                <w:i w:val="0"/>
                <w:iCs w:val="0"/>
                <w:color w:val="auto"/>
                <w:sz w:val="24"/>
                <w:szCs w:val="24"/>
                <w:u w:val="none"/>
                <w:lang w:val="en-US"/>
              </w:rPr>
            </w:pPr>
            <w:r>
              <w:rPr>
                <w:rFonts w:hint="eastAsia" w:ascii="宋体" w:hAnsi="宋体" w:eastAsia="宋体" w:cs="宋体"/>
                <w:i w:val="0"/>
                <w:iCs w:val="0"/>
                <w:color w:val="auto"/>
                <w:kern w:val="0"/>
                <w:sz w:val="24"/>
                <w:szCs w:val="24"/>
                <w:u w:val="none"/>
                <w:lang w:val="en-US" w:eastAsia="zh-CN" w:bidi="ar"/>
              </w:rPr>
              <w:t>13.16</w:t>
            </w:r>
            <w:bookmarkStart w:id="0" w:name="_GoBack"/>
            <w:bookmarkEnd w:id="0"/>
          </w:p>
        </w:tc>
        <w:tc>
          <w:tcPr>
            <w:tcW w:w="6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3151">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设备在保修期内提供平台、软件免费升级（含平台、软件升级涉及的硬件等），科研软件免费使用及升级；且保修期内所有临床、科研软件免费使用并升级到最新版本。</w:t>
            </w:r>
          </w:p>
        </w:tc>
      </w:tr>
    </w:tbl>
    <w:p w14:paraId="38A24B91">
      <w:pPr>
        <w:spacing w:line="360" w:lineRule="auto"/>
        <w:jc w:val="both"/>
        <w:rPr>
          <w:rFonts w:hint="eastAsia" w:asciiTheme="minorEastAsia" w:hAnsiTheme="minorEastAsia" w:eastAsiaTheme="minorEastAsia" w:cstheme="minorEastAsia"/>
          <w:b/>
          <w:bCs/>
          <w:szCs w:val="28"/>
          <w:lang w:val="en-US" w:eastAsia="zh-CN"/>
        </w:rPr>
      </w:pPr>
    </w:p>
    <w:p w14:paraId="2A0DAE29">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000000"/>
          <w:kern w:val="0"/>
          <w:sz w:val="28"/>
          <w:szCs w:val="28"/>
          <w:lang w:val="en-US" w:eastAsia="zh-CN" w:bidi="ar"/>
        </w:rPr>
      </w:pPr>
      <w:r>
        <w:rPr>
          <w:rFonts w:hint="eastAsia" w:ascii="宋体" w:hAnsi="宋体" w:cs="宋体"/>
          <w:b/>
          <w:bCs/>
          <w:color w:val="000000"/>
          <w:kern w:val="0"/>
          <w:sz w:val="28"/>
          <w:szCs w:val="28"/>
          <w:lang w:val="en-US" w:eastAsia="zh-CN" w:bidi="ar"/>
        </w:rPr>
        <w:t>其他要求</w:t>
      </w:r>
    </w:p>
    <w:p w14:paraId="4E968D08">
      <w:pPr>
        <w:pStyle w:val="6"/>
        <w:numPr>
          <w:ilvl w:val="0"/>
          <w:numId w:val="0"/>
        </w:num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1、付款方式</w:t>
      </w:r>
    </w:p>
    <w:p w14:paraId="2921CC8B">
      <w:pPr>
        <w:keepNext w:val="0"/>
        <w:keepLines w:val="0"/>
        <w:pageBreakBefore w:val="0"/>
        <w:kinsoku/>
        <w:wordWrap/>
        <w:overflowPunct/>
        <w:topLinePunct w:val="0"/>
        <w:autoSpaceDE/>
        <w:autoSpaceDN/>
        <w:bidi w:val="0"/>
        <w:adjustRightInd/>
        <w:snapToGrid w:val="0"/>
        <w:spacing w:line="360" w:lineRule="auto"/>
        <w:ind w:firstLine="481"/>
        <w:rPr>
          <w:rStyle w:val="19"/>
          <w:rFonts w:hint="eastAsia" w:ascii="宋体" w:hAnsi="宋体" w:eastAsia="宋体" w:cs="宋体"/>
          <w:sz w:val="24"/>
          <w:szCs w:val="24"/>
          <w:lang w:val="en-US" w:eastAsia="zh-CN"/>
        </w:rPr>
      </w:pPr>
      <w:r>
        <w:rPr>
          <w:rStyle w:val="19"/>
          <w:rFonts w:hint="eastAsia" w:ascii="宋体" w:hAnsi="宋体" w:eastAsia="宋体" w:cs="宋体"/>
          <w:sz w:val="24"/>
          <w:szCs w:val="24"/>
          <w:lang w:val="en-US" w:eastAsia="zh-CN"/>
        </w:rPr>
        <w:t>（1）合同签订后,甲方向乙方支付合同总价款30%的预付款；</w:t>
      </w:r>
    </w:p>
    <w:p w14:paraId="3596AC3B">
      <w:pPr>
        <w:keepNext w:val="0"/>
        <w:keepLines w:val="0"/>
        <w:pageBreakBefore w:val="0"/>
        <w:kinsoku/>
        <w:wordWrap/>
        <w:overflowPunct/>
        <w:topLinePunct w:val="0"/>
        <w:autoSpaceDE/>
        <w:autoSpaceDN/>
        <w:bidi w:val="0"/>
        <w:adjustRightInd/>
        <w:snapToGrid w:val="0"/>
        <w:spacing w:line="360" w:lineRule="auto"/>
        <w:ind w:firstLine="481"/>
        <w:rPr>
          <w:rStyle w:val="19"/>
          <w:rFonts w:hint="default" w:ascii="宋体" w:hAnsi="宋体" w:eastAsia="宋体" w:cs="宋体"/>
          <w:kern w:val="2"/>
          <w:sz w:val="24"/>
          <w:szCs w:val="24"/>
          <w:lang w:val="en-US" w:eastAsia="zh-CN" w:bidi="ar-SA"/>
        </w:rPr>
      </w:pPr>
      <w:r>
        <w:rPr>
          <w:rStyle w:val="19"/>
          <w:rFonts w:hint="eastAsia" w:ascii="宋体" w:hAnsi="宋体" w:eastAsia="宋体" w:cs="宋体"/>
          <w:sz w:val="24"/>
          <w:szCs w:val="24"/>
          <w:lang w:val="en-US" w:eastAsia="zh-CN"/>
        </w:rPr>
        <w:t>（2）乙方收到预付款两周内向甲方提交合同总价款40%的银行保函原件（银行保函需可提供线上查询或在海南本地银行开具；期限一年，若设备在一年内未能通过验收，乙方应无条件将保函时间延长至设备通过验收为止），法定期限内甲方向乙方支付合同总价款的40%；</w:t>
      </w:r>
      <w:r>
        <w:rPr>
          <w:rFonts w:hint="eastAsia"/>
          <w:lang w:val="en-US" w:eastAsia="zh-CN"/>
        </w:rPr>
        <w:t xml:space="preserve"> </w:t>
      </w:r>
    </w:p>
    <w:p w14:paraId="436F6465">
      <w:pPr>
        <w:keepNext w:val="0"/>
        <w:keepLines w:val="0"/>
        <w:pageBreakBefore w:val="0"/>
        <w:kinsoku/>
        <w:wordWrap/>
        <w:overflowPunct/>
        <w:topLinePunct w:val="0"/>
        <w:autoSpaceDE/>
        <w:autoSpaceDN/>
        <w:bidi w:val="0"/>
        <w:adjustRightInd/>
        <w:snapToGrid w:val="0"/>
        <w:spacing w:line="360" w:lineRule="auto"/>
        <w:ind w:firstLine="481"/>
        <w:rPr>
          <w:rStyle w:val="19"/>
          <w:rFonts w:hint="eastAsia" w:ascii="宋体" w:hAnsi="宋体" w:eastAsia="宋体" w:cs="宋体"/>
          <w:sz w:val="24"/>
          <w:szCs w:val="24"/>
          <w:lang w:val="en-US" w:eastAsia="zh-CN"/>
        </w:rPr>
      </w:pPr>
      <w:r>
        <w:rPr>
          <w:rStyle w:val="19"/>
          <w:rFonts w:hint="eastAsia" w:ascii="宋体" w:hAnsi="宋体" w:eastAsia="宋体" w:cs="宋体"/>
          <w:sz w:val="24"/>
          <w:szCs w:val="24"/>
          <w:lang w:val="en-US" w:eastAsia="zh-CN"/>
        </w:rPr>
        <w:t>（3）设备到货、安装调试培训结束，并通过正式验收合格后，乙方凭合法、有效的增值税发票、验收合格单、合同总价款5%的银行保函原件（银行保函需可提供线上查询或在海南本地银行开具，期限：在保修期基础上延长三个月）及合同等相关凭证，甲方退还合同总价款40%的银行保函原件，法定期限内甲方向乙方支付合同总价款30%；</w:t>
      </w:r>
    </w:p>
    <w:p w14:paraId="5103D195">
      <w:pPr>
        <w:keepNext w:val="0"/>
        <w:keepLines w:val="0"/>
        <w:pageBreakBefore w:val="0"/>
        <w:kinsoku/>
        <w:wordWrap/>
        <w:overflowPunct/>
        <w:topLinePunct w:val="0"/>
        <w:autoSpaceDE/>
        <w:autoSpaceDN/>
        <w:bidi w:val="0"/>
        <w:adjustRightInd/>
        <w:snapToGrid w:val="0"/>
        <w:spacing w:line="360" w:lineRule="auto"/>
        <w:ind w:firstLine="481"/>
        <w:rPr>
          <w:rStyle w:val="19"/>
          <w:rFonts w:hint="eastAsia" w:ascii="宋体" w:hAnsi="宋体" w:eastAsia="宋体" w:cs="宋体"/>
          <w:sz w:val="24"/>
          <w:szCs w:val="24"/>
          <w:lang w:val="en-US" w:eastAsia="zh-CN"/>
        </w:rPr>
      </w:pPr>
      <w:r>
        <w:rPr>
          <w:rStyle w:val="19"/>
          <w:rFonts w:hint="eastAsia" w:ascii="宋体" w:hAnsi="宋体" w:eastAsia="宋体" w:cs="宋体"/>
          <w:sz w:val="24"/>
          <w:szCs w:val="24"/>
          <w:lang w:val="en-US" w:eastAsia="zh-CN"/>
        </w:rPr>
        <w:t>（4）设备自验收合格之日起一年后，经确认乙方所提供设备无任何产品质量、售后问题，甲方将合同总价款5%的银行保函原件退还给乙方。</w:t>
      </w:r>
    </w:p>
    <w:p w14:paraId="1870B653">
      <w:pPr>
        <w:numPr>
          <w:ilvl w:val="0"/>
          <w:numId w:val="3"/>
        </w:numPr>
        <w:bidi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运输</w:t>
      </w:r>
    </w:p>
    <w:p w14:paraId="1644B15B">
      <w:pPr>
        <w:keepNext w:val="0"/>
        <w:keepLines w:val="0"/>
        <w:pageBreakBefore w:val="0"/>
        <w:kinsoku/>
        <w:wordWrap/>
        <w:overflowPunct/>
        <w:topLinePunct w:val="0"/>
        <w:autoSpaceDE/>
        <w:autoSpaceDN/>
        <w:bidi w:val="0"/>
        <w:adjustRightInd/>
        <w:snapToGrid w:val="0"/>
        <w:spacing w:line="336" w:lineRule="auto"/>
        <w:ind w:firstLine="480" w:firstLineChars="200"/>
        <w:rPr>
          <w:rStyle w:val="19"/>
          <w:rFonts w:hint="eastAsia" w:ascii="宋体" w:hAnsi="宋体" w:eastAsia="宋体" w:cs="宋体"/>
          <w:sz w:val="24"/>
          <w:szCs w:val="24"/>
        </w:rPr>
      </w:pPr>
      <w:r>
        <w:rPr>
          <w:rStyle w:val="19"/>
          <w:rFonts w:hint="eastAsia" w:ascii="宋体" w:hAnsi="宋体" w:eastAsia="宋体" w:cs="宋体"/>
          <w:sz w:val="24"/>
          <w:szCs w:val="24"/>
          <w:lang w:val="en-US" w:eastAsia="zh-CN"/>
        </w:rPr>
        <w:t>（1）</w:t>
      </w:r>
      <w:r>
        <w:rPr>
          <w:rStyle w:val="19"/>
          <w:rFonts w:hint="eastAsia" w:ascii="宋体" w:hAnsi="宋体" w:eastAsia="宋体" w:cs="宋体"/>
          <w:sz w:val="24"/>
          <w:szCs w:val="24"/>
        </w:rPr>
        <w:t>运输方式：乙方应选择最适合于保护货物的运输方式进行运输。如甲方对运输方式有特别要求，乙方应按甲方要求运输。</w:t>
      </w:r>
    </w:p>
    <w:p w14:paraId="1D5B3361">
      <w:pPr>
        <w:keepNext w:val="0"/>
        <w:keepLines w:val="0"/>
        <w:pageBreakBefore w:val="0"/>
        <w:kinsoku/>
        <w:wordWrap/>
        <w:overflowPunct/>
        <w:topLinePunct w:val="0"/>
        <w:autoSpaceDE/>
        <w:autoSpaceDN/>
        <w:bidi w:val="0"/>
        <w:adjustRightInd/>
        <w:snapToGrid w:val="0"/>
        <w:spacing w:line="336" w:lineRule="auto"/>
        <w:ind w:firstLine="480" w:firstLineChars="200"/>
        <w:rPr>
          <w:rStyle w:val="19"/>
          <w:rFonts w:hint="eastAsia" w:ascii="宋体" w:hAnsi="宋体" w:eastAsia="宋体" w:cs="宋体"/>
          <w:sz w:val="24"/>
          <w:szCs w:val="24"/>
        </w:rPr>
      </w:pPr>
      <w:r>
        <w:rPr>
          <w:rStyle w:val="19"/>
          <w:rFonts w:hint="eastAsia" w:ascii="宋体" w:hAnsi="宋体" w:eastAsia="宋体" w:cs="宋体"/>
          <w:sz w:val="24"/>
          <w:szCs w:val="24"/>
          <w:lang w:eastAsia="zh-CN"/>
        </w:rPr>
        <w:t>（</w:t>
      </w:r>
      <w:r>
        <w:rPr>
          <w:rStyle w:val="19"/>
          <w:rFonts w:hint="eastAsia" w:ascii="宋体" w:hAnsi="宋体" w:eastAsia="宋体" w:cs="宋体"/>
          <w:sz w:val="24"/>
          <w:szCs w:val="24"/>
          <w:lang w:val="en-US" w:eastAsia="zh-CN"/>
        </w:rPr>
        <w:t>2</w:t>
      </w:r>
      <w:r>
        <w:rPr>
          <w:rStyle w:val="19"/>
          <w:rFonts w:hint="eastAsia" w:ascii="宋体" w:hAnsi="宋体" w:eastAsia="宋体" w:cs="宋体"/>
          <w:sz w:val="24"/>
          <w:szCs w:val="24"/>
          <w:lang w:eastAsia="zh-CN"/>
        </w:rPr>
        <w:t>）</w:t>
      </w:r>
      <w:r>
        <w:rPr>
          <w:rStyle w:val="19"/>
          <w:rFonts w:hint="eastAsia" w:ascii="宋体" w:hAnsi="宋体" w:eastAsia="宋体" w:cs="宋体"/>
          <w:sz w:val="24"/>
          <w:szCs w:val="24"/>
        </w:rPr>
        <w:t>运费承担：运输到交货地点的运输费用由乙方自行承担；合同另有约定的除外。</w:t>
      </w:r>
    </w:p>
    <w:p w14:paraId="33F7E13E">
      <w:pPr>
        <w:keepNext w:val="0"/>
        <w:keepLines w:val="0"/>
        <w:pageBreakBefore w:val="0"/>
        <w:kinsoku/>
        <w:wordWrap/>
        <w:overflowPunct/>
        <w:topLinePunct w:val="0"/>
        <w:autoSpaceDE/>
        <w:autoSpaceDN/>
        <w:bidi w:val="0"/>
        <w:adjustRightInd/>
        <w:snapToGrid w:val="0"/>
        <w:spacing w:line="336" w:lineRule="auto"/>
        <w:ind w:firstLine="480" w:firstLineChars="200"/>
        <w:rPr>
          <w:rStyle w:val="19"/>
          <w:rFonts w:hint="eastAsia" w:ascii="宋体" w:hAnsi="宋体" w:eastAsia="宋体" w:cs="宋体"/>
          <w:sz w:val="24"/>
          <w:szCs w:val="24"/>
        </w:rPr>
      </w:pPr>
      <w:r>
        <w:rPr>
          <w:rStyle w:val="19"/>
          <w:rFonts w:hint="eastAsia" w:ascii="宋体" w:hAnsi="宋体" w:eastAsia="宋体" w:cs="宋体"/>
          <w:sz w:val="24"/>
          <w:szCs w:val="24"/>
          <w:lang w:eastAsia="zh-CN"/>
        </w:rPr>
        <w:t>（</w:t>
      </w:r>
      <w:r>
        <w:rPr>
          <w:rStyle w:val="19"/>
          <w:rFonts w:hint="eastAsia" w:ascii="宋体" w:hAnsi="宋体" w:eastAsia="宋体" w:cs="宋体"/>
          <w:sz w:val="24"/>
          <w:szCs w:val="24"/>
          <w:lang w:val="en-US" w:eastAsia="zh-CN"/>
        </w:rPr>
        <w:t>3</w:t>
      </w:r>
      <w:r>
        <w:rPr>
          <w:rStyle w:val="19"/>
          <w:rFonts w:hint="eastAsia" w:ascii="宋体" w:hAnsi="宋体" w:eastAsia="宋体" w:cs="宋体"/>
          <w:sz w:val="24"/>
          <w:szCs w:val="24"/>
          <w:lang w:eastAsia="zh-CN"/>
        </w:rPr>
        <w:t>）</w:t>
      </w:r>
      <w:r>
        <w:rPr>
          <w:rStyle w:val="19"/>
          <w:rFonts w:hint="eastAsia" w:ascii="宋体" w:hAnsi="宋体" w:eastAsia="宋体" w:cs="宋体"/>
          <w:sz w:val="24"/>
          <w:szCs w:val="24"/>
        </w:rPr>
        <w:t>乙方交货地点：</w:t>
      </w:r>
      <w:r>
        <w:rPr>
          <w:rStyle w:val="19"/>
          <w:rFonts w:hint="eastAsia" w:ascii="宋体" w:hAnsi="宋体" w:eastAsia="宋体" w:cs="宋体"/>
          <w:sz w:val="24"/>
          <w:szCs w:val="24"/>
          <w:lang w:val="en-US" w:eastAsia="zh-CN"/>
        </w:rPr>
        <w:t>甲方指定地点</w:t>
      </w:r>
      <w:r>
        <w:rPr>
          <w:rStyle w:val="19"/>
          <w:rFonts w:hint="eastAsia" w:ascii="宋体" w:hAnsi="宋体" w:eastAsia="宋体" w:cs="宋体"/>
          <w:sz w:val="24"/>
          <w:szCs w:val="24"/>
        </w:rPr>
        <w:t>。</w:t>
      </w:r>
    </w:p>
    <w:p w14:paraId="062BCB2A">
      <w:pPr>
        <w:keepNext w:val="0"/>
        <w:keepLines w:val="0"/>
        <w:pageBreakBefore w:val="0"/>
        <w:kinsoku/>
        <w:wordWrap/>
        <w:overflowPunct/>
        <w:topLinePunct w:val="0"/>
        <w:autoSpaceDE/>
        <w:autoSpaceDN/>
        <w:bidi w:val="0"/>
        <w:adjustRightInd/>
        <w:snapToGrid w:val="0"/>
        <w:spacing w:line="336" w:lineRule="auto"/>
        <w:ind w:firstLine="480" w:firstLineChars="200"/>
        <w:rPr>
          <w:rStyle w:val="19"/>
          <w:rFonts w:hint="eastAsia" w:ascii="宋体" w:hAnsi="宋体" w:eastAsia="宋体" w:cs="宋体"/>
          <w:sz w:val="24"/>
          <w:szCs w:val="24"/>
        </w:rPr>
      </w:pPr>
      <w:r>
        <w:rPr>
          <w:rStyle w:val="19"/>
          <w:rFonts w:hint="eastAsia" w:ascii="宋体" w:hAnsi="宋体" w:eastAsia="宋体" w:cs="宋体"/>
          <w:sz w:val="24"/>
          <w:szCs w:val="24"/>
          <w:lang w:eastAsia="zh-CN"/>
        </w:rPr>
        <w:t>（</w:t>
      </w:r>
      <w:r>
        <w:rPr>
          <w:rStyle w:val="19"/>
          <w:rFonts w:hint="eastAsia" w:ascii="宋体" w:hAnsi="宋体" w:eastAsia="宋体" w:cs="宋体"/>
          <w:sz w:val="24"/>
          <w:szCs w:val="24"/>
          <w:lang w:val="en-US" w:eastAsia="zh-CN"/>
        </w:rPr>
        <w:t>4</w:t>
      </w:r>
      <w:r>
        <w:rPr>
          <w:rStyle w:val="19"/>
          <w:rFonts w:hint="eastAsia" w:ascii="宋体" w:hAnsi="宋体" w:eastAsia="宋体" w:cs="宋体"/>
          <w:sz w:val="24"/>
          <w:szCs w:val="24"/>
          <w:lang w:eastAsia="zh-CN"/>
        </w:rPr>
        <w:t>）</w:t>
      </w:r>
      <w:r>
        <w:rPr>
          <w:rStyle w:val="19"/>
          <w:rFonts w:hint="eastAsia" w:ascii="宋体" w:hAnsi="宋体" w:eastAsia="宋体" w:cs="宋体"/>
          <w:sz w:val="24"/>
          <w:szCs w:val="24"/>
        </w:rPr>
        <w:t>货物在途风险：货物在途风险由乙方承担。在设备安装调试完毕、通过验收并移交</w:t>
      </w:r>
      <w:r>
        <w:rPr>
          <w:rStyle w:val="19"/>
          <w:rFonts w:hint="eastAsia" w:ascii="宋体" w:hAnsi="宋体" w:eastAsia="宋体" w:cs="宋体"/>
          <w:sz w:val="24"/>
          <w:szCs w:val="24"/>
          <w:lang w:val="en-US" w:eastAsia="zh-CN"/>
        </w:rPr>
        <w:t>甲</w:t>
      </w:r>
      <w:r>
        <w:rPr>
          <w:rStyle w:val="19"/>
          <w:rFonts w:hint="eastAsia" w:ascii="宋体" w:hAnsi="宋体" w:eastAsia="宋体" w:cs="宋体"/>
          <w:sz w:val="24"/>
          <w:szCs w:val="24"/>
        </w:rPr>
        <w:t>方（即“正式交付”）之前，乙方自行负责设备的保管并承担相关费用。非因</w:t>
      </w:r>
      <w:r>
        <w:rPr>
          <w:rStyle w:val="19"/>
          <w:rFonts w:hint="eastAsia" w:ascii="宋体" w:hAnsi="宋体" w:eastAsia="宋体" w:cs="宋体"/>
          <w:sz w:val="24"/>
          <w:szCs w:val="24"/>
          <w:lang w:val="en-US" w:eastAsia="zh-CN"/>
        </w:rPr>
        <w:t>甲</w:t>
      </w:r>
      <w:r>
        <w:rPr>
          <w:rStyle w:val="19"/>
          <w:rFonts w:hint="eastAsia" w:ascii="宋体" w:hAnsi="宋体" w:eastAsia="宋体" w:cs="宋体"/>
          <w:sz w:val="24"/>
          <w:szCs w:val="24"/>
        </w:rPr>
        <w:t>方原因导致设备在乙方保护期间发生污染、损坏、失窃的，由乙方负责自行予以修复并承担相应费用</w:t>
      </w:r>
    </w:p>
    <w:p w14:paraId="38DC2267">
      <w:pPr>
        <w:numPr>
          <w:ilvl w:val="0"/>
          <w:numId w:val="3"/>
        </w:numPr>
        <w:bidi w:val="0"/>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售后服务</w:t>
      </w:r>
    </w:p>
    <w:p w14:paraId="524FB8B8">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9"/>
          <w:rFonts w:hint="eastAsia" w:ascii="宋体" w:hAnsi="宋体" w:eastAsia="宋体" w:cs="宋体"/>
          <w:sz w:val="24"/>
          <w:szCs w:val="24"/>
        </w:rPr>
      </w:pPr>
      <w:r>
        <w:rPr>
          <w:rStyle w:val="19"/>
          <w:rFonts w:hint="eastAsia" w:ascii="宋体" w:hAnsi="宋体" w:eastAsia="宋体" w:cs="宋体"/>
          <w:sz w:val="24"/>
          <w:szCs w:val="24"/>
        </w:rPr>
        <w:t>保修期从设备最终验收合格正式移交</w:t>
      </w:r>
      <w:r>
        <w:rPr>
          <w:rStyle w:val="19"/>
          <w:rFonts w:hint="eastAsia" w:ascii="宋体" w:hAnsi="宋体" w:cs="宋体"/>
          <w:sz w:val="24"/>
          <w:szCs w:val="24"/>
          <w:lang w:val="en-US" w:eastAsia="zh-CN"/>
        </w:rPr>
        <w:t>甲</w:t>
      </w:r>
      <w:r>
        <w:rPr>
          <w:rStyle w:val="19"/>
          <w:rFonts w:hint="eastAsia" w:ascii="宋体" w:hAnsi="宋体" w:eastAsia="宋体" w:cs="宋体"/>
          <w:sz w:val="24"/>
          <w:szCs w:val="24"/>
        </w:rPr>
        <w:t>方使用之日起算，保修期≥36月，由乙方负责联系设备生产厂家安排专职工程技术人员对设备负责免费维护维修（附厂家售后承诺书）。若合同第四条约定的设备使用观察期未通过，出现退换货情形的，保修期从新提供的设备通过最终验收合格正式移交</w:t>
      </w:r>
      <w:r>
        <w:rPr>
          <w:rStyle w:val="19"/>
          <w:rFonts w:hint="eastAsia" w:ascii="宋体" w:hAnsi="宋体" w:cs="宋体"/>
          <w:sz w:val="24"/>
          <w:szCs w:val="24"/>
          <w:lang w:val="en-US" w:eastAsia="zh-CN"/>
        </w:rPr>
        <w:t>甲</w:t>
      </w:r>
      <w:r>
        <w:rPr>
          <w:rStyle w:val="19"/>
          <w:rFonts w:hint="eastAsia" w:ascii="宋体" w:hAnsi="宋体" w:eastAsia="宋体" w:cs="宋体"/>
          <w:sz w:val="24"/>
          <w:szCs w:val="24"/>
        </w:rPr>
        <w:t>方使用之日起算。</w:t>
      </w:r>
    </w:p>
    <w:p w14:paraId="0F227819">
      <w:pPr>
        <w:keepNext w:val="0"/>
        <w:keepLines w:val="0"/>
        <w:pageBreakBefore w:val="0"/>
        <w:kinsoku/>
        <w:wordWrap/>
        <w:overflowPunct/>
        <w:topLinePunct w:val="0"/>
        <w:autoSpaceDE/>
        <w:autoSpaceDN/>
        <w:bidi w:val="0"/>
        <w:adjustRightInd/>
        <w:snapToGrid w:val="0"/>
        <w:spacing w:line="336" w:lineRule="auto"/>
        <w:ind w:firstLine="480"/>
        <w:rPr>
          <w:rStyle w:val="19"/>
          <w:rFonts w:hint="eastAsia" w:ascii="宋体" w:hAnsi="宋体" w:eastAsia="宋体" w:cs="宋体"/>
          <w:sz w:val="24"/>
          <w:szCs w:val="24"/>
        </w:rPr>
      </w:pPr>
      <w:r>
        <w:rPr>
          <w:rStyle w:val="19"/>
          <w:rFonts w:hint="eastAsia" w:ascii="宋体" w:hAnsi="宋体" w:eastAsia="宋体" w:cs="宋体"/>
          <w:sz w:val="24"/>
          <w:szCs w:val="24"/>
        </w:rPr>
        <w:t>（</w:t>
      </w:r>
      <w:r>
        <w:rPr>
          <w:rStyle w:val="19"/>
          <w:rFonts w:hint="eastAsia" w:ascii="宋体" w:hAnsi="宋体" w:eastAsia="宋体" w:cs="宋体"/>
          <w:sz w:val="24"/>
          <w:szCs w:val="24"/>
          <w:lang w:val="en-US" w:eastAsia="zh-CN"/>
        </w:rPr>
        <w:t>2</w:t>
      </w:r>
      <w:r>
        <w:rPr>
          <w:rStyle w:val="19"/>
          <w:rFonts w:hint="eastAsia" w:ascii="宋体" w:hAnsi="宋体" w:eastAsia="宋体" w:cs="宋体"/>
          <w:sz w:val="24"/>
          <w:szCs w:val="24"/>
        </w:rPr>
        <w:t>）在保修期内，乙方应及时提供软件免费升级。乙方</w:t>
      </w:r>
      <w:r>
        <w:rPr>
          <w:rStyle w:val="19"/>
          <w:rFonts w:hint="eastAsia" w:ascii="宋体" w:hAnsi="宋体" w:eastAsia="宋体" w:cs="宋体"/>
          <w:sz w:val="24"/>
          <w:szCs w:val="24"/>
          <w:lang w:val="en-US" w:eastAsia="zh-CN"/>
        </w:rPr>
        <w:t>应</w:t>
      </w:r>
      <w:r>
        <w:rPr>
          <w:rStyle w:val="19"/>
          <w:rFonts w:hint="eastAsia" w:ascii="宋体" w:hAnsi="宋体" w:eastAsia="宋体" w:cs="宋体"/>
          <w:sz w:val="24"/>
          <w:szCs w:val="24"/>
        </w:rPr>
        <w:t>无偿指导和培训</w:t>
      </w:r>
      <w:r>
        <w:rPr>
          <w:rFonts w:hint="eastAsia" w:ascii="宋体" w:hAnsi="宋体" w:eastAsia="宋体" w:cs="宋体"/>
          <w:sz w:val="24"/>
          <w:szCs w:val="24"/>
          <w:lang w:val="en-US" w:eastAsia="zh-CN"/>
        </w:rPr>
        <w:t>省级医疗机构/各市县使用单位</w:t>
      </w:r>
      <w:r>
        <w:rPr>
          <w:rStyle w:val="19"/>
          <w:rFonts w:hint="eastAsia" w:ascii="宋体" w:hAnsi="宋体" w:eastAsia="宋体" w:cs="宋体"/>
          <w:sz w:val="24"/>
          <w:szCs w:val="24"/>
        </w:rPr>
        <w:t>维修及使用人员，主要内容为设备的基本结构、性能、主要部件的构造及修理，日常使用保养与管理，常见故障的排除、紧急情况的处理等，培训地点主要在设备安装现场或由</w:t>
      </w:r>
      <w:r>
        <w:rPr>
          <w:rFonts w:hint="eastAsia" w:ascii="宋体" w:hAnsi="宋体" w:eastAsia="宋体" w:cs="宋体"/>
          <w:sz w:val="24"/>
          <w:szCs w:val="24"/>
          <w:lang w:val="en-US" w:eastAsia="zh-CN"/>
        </w:rPr>
        <w:t>省级医疗机构/各市县使用单位</w:t>
      </w:r>
      <w:r>
        <w:rPr>
          <w:rStyle w:val="19"/>
          <w:rFonts w:hint="eastAsia" w:ascii="宋体" w:hAnsi="宋体" w:eastAsia="宋体" w:cs="宋体"/>
          <w:sz w:val="24"/>
          <w:szCs w:val="24"/>
        </w:rPr>
        <w:t xml:space="preserve">安排。                                   </w:t>
      </w:r>
    </w:p>
    <w:p w14:paraId="380F36E5">
      <w:pPr>
        <w:keepNext w:val="0"/>
        <w:keepLines w:val="0"/>
        <w:pageBreakBefore w:val="0"/>
        <w:kinsoku/>
        <w:wordWrap/>
        <w:overflowPunct/>
        <w:topLinePunct w:val="0"/>
        <w:autoSpaceDE/>
        <w:autoSpaceDN/>
        <w:bidi w:val="0"/>
        <w:adjustRightInd/>
        <w:snapToGrid w:val="0"/>
        <w:spacing w:line="336" w:lineRule="auto"/>
        <w:ind w:firstLine="481"/>
        <w:rPr>
          <w:rStyle w:val="19"/>
          <w:rFonts w:hint="eastAsia" w:ascii="宋体" w:hAnsi="宋体" w:eastAsia="宋体" w:cs="宋体"/>
          <w:sz w:val="24"/>
          <w:szCs w:val="24"/>
        </w:rPr>
      </w:pPr>
      <w:r>
        <w:rPr>
          <w:rStyle w:val="19"/>
          <w:rFonts w:hint="eastAsia" w:ascii="宋体" w:hAnsi="宋体" w:eastAsia="宋体" w:cs="宋体"/>
          <w:sz w:val="24"/>
          <w:szCs w:val="24"/>
        </w:rPr>
        <w:t>（</w:t>
      </w:r>
      <w:r>
        <w:rPr>
          <w:rStyle w:val="19"/>
          <w:rFonts w:hint="eastAsia" w:ascii="宋体" w:hAnsi="宋体" w:eastAsia="宋体" w:cs="宋体"/>
          <w:sz w:val="24"/>
          <w:szCs w:val="24"/>
          <w:lang w:val="en-US" w:eastAsia="zh-CN"/>
        </w:rPr>
        <w:t>3</w:t>
      </w:r>
      <w:r>
        <w:rPr>
          <w:rStyle w:val="19"/>
          <w:rFonts w:hint="eastAsia" w:ascii="宋体" w:hAnsi="宋体" w:eastAsia="宋体" w:cs="宋体"/>
          <w:sz w:val="24"/>
          <w:szCs w:val="24"/>
        </w:rPr>
        <w:t>）在保修期内，乙方技术人员应至少每3个月上门对设备进行维护保养；接到</w:t>
      </w:r>
      <w:r>
        <w:rPr>
          <w:rFonts w:hint="eastAsia" w:ascii="宋体" w:hAnsi="宋体" w:eastAsia="宋体" w:cs="宋体"/>
          <w:sz w:val="24"/>
          <w:szCs w:val="24"/>
          <w:lang w:val="en-US" w:eastAsia="zh-CN"/>
        </w:rPr>
        <w:t>省级医疗机构使用单位</w:t>
      </w:r>
      <w:r>
        <w:rPr>
          <w:rStyle w:val="19"/>
          <w:rFonts w:hint="eastAsia" w:ascii="宋体" w:hAnsi="宋体" w:eastAsia="宋体" w:cs="宋体"/>
          <w:sz w:val="24"/>
          <w:szCs w:val="24"/>
        </w:rPr>
        <w:t>设备故障报修后乙方技术人员应在24小时内到现场检修排除故障（不可抗拒力量除外）。</w:t>
      </w:r>
    </w:p>
    <w:p w14:paraId="1A40F19B">
      <w:pPr>
        <w:keepNext w:val="0"/>
        <w:keepLines w:val="0"/>
        <w:pageBreakBefore w:val="0"/>
        <w:kinsoku/>
        <w:wordWrap/>
        <w:overflowPunct/>
        <w:topLinePunct w:val="0"/>
        <w:autoSpaceDE/>
        <w:autoSpaceDN/>
        <w:bidi w:val="0"/>
        <w:adjustRightInd/>
        <w:snapToGrid w:val="0"/>
        <w:spacing w:line="336" w:lineRule="auto"/>
        <w:ind w:firstLine="481"/>
        <w:rPr>
          <w:rStyle w:val="19"/>
          <w:rFonts w:hint="eastAsia" w:ascii="宋体" w:hAnsi="宋体" w:eastAsia="宋体" w:cs="宋体"/>
          <w:sz w:val="24"/>
          <w:szCs w:val="24"/>
        </w:rPr>
      </w:pPr>
      <w:r>
        <w:rPr>
          <w:rStyle w:val="19"/>
          <w:rFonts w:hint="eastAsia" w:ascii="宋体" w:hAnsi="宋体" w:eastAsia="宋体" w:cs="宋体"/>
          <w:sz w:val="24"/>
          <w:szCs w:val="24"/>
        </w:rPr>
        <w:t>（</w:t>
      </w:r>
      <w:r>
        <w:rPr>
          <w:rStyle w:val="19"/>
          <w:rFonts w:hint="eastAsia" w:ascii="宋体" w:hAnsi="宋体" w:eastAsia="宋体" w:cs="宋体"/>
          <w:sz w:val="24"/>
          <w:szCs w:val="24"/>
          <w:lang w:val="en-US" w:eastAsia="zh-CN"/>
        </w:rPr>
        <w:t>4</w:t>
      </w:r>
      <w:r>
        <w:rPr>
          <w:rStyle w:val="19"/>
          <w:rFonts w:hint="eastAsia" w:ascii="宋体" w:hAnsi="宋体" w:eastAsia="宋体" w:cs="宋体"/>
          <w:sz w:val="24"/>
          <w:szCs w:val="24"/>
        </w:rPr>
        <w:t>）在送货、安装、调试、培训、维修运维操作中，乙方操作人员应严格遵守操作规程，并对自身人身财产安全负责。</w:t>
      </w:r>
    </w:p>
    <w:p w14:paraId="53815C7D">
      <w:pPr>
        <w:keepNext w:val="0"/>
        <w:keepLines w:val="0"/>
        <w:pageBreakBefore w:val="0"/>
        <w:kinsoku/>
        <w:wordWrap/>
        <w:overflowPunct/>
        <w:topLinePunct w:val="0"/>
        <w:autoSpaceDE/>
        <w:autoSpaceDN/>
        <w:bidi w:val="0"/>
        <w:adjustRightInd/>
        <w:snapToGrid w:val="0"/>
        <w:spacing w:line="336" w:lineRule="auto"/>
        <w:ind w:firstLine="481"/>
        <w:rPr>
          <w:rStyle w:val="19"/>
          <w:rFonts w:hint="eastAsia" w:ascii="宋体" w:hAnsi="宋体" w:eastAsia="宋体" w:cs="宋体"/>
          <w:sz w:val="24"/>
          <w:szCs w:val="24"/>
        </w:rPr>
      </w:pPr>
      <w:r>
        <w:rPr>
          <w:rStyle w:val="19"/>
          <w:rFonts w:hint="eastAsia" w:ascii="宋体" w:hAnsi="宋体" w:eastAsia="宋体" w:cs="宋体"/>
          <w:sz w:val="24"/>
          <w:szCs w:val="24"/>
        </w:rPr>
        <w:t>（</w:t>
      </w:r>
      <w:r>
        <w:rPr>
          <w:rStyle w:val="19"/>
          <w:rFonts w:hint="eastAsia" w:ascii="宋体" w:hAnsi="宋体" w:eastAsia="宋体" w:cs="宋体"/>
          <w:sz w:val="24"/>
          <w:szCs w:val="24"/>
          <w:lang w:val="en-US" w:eastAsia="zh-CN"/>
        </w:rPr>
        <w:t>5</w:t>
      </w:r>
      <w:r>
        <w:rPr>
          <w:rStyle w:val="19"/>
          <w:rFonts w:hint="eastAsia" w:ascii="宋体" w:hAnsi="宋体" w:eastAsia="宋体" w:cs="宋体"/>
          <w:sz w:val="24"/>
          <w:szCs w:val="24"/>
        </w:rPr>
        <w:t>）乙方应做好每次维修运维保养内容或项目记录，并由</w:t>
      </w:r>
      <w:r>
        <w:rPr>
          <w:rFonts w:hint="eastAsia" w:ascii="宋体" w:hAnsi="宋体" w:cs="宋体"/>
          <w:sz w:val="24"/>
          <w:szCs w:val="24"/>
          <w:lang w:val="en-US" w:eastAsia="zh-CN"/>
        </w:rPr>
        <w:t>甲</w:t>
      </w:r>
      <w:r>
        <w:rPr>
          <w:rStyle w:val="19"/>
          <w:rFonts w:hint="eastAsia" w:ascii="宋体" w:hAnsi="宋体" w:eastAsia="宋体" w:cs="宋体"/>
          <w:sz w:val="24"/>
          <w:szCs w:val="24"/>
        </w:rPr>
        <w:t>方技术人员签字，交由</w:t>
      </w:r>
      <w:r>
        <w:rPr>
          <w:rFonts w:hint="eastAsia" w:ascii="宋体" w:hAnsi="宋体" w:eastAsia="宋体" w:cs="宋体"/>
          <w:sz w:val="24"/>
          <w:szCs w:val="24"/>
          <w:lang w:val="en-US" w:eastAsia="zh-CN"/>
        </w:rPr>
        <w:t>甲方单位备</w:t>
      </w:r>
      <w:r>
        <w:rPr>
          <w:rStyle w:val="19"/>
          <w:rFonts w:hint="eastAsia" w:ascii="宋体" w:hAnsi="宋体" w:eastAsia="宋体" w:cs="宋体"/>
          <w:sz w:val="24"/>
          <w:szCs w:val="24"/>
        </w:rPr>
        <w:t>案。</w:t>
      </w:r>
    </w:p>
    <w:p w14:paraId="4C1383EC">
      <w:pPr>
        <w:keepNext w:val="0"/>
        <w:keepLines w:val="0"/>
        <w:pageBreakBefore w:val="0"/>
        <w:kinsoku/>
        <w:wordWrap/>
        <w:overflowPunct/>
        <w:topLinePunct w:val="0"/>
        <w:autoSpaceDE/>
        <w:autoSpaceDN/>
        <w:bidi w:val="0"/>
        <w:adjustRightInd/>
        <w:snapToGrid w:val="0"/>
        <w:spacing w:line="336" w:lineRule="auto"/>
        <w:ind w:firstLine="481"/>
        <w:rPr>
          <w:rStyle w:val="19"/>
          <w:rFonts w:hint="eastAsia" w:ascii="宋体" w:hAnsi="宋体" w:eastAsia="宋体" w:cs="宋体"/>
          <w:sz w:val="24"/>
          <w:szCs w:val="24"/>
        </w:rPr>
      </w:pPr>
      <w:r>
        <w:rPr>
          <w:rStyle w:val="19"/>
          <w:rFonts w:hint="eastAsia" w:ascii="宋体" w:hAnsi="宋体" w:eastAsia="宋体" w:cs="宋体"/>
          <w:sz w:val="24"/>
          <w:szCs w:val="24"/>
        </w:rPr>
        <w:t>（</w:t>
      </w:r>
      <w:r>
        <w:rPr>
          <w:rStyle w:val="19"/>
          <w:rFonts w:hint="eastAsia" w:ascii="宋体" w:hAnsi="宋体" w:eastAsia="宋体" w:cs="宋体"/>
          <w:sz w:val="24"/>
          <w:szCs w:val="24"/>
          <w:lang w:val="en-US" w:eastAsia="zh-CN"/>
        </w:rPr>
        <w:t>6</w:t>
      </w:r>
      <w:r>
        <w:rPr>
          <w:rStyle w:val="19"/>
          <w:rFonts w:hint="eastAsia" w:ascii="宋体" w:hAnsi="宋体" w:eastAsia="宋体" w:cs="宋体"/>
          <w:sz w:val="24"/>
          <w:szCs w:val="24"/>
        </w:rPr>
        <w:t>）质保期内设备质量不合格情形</w:t>
      </w:r>
    </w:p>
    <w:p w14:paraId="37F84458">
      <w:pPr>
        <w:keepNext w:val="0"/>
        <w:keepLines w:val="0"/>
        <w:pageBreakBefore w:val="0"/>
        <w:kinsoku/>
        <w:wordWrap/>
        <w:overflowPunct/>
        <w:topLinePunct w:val="0"/>
        <w:autoSpaceDE/>
        <w:autoSpaceDN/>
        <w:bidi w:val="0"/>
        <w:adjustRightInd/>
        <w:snapToGrid w:val="0"/>
        <w:spacing w:line="336" w:lineRule="auto"/>
        <w:ind w:firstLine="787" w:firstLineChars="328"/>
        <w:rPr>
          <w:rStyle w:val="19"/>
          <w:rFonts w:hint="eastAsia" w:ascii="宋体" w:hAnsi="宋体" w:eastAsia="宋体" w:cs="宋体"/>
          <w:sz w:val="24"/>
          <w:szCs w:val="24"/>
        </w:rPr>
      </w:pPr>
      <w:r>
        <w:rPr>
          <w:rStyle w:val="19"/>
          <w:rFonts w:hint="eastAsia" w:ascii="宋体" w:hAnsi="宋体" w:eastAsia="宋体" w:cs="宋体"/>
          <w:sz w:val="24"/>
          <w:szCs w:val="24"/>
        </w:rPr>
        <w:t>质保期内出现下列情形之一时，视为设备质量不合格，甲方有权解除合同：</w:t>
      </w:r>
    </w:p>
    <w:p w14:paraId="762BE3A3">
      <w:pPr>
        <w:keepNext w:val="0"/>
        <w:keepLines w:val="0"/>
        <w:pageBreakBefore w:val="0"/>
        <w:kinsoku/>
        <w:wordWrap/>
        <w:overflowPunct/>
        <w:topLinePunct w:val="0"/>
        <w:autoSpaceDE/>
        <w:autoSpaceDN/>
        <w:bidi w:val="0"/>
        <w:adjustRightInd/>
        <w:snapToGrid w:val="0"/>
        <w:spacing w:line="336" w:lineRule="auto"/>
        <w:ind w:firstLine="787" w:firstLineChars="328"/>
        <w:rPr>
          <w:rStyle w:val="19"/>
          <w:rFonts w:hint="eastAsia" w:ascii="宋体" w:hAnsi="宋体" w:eastAsia="宋体" w:cs="宋体"/>
          <w:sz w:val="24"/>
          <w:szCs w:val="24"/>
        </w:rPr>
      </w:pPr>
      <w:r>
        <w:rPr>
          <w:rStyle w:val="19"/>
          <w:rFonts w:hint="eastAsia" w:ascii="宋体" w:hAnsi="宋体" w:eastAsia="宋体" w:cs="宋体"/>
          <w:sz w:val="24"/>
          <w:szCs w:val="24"/>
        </w:rPr>
        <w:t>1）设备累计无法正常使用达10天；</w:t>
      </w:r>
    </w:p>
    <w:p w14:paraId="6894241B">
      <w:pPr>
        <w:keepNext w:val="0"/>
        <w:keepLines w:val="0"/>
        <w:pageBreakBefore w:val="0"/>
        <w:kinsoku/>
        <w:wordWrap/>
        <w:overflowPunct/>
        <w:topLinePunct w:val="0"/>
        <w:autoSpaceDE/>
        <w:autoSpaceDN/>
        <w:bidi w:val="0"/>
        <w:adjustRightInd/>
        <w:snapToGrid w:val="0"/>
        <w:spacing w:line="336" w:lineRule="auto"/>
        <w:ind w:firstLine="787" w:firstLineChars="328"/>
        <w:rPr>
          <w:rFonts w:hint="default"/>
          <w:lang w:val="en-US" w:eastAsia="zh-CN"/>
        </w:rPr>
      </w:pPr>
      <w:r>
        <w:rPr>
          <w:rStyle w:val="19"/>
          <w:rFonts w:hint="eastAsia" w:ascii="宋体" w:hAnsi="宋体" w:eastAsia="宋体" w:cs="宋体"/>
          <w:sz w:val="24"/>
          <w:szCs w:val="24"/>
        </w:rPr>
        <w:t>2）设备故障率达到50%以上</w:t>
      </w:r>
    </w:p>
    <w:p w14:paraId="515A45E9">
      <w:pPr>
        <w:rPr>
          <w:rFonts w:hint="default"/>
          <w:lang w:val="en-US" w:eastAsia="zh-CN"/>
        </w:rPr>
      </w:pPr>
    </w:p>
    <w:sectPr>
      <w:headerReference r:id="rId4" w:type="first"/>
      <w:footerReference r:id="rId6" w:type="first"/>
      <w:headerReference r:id="rId3" w:type="even"/>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F78B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549FD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64D56">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75A87">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7F48B"/>
    <w:multiLevelType w:val="singleLevel"/>
    <w:tmpl w:val="0247F48B"/>
    <w:lvl w:ilvl="0" w:tentative="0">
      <w:start w:val="2"/>
      <w:numFmt w:val="decimal"/>
      <w:suff w:val="nothing"/>
      <w:lvlText w:val="%1、"/>
      <w:lvlJc w:val="left"/>
    </w:lvl>
  </w:abstractNum>
  <w:abstractNum w:abstractNumId="1">
    <w:nsid w:val="04AC6173"/>
    <w:multiLevelType w:val="singleLevel"/>
    <w:tmpl w:val="04AC6173"/>
    <w:lvl w:ilvl="0" w:tentative="0">
      <w:start w:val="3"/>
      <w:numFmt w:val="decimal"/>
      <w:suff w:val="nothing"/>
      <w:lvlText w:val="%1、"/>
      <w:lvlJc w:val="left"/>
    </w:lvl>
  </w:abstractNum>
  <w:abstractNum w:abstractNumId="2">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3ODZhMzkxMWE1ZjI3OWM4YTgyNGRjMjU2ZGEyNTYifQ=="/>
  </w:docVars>
  <w:rsids>
    <w:rsidRoot w:val="65A827C1"/>
    <w:rsid w:val="0004304F"/>
    <w:rsid w:val="00052673"/>
    <w:rsid w:val="000D08CE"/>
    <w:rsid w:val="001E62CC"/>
    <w:rsid w:val="00235A53"/>
    <w:rsid w:val="00290249"/>
    <w:rsid w:val="0034108C"/>
    <w:rsid w:val="003920D1"/>
    <w:rsid w:val="003D0F7F"/>
    <w:rsid w:val="0040226B"/>
    <w:rsid w:val="00411652"/>
    <w:rsid w:val="004871FF"/>
    <w:rsid w:val="005A177D"/>
    <w:rsid w:val="0063123B"/>
    <w:rsid w:val="00745391"/>
    <w:rsid w:val="007A39E8"/>
    <w:rsid w:val="007B20F5"/>
    <w:rsid w:val="007B5688"/>
    <w:rsid w:val="007D5028"/>
    <w:rsid w:val="008E1105"/>
    <w:rsid w:val="00951247"/>
    <w:rsid w:val="009677D3"/>
    <w:rsid w:val="00A7739E"/>
    <w:rsid w:val="00AA4E92"/>
    <w:rsid w:val="00B33DAC"/>
    <w:rsid w:val="00BC1C8C"/>
    <w:rsid w:val="00BE258C"/>
    <w:rsid w:val="00C878C8"/>
    <w:rsid w:val="00CD4CBD"/>
    <w:rsid w:val="00D422BD"/>
    <w:rsid w:val="00E62F60"/>
    <w:rsid w:val="00EB1401"/>
    <w:rsid w:val="00F00D0B"/>
    <w:rsid w:val="00F62FE9"/>
    <w:rsid w:val="03905EB7"/>
    <w:rsid w:val="04417EBE"/>
    <w:rsid w:val="05051CEF"/>
    <w:rsid w:val="05356846"/>
    <w:rsid w:val="074107DA"/>
    <w:rsid w:val="094E5430"/>
    <w:rsid w:val="0AB26139"/>
    <w:rsid w:val="0B064303"/>
    <w:rsid w:val="0DB66A4E"/>
    <w:rsid w:val="0E216D11"/>
    <w:rsid w:val="0F486819"/>
    <w:rsid w:val="0F7400EF"/>
    <w:rsid w:val="108B330B"/>
    <w:rsid w:val="10B339DA"/>
    <w:rsid w:val="10EB160D"/>
    <w:rsid w:val="128A53A3"/>
    <w:rsid w:val="12B81741"/>
    <w:rsid w:val="14027543"/>
    <w:rsid w:val="14B96857"/>
    <w:rsid w:val="164B7588"/>
    <w:rsid w:val="1820443C"/>
    <w:rsid w:val="1AFD5C7E"/>
    <w:rsid w:val="1BA53FA4"/>
    <w:rsid w:val="1C3C1DBA"/>
    <w:rsid w:val="1CCD73FE"/>
    <w:rsid w:val="1E5517C3"/>
    <w:rsid w:val="1E5B16A7"/>
    <w:rsid w:val="1F477A40"/>
    <w:rsid w:val="211D3EDD"/>
    <w:rsid w:val="21C01FB5"/>
    <w:rsid w:val="21CE4C78"/>
    <w:rsid w:val="221D6A21"/>
    <w:rsid w:val="22C205C9"/>
    <w:rsid w:val="23B37445"/>
    <w:rsid w:val="26E34B60"/>
    <w:rsid w:val="27210AF9"/>
    <w:rsid w:val="276C1995"/>
    <w:rsid w:val="293B707B"/>
    <w:rsid w:val="29D76779"/>
    <w:rsid w:val="2DF473FE"/>
    <w:rsid w:val="2FA7234B"/>
    <w:rsid w:val="2FCD5BB7"/>
    <w:rsid w:val="32C01709"/>
    <w:rsid w:val="33614751"/>
    <w:rsid w:val="38DC4DD5"/>
    <w:rsid w:val="3A2E5B9F"/>
    <w:rsid w:val="3F50255E"/>
    <w:rsid w:val="40F52B6F"/>
    <w:rsid w:val="41450859"/>
    <w:rsid w:val="416A46B6"/>
    <w:rsid w:val="43A511A0"/>
    <w:rsid w:val="44CC6C2E"/>
    <w:rsid w:val="474876A6"/>
    <w:rsid w:val="486C0274"/>
    <w:rsid w:val="49E41F18"/>
    <w:rsid w:val="49E77EC1"/>
    <w:rsid w:val="4B9D51E7"/>
    <w:rsid w:val="4CBD1B44"/>
    <w:rsid w:val="4D991AEF"/>
    <w:rsid w:val="505F76BB"/>
    <w:rsid w:val="55066ACD"/>
    <w:rsid w:val="55232C48"/>
    <w:rsid w:val="56265EE8"/>
    <w:rsid w:val="570F6497"/>
    <w:rsid w:val="582F76D3"/>
    <w:rsid w:val="589D6673"/>
    <w:rsid w:val="58D81BED"/>
    <w:rsid w:val="5AC04E90"/>
    <w:rsid w:val="5B1D0568"/>
    <w:rsid w:val="5C48438A"/>
    <w:rsid w:val="5E9C0969"/>
    <w:rsid w:val="614A3946"/>
    <w:rsid w:val="65814096"/>
    <w:rsid w:val="65A827C1"/>
    <w:rsid w:val="662A273B"/>
    <w:rsid w:val="66626160"/>
    <w:rsid w:val="674068DF"/>
    <w:rsid w:val="67BB3BC3"/>
    <w:rsid w:val="682039B1"/>
    <w:rsid w:val="683E5C73"/>
    <w:rsid w:val="68C0179E"/>
    <w:rsid w:val="690B7398"/>
    <w:rsid w:val="69AB33AB"/>
    <w:rsid w:val="69F50773"/>
    <w:rsid w:val="6C354F35"/>
    <w:rsid w:val="6C5E4523"/>
    <w:rsid w:val="71CE737A"/>
    <w:rsid w:val="73AF327D"/>
    <w:rsid w:val="73EC0288"/>
    <w:rsid w:val="74605978"/>
    <w:rsid w:val="756C1FAF"/>
    <w:rsid w:val="77E8068C"/>
    <w:rsid w:val="7874613F"/>
    <w:rsid w:val="799B6D30"/>
    <w:rsid w:val="7A1A3D12"/>
    <w:rsid w:val="7A747D48"/>
    <w:rsid w:val="7BB03B0B"/>
    <w:rsid w:val="7C3B20D0"/>
    <w:rsid w:val="7E2F2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 w:cs="Calibri"/>
      <w:snapToGrid w:val="0"/>
      <w:kern w:val="2"/>
      <w:sz w:val="28"/>
      <w:szCs w:val="21"/>
      <w:lang w:val="en-US" w:eastAsia="zh-CN" w:bidi="ar-SA"/>
    </w:rPr>
  </w:style>
  <w:style w:type="paragraph" w:styleId="5">
    <w:name w:val="heading 2"/>
    <w:basedOn w:val="1"/>
    <w:next w:val="1"/>
    <w:qFormat/>
    <w:uiPriority w:val="99"/>
    <w:pPr>
      <w:keepNext/>
      <w:keepLines/>
      <w:widowControl/>
      <w:spacing w:before="260" w:after="260" w:line="412" w:lineRule="auto"/>
      <w:textAlignment w:val="baseline"/>
      <w:outlineLvl w:val="1"/>
    </w:pPr>
    <w:rPr>
      <w:rFonts w:ascii="Arial" w:hAnsi="Arial" w:eastAsia="黑体"/>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200"/>
    </w:pPr>
  </w:style>
  <w:style w:type="paragraph" w:styleId="3">
    <w:name w:val="Body Text Indent"/>
    <w:basedOn w:val="1"/>
    <w:qFormat/>
    <w:uiPriority w:val="0"/>
    <w:pPr>
      <w:spacing w:after="120"/>
      <w:ind w:left="420" w:leftChars="200"/>
    </w:pPr>
  </w:style>
  <w:style w:type="paragraph" w:customStyle="1" w:styleId="4">
    <w:name w:val="xl53"/>
    <w:basedOn w:val="1"/>
    <w:next w:val="1"/>
    <w:autoRedefine/>
    <w:qFormat/>
    <w:uiPriority w:val="0"/>
    <w:pPr>
      <w:widowControl/>
      <w:pBdr>
        <w:left w:val="single" w:color="auto" w:sz="4" w:space="0"/>
        <w:right w:val="single" w:color="auto" w:sz="4" w:space="0"/>
      </w:pBdr>
      <w:spacing w:before="100" w:after="100"/>
      <w:ind w:firstLine="200" w:firstLineChars="200"/>
      <w:jc w:val="center"/>
      <w:textAlignment w:val="center"/>
    </w:pPr>
    <w:rPr>
      <w:rFonts w:ascii="Arial Unicode MS" w:hAnsi="Arial Unicode MS" w:eastAsia="Arial Unicode MS"/>
      <w:color w:val="7030A0"/>
      <w:kern w:val="0"/>
      <w:szCs w:val="20"/>
    </w:rPr>
  </w:style>
  <w:style w:type="paragraph" w:styleId="6">
    <w:name w:val="Normal Indent"/>
    <w:basedOn w:val="1"/>
    <w:qFormat/>
    <w:uiPriority w:val="0"/>
    <w:pPr>
      <w:ind w:firstLine="420" w:firstLineChars="200"/>
    </w:pPr>
  </w:style>
  <w:style w:type="paragraph" w:styleId="7">
    <w:name w:val="Body Text"/>
    <w:basedOn w:val="1"/>
    <w:qFormat/>
    <w:uiPriority w:val="0"/>
    <w:pPr>
      <w:spacing w:after="120"/>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footnote text"/>
    <w:basedOn w:val="1"/>
    <w:qFormat/>
    <w:uiPriority w:val="0"/>
    <w:pPr>
      <w:adjustRightInd w:val="0"/>
      <w:spacing w:line="312" w:lineRule="atLeast"/>
      <w:jc w:val="left"/>
      <w:textAlignment w:val="baseline"/>
    </w:pPr>
    <w:rPr>
      <w:rFonts w:ascii="Times New Roman" w:hAnsi="Times New Roman"/>
      <w:sz w:val="18"/>
    </w:rPr>
  </w:style>
  <w:style w:type="paragraph" w:styleId="11">
    <w:name w:val="Body Text First Indent"/>
    <w:basedOn w:val="7"/>
    <w:qFormat/>
    <w:uiPriority w:val="0"/>
    <w:pPr>
      <w:ind w:firstLine="420" w:firstLineChars="100"/>
    </w:pPr>
  </w:style>
  <w:style w:type="paragraph" w:customStyle="1" w:styleId="14">
    <w:name w:val="Char"/>
    <w:basedOn w:val="1"/>
    <w:next w:val="7"/>
    <w:qFormat/>
    <w:uiPriority w:val="0"/>
    <w:pPr>
      <w:tabs>
        <w:tab w:val="left" w:pos="0"/>
      </w:tabs>
      <w:adjustRightInd w:val="0"/>
      <w:snapToGrid w:val="0"/>
      <w:spacing w:before="150" w:beforeLines="150" w:line="360" w:lineRule="auto"/>
      <w:ind w:firstLine="192" w:firstLineChars="192"/>
    </w:pPr>
    <w:rPr>
      <w:rFonts w:ascii="Times New Roman" w:hAnsi="Times New Roman" w:eastAsia="宋体" w:cs="Times New Roman"/>
      <w:szCs w:val="24"/>
    </w:rPr>
  </w:style>
  <w:style w:type="paragraph" w:customStyle="1" w:styleId="15">
    <w:name w:val="Default"/>
    <w:next w:val="6"/>
    <w:qFormat/>
    <w:uiPriority w:val="0"/>
    <w:pPr>
      <w:widowControl w:val="0"/>
      <w:autoSpaceDE w:val="0"/>
      <w:autoSpaceDN w:val="0"/>
      <w:adjustRightInd w:val="0"/>
    </w:pPr>
    <w:rPr>
      <w:rFonts w:ascii="宋体" w:hAnsi="宋体" w:eastAsia="仿宋_GB2312" w:cs="宋体"/>
      <w:color w:val="000000"/>
      <w:sz w:val="32"/>
      <w:szCs w:val="24"/>
      <w:lang w:val="en-US" w:eastAsia="zh-CN" w:bidi="ar-SA"/>
    </w:rPr>
  </w:style>
  <w:style w:type="paragraph" w:customStyle="1" w:styleId="16">
    <w:name w:val="样式1"/>
    <w:basedOn w:val="11"/>
    <w:qFormat/>
    <w:uiPriority w:val="0"/>
    <w:pPr>
      <w:spacing w:line="580" w:lineRule="exact"/>
      <w:jc w:val="center"/>
    </w:pPr>
    <w:rPr>
      <w:rFonts w:hint="eastAsia" w:ascii="方正小标宋_GBK" w:hAnsi="方正小标宋_GBK" w:eastAsia="方正小标宋_GBK" w:cs="方正小标宋_GBK"/>
      <w:sz w:val="36"/>
      <w:szCs w:val="36"/>
    </w:rPr>
  </w:style>
  <w:style w:type="paragraph" w:customStyle="1" w:styleId="17">
    <w:name w:val="样式2"/>
    <w:basedOn w:val="1"/>
    <w:next w:val="3"/>
    <w:qFormat/>
    <w:uiPriority w:val="0"/>
    <w:rPr>
      <w:rFonts w:hint="eastAsia"/>
      <w:sz w:val="32"/>
    </w:rPr>
  </w:style>
  <w:style w:type="paragraph" w:customStyle="1" w:styleId="18">
    <w:name w:val="Revision"/>
    <w:hidden/>
    <w:unhideWhenUsed/>
    <w:qFormat/>
    <w:uiPriority w:val="99"/>
    <w:rPr>
      <w:rFonts w:ascii="Calibri" w:hAnsi="Calibri" w:eastAsia="仿宋" w:cs="Calibri"/>
      <w:snapToGrid w:val="0"/>
      <w:kern w:val="2"/>
      <w:sz w:val="28"/>
      <w:szCs w:val="21"/>
      <w:lang w:val="en-US" w:eastAsia="zh-CN" w:bidi="ar-SA"/>
    </w:rPr>
  </w:style>
  <w:style w:type="character" w:customStyle="1" w:styleId="19">
    <w:name w:val="NormalCharacter"/>
    <w:semiHidden/>
    <w:qFormat/>
    <w:uiPriority w:val="99"/>
  </w:style>
  <w:style w:type="character" w:customStyle="1" w:styleId="20">
    <w:name w:val="font51"/>
    <w:basedOn w:val="13"/>
    <w:qFormat/>
    <w:uiPriority w:val="0"/>
    <w:rPr>
      <w:rFonts w:hint="eastAsia" w:ascii="宋体" w:hAnsi="宋体" w:eastAsia="宋体" w:cs="宋体"/>
      <w:color w:val="000000"/>
      <w:sz w:val="28"/>
      <w:szCs w:val="28"/>
      <w:u w:val="none"/>
    </w:rPr>
  </w:style>
  <w:style w:type="character" w:customStyle="1" w:styleId="21">
    <w:name w:val="font11"/>
    <w:basedOn w:val="13"/>
    <w:qFormat/>
    <w:uiPriority w:val="0"/>
    <w:rPr>
      <w:rFonts w:hint="eastAsia" w:ascii="宋体" w:hAnsi="宋体" w:eastAsia="宋体" w:cs="宋体"/>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4262</Words>
  <Characters>4870</Characters>
  <Lines>31</Lines>
  <Paragraphs>8</Paragraphs>
  <TotalTime>22</TotalTime>
  <ScaleCrop>false</ScaleCrop>
  <LinksUpToDate>false</LinksUpToDate>
  <CharactersWithSpaces>4932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2023-08-21T03:23:00Z</dcterms:created>
  <dc:creator>LZQ</dc:creator>
  <cp:lastModifiedBy>w</cp:lastModifiedBy>
  <cp:lastPrinted>2023-08-21T03:31:00Z</cp:lastPrinted>
  <dcterms:modified xsi:type="dcterms:W3CDTF">2025-05-06T06:49:02Z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EC2CD2095D6146568098BACF8F9146C3_12</vt:lpwstr>
  </property>
  <property fmtid="{D5CDD505-2E9C-101B-9397-08002B2CF9AE}" pid="4" name="KSOTemplateDocerSaveRecord">
    <vt:lpwstr>eyJoZGlkIjoiZTI2MTM2YWU0MjIwZjhmNjFiYzlhNTgwNjliOGQ1YTUiLCJ1c2VySWQiOiIyNzA2MTc4OTYifQ==</vt:lpwstr>
  </property>
</Properties>
</file>