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rPr>
          <w:rFonts w:ascii="楷体" w:eastAsia="楷体"/>
          <w:u w:val="single"/>
        </w:rPr>
      </w:pPr>
      <w:r>
        <w:rPr>
          <w:rFonts w:ascii="宋体" w:hint="eastAsia"/>
          <w:b/>
          <w:sz w:val="30"/>
          <w:szCs w:val="30"/>
        </w:rPr>
        <w:t>合同编号：</w:t>
      </w:r>
      <w:r>
        <w:rPr>
          <w:rFonts w:ascii="楷体" w:eastAsia="楷体"/>
          <w:u w:val="single"/>
        </w:rPr>
        <w:t xml:space="preserve">        </w:t>
      </w:r>
      <w:r>
        <w:rPr>
          <w:rFonts w:ascii="楷体" w:eastAsia="楷体" w:hint="eastAsia"/>
          <w:u w:val="single"/>
        </w:rPr>
        <w:t xml:space="preserve">   </w:t>
      </w:r>
    </w:p>
    <w:p>
      <w:pPr>
        <w:rPr>
          <w:rFonts w:ascii="宋体"/>
          <w:b/>
          <w:sz w:val="30"/>
          <w:szCs w:val="30"/>
        </w:rPr>
      </w:pPr>
    </w:p>
    <w:p>
      <w:pPr>
        <w:ind w:right="40" w:firstLineChars="1450" w:firstLine="4350"/>
        <w:rPr>
          <w:rFonts w:ascii="宋体" w:cs="宋体"/>
          <w:color w:val="000000"/>
          <w:sz w:val="30"/>
          <w:szCs w:val="30"/>
        </w:rPr>
      </w:pPr>
    </w:p>
    <w:p>
      <w:pPr>
        <w:ind w:right="40" w:firstLineChars="1450" w:firstLine="4350"/>
        <w:rPr>
          <w:rFonts w:ascii="宋体" w:cs="宋体"/>
          <w:color w:val="000000"/>
          <w:sz w:val="30"/>
          <w:szCs w:val="30"/>
        </w:rPr>
      </w:pPr>
    </w:p>
    <w:p>
      <w:pPr>
        <w:ind w:firstLineChars="0" w:firstLine="0"/>
        <w:jc w:val="center"/>
        <w:rPr>
          <w:rFonts w:ascii="宋体"/>
          <w:b/>
          <w:sz w:val="72"/>
          <w:szCs w:val="72"/>
        </w:rPr>
      </w:pPr>
      <w:r>
        <w:rPr>
          <w:rFonts w:ascii="宋体" w:hint="eastAsia"/>
          <w:b/>
          <w:sz w:val="72"/>
          <w:szCs w:val="72"/>
        </w:rPr>
        <w:t xml:space="preserve">  海南省政府采购项目</w:t>
      </w:r>
    </w:p>
    <w:p>
      <w:pPr>
        <w:rPr>
          <w:rFonts w:ascii="宋体"/>
          <w:b/>
          <w:sz w:val="30"/>
          <w:szCs w:val="30"/>
        </w:rPr>
      </w:pPr>
    </w:p>
    <w:p>
      <w:pPr>
        <w:ind w:firstLineChars="0" w:firstLine="0"/>
        <w:jc w:val="center"/>
        <w:rPr>
          <w:rFonts w:ascii="宋体"/>
          <w:b/>
          <w:sz w:val="72"/>
          <w:szCs w:val="72"/>
        </w:rPr>
      </w:pPr>
      <w:r>
        <w:rPr>
          <w:rFonts w:ascii="宋体" w:hint="eastAsia"/>
          <w:b/>
          <w:sz w:val="72"/>
          <w:szCs w:val="72"/>
        </w:rPr>
        <w:t xml:space="preserve">合 </w:t>
      </w:r>
      <w:r>
        <w:rPr>
          <w:rFonts w:ascii="宋体" w:hint="eastAsia"/>
          <w:b/>
        </w:rPr>
        <w:t xml:space="preserve">  </w:t>
      </w:r>
      <w:r>
        <w:rPr>
          <w:rFonts w:ascii="宋体" w:hint="eastAsia"/>
          <w:b/>
          <w:sz w:val="72"/>
          <w:szCs w:val="72"/>
        </w:rPr>
        <w:t xml:space="preserve">同 </w:t>
      </w:r>
      <w:r>
        <w:rPr>
          <w:rFonts w:ascii="宋体" w:hint="eastAsia"/>
          <w:b/>
        </w:rPr>
        <w:t xml:space="preserve">  </w:t>
      </w:r>
      <w:r>
        <w:rPr>
          <w:rFonts w:ascii="宋体" w:hint="eastAsia"/>
          <w:b/>
          <w:sz w:val="72"/>
          <w:szCs w:val="72"/>
        </w:rPr>
        <w:t>书</w:t>
      </w:r>
    </w:p>
    <w:p>
      <w:pPr>
        <w:jc w:val="center"/>
        <w:rPr>
          <w:rFonts w:ascii="宋体"/>
          <w:b/>
          <w:sz w:val="32"/>
          <w:szCs w:val="32"/>
        </w:rPr>
      </w:pPr>
    </w:p>
    <w:p>
      <w:pPr>
        <w:rPr>
          <w:rFonts w:ascii="宋体"/>
          <w:b/>
          <w:sz w:val="32"/>
          <w:szCs w:val="32"/>
        </w:rPr>
      </w:pPr>
    </w:p>
    <w:p>
      <w:pPr>
        <w:tabs>
          <w:tab w:val="left" w:pos="1260"/>
          <w:tab w:val="left" w:pos="1620"/>
          <w:tab w:val="left" w:pos="6840"/>
          <w:tab w:val="left" w:pos="7020"/>
          <w:tab w:val="left" w:pos="7200"/>
        </w:tabs>
        <w:adjustRightInd w:val="0"/>
        <w:ind w:rightChars="-161" w:right="-386" w:firstLineChars="600" w:firstLine="1920"/>
        <w:rPr>
          <w:rFonts w:ascii="宋体"/>
          <w:b/>
          <w:sz w:val="32"/>
          <w:szCs w:val="32"/>
        </w:rPr>
      </w:pPr>
    </w:p>
    <w:p>
      <w:pPr>
        <w:tabs>
          <w:tab w:val="left" w:pos="1260"/>
          <w:tab w:val="left" w:pos="1620"/>
          <w:tab w:val="left" w:pos="6840"/>
          <w:tab w:val="left" w:pos="7020"/>
          <w:tab w:val="left" w:pos="7200"/>
        </w:tabs>
        <w:adjustRightInd w:val="0"/>
        <w:ind w:rightChars="-161" w:right="-386" w:firstLineChars="600" w:firstLine="1920"/>
        <w:rPr>
          <w:rFonts w:ascii="宋体"/>
          <w:b/>
          <w:sz w:val="32"/>
          <w:szCs w:val="32"/>
        </w:rPr>
      </w:pPr>
    </w:p>
    <w:p>
      <w:pPr>
        <w:tabs>
          <w:tab w:val="left" w:pos="1260"/>
          <w:tab w:val="left" w:pos="1620"/>
          <w:tab w:val="left" w:pos="6840"/>
          <w:tab w:val="left" w:pos="7020"/>
          <w:tab w:val="left" w:pos="7200"/>
        </w:tabs>
        <w:adjustRightInd w:val="0"/>
        <w:rPr>
          <w:rFonts w:ascii="宋体"/>
          <w:b/>
          <w:sz w:val="32"/>
          <w:szCs w:val="32"/>
          <w:u w:val="single"/>
        </w:rPr>
      </w:pPr>
      <w:r>
        <w:rPr>
          <w:rFonts w:ascii="宋体" w:hint="eastAsia"/>
          <w:b/>
          <w:sz w:val="32"/>
          <w:szCs w:val="32"/>
        </w:rPr>
        <w:t>项目名称：</w:t>
      </w:r>
      <w:r>
        <w:rPr>
          <w:rFonts w:ascii="宋体" w:hint="eastAsia"/>
          <w:b/>
          <w:sz w:val="32"/>
          <w:szCs w:val="32"/>
          <w:u w:val="single"/>
        </w:rPr>
        <w:t xml:space="preserve"> 海南文化体育公园部分园区物业委托</w:t>
      </w:r>
    </w:p>
    <w:p>
      <w:pPr>
        <w:tabs>
          <w:tab w:val="left" w:pos="1260"/>
          <w:tab w:val="left" w:pos="1620"/>
          <w:tab w:val="left" w:pos="6840"/>
          <w:tab w:val="left" w:pos="7020"/>
          <w:tab w:val="left" w:pos="7200"/>
        </w:tabs>
        <w:adjustRightInd w:val="0"/>
        <w:ind w:firstLineChars="700" w:firstLine="2240"/>
        <w:jc w:val="both"/>
        <w:rPr>
          <w:rFonts w:ascii="宋体"/>
          <w:b/>
          <w:sz w:val="32"/>
          <w:szCs w:val="32"/>
        </w:rPr>
      </w:pPr>
      <w:r>
        <w:rPr>
          <w:rFonts w:ascii="宋体" w:hint="eastAsia"/>
          <w:b/>
          <w:sz w:val="32"/>
          <w:szCs w:val="32"/>
          <w:u w:val="single"/>
        </w:rPr>
        <w:t xml:space="preserve">         管理服务采购项目        </w:t>
      </w:r>
    </w:p>
    <w:p>
      <w:pPr>
        <w:tabs>
          <w:tab w:val="left" w:pos="1260"/>
          <w:tab w:val="left" w:pos="1620"/>
          <w:tab w:val="left" w:pos="6840"/>
          <w:tab w:val="left" w:pos="7020"/>
          <w:tab w:val="left" w:pos="7200"/>
        </w:tabs>
        <w:adjustRightInd w:val="0"/>
        <w:ind w:firstLineChars="300" w:firstLine="960"/>
        <w:rPr>
          <w:rFonts w:ascii="宋体"/>
          <w:b/>
          <w:sz w:val="32"/>
          <w:szCs w:val="32"/>
        </w:rPr>
      </w:pPr>
      <w:r>
        <w:rPr>
          <w:rFonts w:ascii="宋体" w:hint="eastAsia"/>
          <w:b/>
          <w:sz w:val="32"/>
          <w:szCs w:val="32"/>
        </w:rPr>
        <w:t>项目编号：</w:t>
      </w:r>
      <w:r>
        <w:rPr>
          <w:rFonts w:ascii="宋体" w:hint="eastAsia"/>
          <w:b/>
          <w:sz w:val="32"/>
          <w:szCs w:val="32"/>
          <w:u w:val="single"/>
        </w:rPr>
        <w:t xml:space="preserve">         </w:t>
      </w:r>
      <w:r>
        <w:rPr>
          <w:rFonts w:ascii="宋体"/>
          <w:b/>
          <w:sz w:val="32"/>
          <w:szCs w:val="32"/>
          <w:u w:val="single"/>
        </w:rPr>
        <w:t xml:space="preserve">            </w:t>
      </w:r>
      <w:r>
        <w:rPr>
          <w:rFonts w:ascii="宋体" w:hint="eastAsia"/>
          <w:b/>
          <w:sz w:val="32"/>
          <w:szCs w:val="32"/>
          <w:u w:val="single"/>
        </w:rPr>
        <w:t xml:space="preserve">          </w:t>
      </w:r>
    </w:p>
    <w:p>
      <w:pPr>
        <w:tabs>
          <w:tab w:val="left" w:pos="1260"/>
          <w:tab w:val="left" w:pos="1620"/>
          <w:tab w:val="left" w:pos="6840"/>
          <w:tab w:val="left" w:pos="7020"/>
          <w:tab w:val="left" w:pos="7200"/>
        </w:tabs>
        <w:adjustRightInd w:val="0"/>
        <w:ind w:firstLineChars="300" w:firstLine="960"/>
        <w:rPr>
          <w:rFonts w:ascii="宋体"/>
          <w:b/>
          <w:sz w:val="32"/>
          <w:szCs w:val="32"/>
        </w:rPr>
      </w:pPr>
      <w:r>
        <w:rPr>
          <w:rFonts w:ascii="宋体" w:hint="eastAsia"/>
          <w:b/>
          <w:sz w:val="32"/>
          <w:szCs w:val="32"/>
        </w:rPr>
        <w:t>甲    方：</w:t>
      </w:r>
      <w:r>
        <w:rPr>
          <w:rFonts w:ascii="宋体" w:hint="eastAsia"/>
          <w:b/>
          <w:sz w:val="32"/>
          <w:szCs w:val="32"/>
          <w:u w:val="single"/>
        </w:rPr>
        <w:t xml:space="preserve">    海南体育职业技术学院   </w:t>
      </w:r>
    </w:p>
    <w:p>
      <w:pPr>
        <w:tabs>
          <w:tab w:val="left" w:pos="1260"/>
          <w:tab w:val="left" w:pos="1620"/>
          <w:tab w:val="left" w:pos="6840"/>
          <w:tab w:val="left" w:pos="7020"/>
          <w:tab w:val="left" w:pos="7200"/>
        </w:tabs>
        <w:adjustRightInd w:val="0"/>
        <w:ind w:firstLineChars="300" w:firstLine="960"/>
        <w:rPr>
          <w:rFonts w:ascii="宋体"/>
          <w:b/>
          <w:sz w:val="32"/>
          <w:szCs w:val="32"/>
        </w:rPr>
      </w:pPr>
      <w:r>
        <w:rPr>
          <w:rFonts w:ascii="宋体" w:hint="eastAsia"/>
          <w:b/>
          <w:sz w:val="32"/>
          <w:szCs w:val="32"/>
        </w:rPr>
        <w:t>乙    方：</w:t>
      </w:r>
      <w:r>
        <w:rPr>
          <w:rFonts w:ascii="宋体" w:hint="eastAsia"/>
          <w:b/>
          <w:sz w:val="32"/>
          <w:szCs w:val="32"/>
          <w:u w:val="single"/>
        </w:rPr>
        <w:t xml:space="preserve">    </w:t>
      </w:r>
      <w:r>
        <w:rPr>
          <w:rFonts w:ascii="宋体"/>
          <w:b/>
          <w:sz w:val="32"/>
          <w:szCs w:val="32"/>
          <w:u w:val="single"/>
        </w:rPr>
        <w:t xml:space="preserve">                    </w:t>
      </w:r>
      <w:r>
        <w:rPr>
          <w:rFonts w:ascii="宋体" w:hint="eastAsia"/>
          <w:b/>
          <w:sz w:val="32"/>
          <w:szCs w:val="32"/>
          <w:u w:val="single"/>
        </w:rPr>
        <w:t xml:space="preserve">   </w:t>
      </w:r>
      <w:r>
        <w:rPr>
          <w:rFonts w:ascii="宋体" w:hint="eastAsia"/>
          <w:b/>
          <w:sz w:val="32"/>
          <w:szCs w:val="32"/>
        </w:rPr>
        <w:t xml:space="preserve"> </w:t>
      </w:r>
    </w:p>
    <w:p>
      <w:pPr>
        <w:tabs>
          <w:tab w:val="left" w:pos="1260"/>
          <w:tab w:val="left" w:pos="1620"/>
          <w:tab w:val="left" w:pos="6840"/>
          <w:tab w:val="left" w:pos="7020"/>
          <w:tab w:val="left" w:pos="7200"/>
        </w:tabs>
        <w:adjustRightInd w:val="0"/>
        <w:ind w:firstLineChars="300" w:firstLine="960"/>
        <w:rPr>
          <w:rFonts w:ascii="宋体"/>
          <w:b/>
          <w:sz w:val="32"/>
          <w:szCs w:val="32"/>
        </w:rPr>
      </w:pPr>
      <w:r>
        <w:rPr>
          <w:rFonts w:ascii="宋体" w:hint="eastAsia"/>
          <w:b/>
          <w:sz w:val="32"/>
          <w:szCs w:val="32"/>
        </w:rPr>
        <w:t>签订日期：</w:t>
      </w:r>
      <w:r>
        <w:rPr>
          <w:rFonts w:ascii="宋体" w:hint="eastAsia"/>
          <w:b/>
          <w:sz w:val="32"/>
          <w:szCs w:val="32"/>
          <w:u w:val="single"/>
        </w:rPr>
        <w:t xml:space="preserve">   202</w:t>
      </w:r>
      <w:r>
        <w:rPr>
          <w:rFonts w:ascii="宋体"/>
          <w:b/>
          <w:sz w:val="32"/>
          <w:szCs w:val="32"/>
          <w:u w:val="single"/>
        </w:rPr>
        <w:t>5</w:t>
      </w:r>
      <w:r>
        <w:rPr>
          <w:rFonts w:ascii="宋体" w:hint="eastAsia"/>
          <w:b/>
          <w:sz w:val="32"/>
          <w:szCs w:val="32"/>
          <w:u w:val="single"/>
        </w:rPr>
        <w:t xml:space="preserve">   </w:t>
      </w:r>
      <w:r>
        <w:rPr>
          <w:rFonts w:ascii="宋体" w:hint="eastAsia"/>
          <w:b/>
          <w:sz w:val="32"/>
          <w:szCs w:val="32"/>
        </w:rPr>
        <w:t>年</w:t>
      </w:r>
      <w:r>
        <w:rPr>
          <w:rFonts w:ascii="宋体" w:hint="eastAsia"/>
          <w:b/>
          <w:sz w:val="32"/>
          <w:szCs w:val="32"/>
          <w:u w:val="single"/>
        </w:rPr>
        <w:t xml:space="preserve">      </w:t>
      </w:r>
      <w:r>
        <w:rPr>
          <w:rFonts w:ascii="宋体" w:hint="eastAsia"/>
          <w:b/>
          <w:sz w:val="32"/>
          <w:szCs w:val="32"/>
        </w:rPr>
        <w:t xml:space="preserve"> 月</w:t>
      </w:r>
      <w:r>
        <w:rPr>
          <w:rFonts w:ascii="宋体" w:hint="eastAsia"/>
          <w:b/>
          <w:sz w:val="32"/>
          <w:szCs w:val="32"/>
          <w:u w:val="single"/>
        </w:rPr>
        <w:t xml:space="preserve">     </w:t>
      </w:r>
      <w:r>
        <w:rPr>
          <w:rFonts w:ascii="宋体" w:hint="eastAsia"/>
          <w:b/>
          <w:sz w:val="32"/>
          <w:szCs w:val="32"/>
        </w:rPr>
        <w:t>日</w:t>
      </w:r>
    </w:p>
    <w:p>
      <w:pPr>
        <w:pStyle w:val="2"/>
      </w:pPr>
    </w:p>
    <w:p>
      <w:pPr>
        <w:ind w:firstLineChars="400" w:firstLine="1280"/>
        <w:rPr>
          <w:rFonts w:ascii="宋体"/>
          <w:b/>
          <w:sz w:val="32"/>
          <w:szCs w:val="32"/>
        </w:rPr>
      </w:pPr>
    </w:p>
    <w:p>
      <w:pPr>
        <w:ind w:firstLineChars="0" w:firstLine="0"/>
        <w:jc w:val="both"/>
        <w:rPr>
          <w:rFonts w:ascii="宋体"/>
          <w:b/>
          <w:sz w:val="32"/>
          <w:szCs w:val="32"/>
        </w:rPr>
      </w:pPr>
    </w:p>
    <w:p>
      <w:pPr>
        <w:jc w:val="center"/>
        <w:rPr>
          <w:rFonts w:ascii="宋体" w:cs="宋体"/>
          <w:b/>
          <w:bCs/>
          <w:sz w:val="28"/>
          <w:szCs w:val="28"/>
        </w:rPr>
      </w:pPr>
      <w:r>
        <w:rPr>
          <w:rFonts w:ascii="宋体" w:cs="宋体" w:hint="eastAsia"/>
          <w:b/>
          <w:bCs/>
          <w:sz w:val="28"/>
          <w:szCs w:val="28"/>
        </w:rPr>
        <w:t>合同专用条款</w:t>
      </w:r>
    </w:p>
    <w:p>
      <w:pPr>
        <w:pStyle w:val="15"/>
        <w:tabs>
          <w:tab w:val="left" w:pos="840"/>
        </w:tabs>
        <w:spacing w:before="291" w:line="401" w:lineRule="auto"/>
        <w:ind w:right="239" w:firstLineChars="200" w:firstLine="560"/>
        <w:rPr>
          <w:color w:val="FF0000"/>
          <w:sz w:val="28"/>
          <w:szCs w:val="28"/>
          <w:lang w:eastAsia="zh-CN"/>
        </w:rPr>
      </w:pPr>
      <w:r>
        <w:rPr>
          <w:rFonts w:hint="eastAsia"/>
          <w:sz w:val="28"/>
          <w:szCs w:val="28"/>
          <w:u w:val="single"/>
        </w:rPr>
        <w:t xml:space="preserve">  </w:t>
      </w:r>
      <w:r>
        <w:rPr>
          <w:sz w:val="28"/>
          <w:szCs w:val="28"/>
          <w:u w:val="single"/>
        </w:rPr>
        <w:t>海南体育职业技术学院</w:t>
      </w:r>
      <w:r>
        <w:rPr>
          <w:rFonts w:hint="eastAsia"/>
          <w:sz w:val="28"/>
          <w:szCs w:val="28"/>
          <w:u w:val="single"/>
        </w:rPr>
        <w:t xml:space="preserve"> </w:t>
      </w:r>
      <w:r>
        <w:rPr>
          <w:rFonts w:hint="eastAsia"/>
          <w:sz w:val="28"/>
          <w:szCs w:val="28"/>
        </w:rPr>
        <w:t>以</w:t>
      </w:r>
      <w:r>
        <w:rPr>
          <w:rFonts w:hint="eastAsia"/>
          <w:sz w:val="28"/>
          <w:szCs w:val="28"/>
          <w:u w:val="single"/>
        </w:rPr>
        <w:t xml:space="preserve"> 政府采购方式 </w:t>
      </w:r>
      <w:r>
        <w:rPr>
          <w:rFonts w:hint="eastAsia"/>
          <w:sz w:val="28"/>
          <w:szCs w:val="28"/>
        </w:rPr>
        <w:t xml:space="preserve">对 </w:t>
      </w:r>
      <w:r>
        <w:rPr>
          <w:rFonts w:hint="eastAsia"/>
          <w:sz w:val="28"/>
          <w:szCs w:val="28"/>
          <w:u w:val="single"/>
        </w:rPr>
        <w:t>海南文化体育公园部分园区物业委托管理服务采购</w:t>
      </w:r>
      <w:r>
        <w:rPr>
          <w:rFonts w:hint="eastAsia"/>
          <w:sz w:val="28"/>
          <w:szCs w:val="28"/>
        </w:rPr>
        <w:t>项目（项目编号：</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rPr>
        <w:t>）进行了采购，</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rPr>
        <w:t>为该项目中标供应商。</w:t>
      </w:r>
    </w:p>
    <w:p>
      <w:pPr>
        <w:ind w:leftChars="58" w:left="139" w:firstLineChars="150" w:firstLine="420"/>
        <w:rPr>
          <w:rFonts w:ascii="宋体" w:cs="宋体"/>
          <w:sz w:val="28"/>
          <w:szCs w:val="28"/>
        </w:rPr>
      </w:pPr>
      <w:r>
        <w:rPr>
          <w:rFonts w:ascii="宋体" w:cs="宋体" w:hint="eastAsia"/>
          <w:sz w:val="28"/>
          <w:szCs w:val="28"/>
          <w:u w:val="single"/>
        </w:rPr>
        <w:t xml:space="preserve">  海南体育职业技术学院   </w:t>
      </w:r>
      <w:r>
        <w:rPr>
          <w:rFonts w:ascii="宋体" w:cs="宋体" w:hint="eastAsia"/>
          <w:sz w:val="28"/>
          <w:szCs w:val="28"/>
          <w:lang w:val="zh-CN"/>
        </w:rPr>
        <w:t>(以下简称：甲方)</w:t>
      </w:r>
      <w:r>
        <w:rPr>
          <w:rFonts w:ascii="宋体" w:cs="宋体" w:hint="eastAsia"/>
          <w:sz w:val="28"/>
          <w:szCs w:val="28"/>
        </w:rPr>
        <w:t xml:space="preserve">和 </w:t>
      </w:r>
      <w:r>
        <w:rPr>
          <w:rFonts w:ascii="宋体" w:cs="宋体" w:hint="eastAsia"/>
          <w:sz w:val="28"/>
          <w:szCs w:val="28"/>
          <w:u w:val="single"/>
        </w:rPr>
        <w:t xml:space="preserve"> </w:t>
      </w:r>
      <w:r>
        <w:rPr>
          <w:rFonts w:ascii="宋体" w:cs="宋体"/>
          <w:sz w:val="28"/>
          <w:szCs w:val="28"/>
          <w:u w:val="single"/>
        </w:rPr>
        <w:t xml:space="preserve">              </w:t>
      </w:r>
      <w:r>
        <w:rPr>
          <w:rFonts w:ascii="宋体" w:cs="宋体" w:hint="eastAsia"/>
          <w:sz w:val="28"/>
          <w:szCs w:val="28"/>
          <w:lang w:val="zh-CN"/>
        </w:rPr>
        <w:t>(以下简称：乙方)</w:t>
      </w:r>
      <w:r>
        <w:rPr>
          <w:rFonts w:ascii="宋体" w:cs="宋体" w:hint="eastAsia"/>
          <w:sz w:val="28"/>
          <w:szCs w:val="28"/>
        </w:rPr>
        <w:t>根据《中华人民共和国民法典》、</w:t>
      </w:r>
      <w:r>
        <w:rPr>
          <w:rFonts w:ascii="宋体" w:cs="宋体" w:hint="eastAsia"/>
          <w:sz w:val="28"/>
          <w:szCs w:val="28"/>
          <w:lang w:val="zh-CN"/>
        </w:rPr>
        <w:t>《中华人民共和国政府采购法》等相</w:t>
      </w:r>
      <w:r>
        <w:rPr>
          <w:rFonts w:ascii="宋体" w:cs="宋体" w:hint="eastAsia"/>
          <w:sz w:val="28"/>
          <w:szCs w:val="28"/>
        </w:rPr>
        <w:t>关法律法规，遵循平等、自愿、公平和诚实信用原则，同意按照下面的条款和条件订立本政府采购合同，共同信守。</w:t>
      </w:r>
    </w:p>
    <w:p>
      <w:pPr>
        <w:spacing w:beforeLines="50" w:before="156"/>
        <w:outlineLvl w:val="0"/>
        <w:rPr>
          <w:rFonts w:ascii="宋体" w:cs="宋体"/>
          <w:b/>
          <w:sz w:val="28"/>
          <w:szCs w:val="28"/>
        </w:rPr>
      </w:pPr>
      <w:r>
        <w:rPr>
          <w:rFonts w:ascii="宋体" w:cs="宋体" w:hint="eastAsia"/>
          <w:b/>
          <w:sz w:val="28"/>
          <w:szCs w:val="28"/>
        </w:rPr>
        <w:t>一、政府采购合同文件</w:t>
      </w:r>
    </w:p>
    <w:p>
      <w:pPr>
        <w:rPr>
          <w:rFonts w:ascii="宋体" w:cs="宋体"/>
          <w:sz w:val="28"/>
          <w:szCs w:val="28"/>
        </w:rPr>
      </w:pPr>
      <w:r>
        <w:rPr>
          <w:rFonts w:ascii="宋体" w:cs="宋体" w:hint="eastAsia"/>
          <w:sz w:val="28"/>
          <w:szCs w:val="28"/>
        </w:rPr>
        <w:t>本政府采购合同所附下列文件是构成本政府采购合同不可分割的部分：</w:t>
      </w:r>
    </w:p>
    <w:p>
      <w:pPr>
        <w:rPr>
          <w:rFonts w:ascii="宋体" w:cs="宋体"/>
          <w:sz w:val="28"/>
          <w:szCs w:val="28"/>
        </w:rPr>
      </w:pPr>
      <w:r>
        <w:rPr>
          <w:rFonts w:ascii="宋体" w:cs="宋体" w:hint="eastAsia"/>
          <w:sz w:val="28"/>
          <w:szCs w:val="28"/>
        </w:rPr>
        <w:t>1.招标文件（含澄清或者修改文件）；</w:t>
      </w:r>
    </w:p>
    <w:p>
      <w:pPr>
        <w:rPr>
          <w:rFonts w:ascii="宋体" w:cs="宋体"/>
          <w:sz w:val="28"/>
          <w:szCs w:val="28"/>
        </w:rPr>
      </w:pPr>
      <w:r>
        <w:rPr>
          <w:rFonts w:ascii="宋体" w:cs="宋体" w:hint="eastAsia"/>
          <w:sz w:val="28"/>
          <w:szCs w:val="28"/>
        </w:rPr>
        <w:t>2.招标文件的更正公告、变更公告；</w:t>
      </w:r>
    </w:p>
    <w:p>
      <w:pPr>
        <w:rPr>
          <w:rFonts w:ascii="宋体" w:cs="宋体"/>
          <w:sz w:val="28"/>
          <w:szCs w:val="28"/>
        </w:rPr>
      </w:pPr>
      <w:r>
        <w:rPr>
          <w:rFonts w:ascii="宋体" w:cs="宋体" w:hint="eastAsia"/>
          <w:sz w:val="28"/>
          <w:szCs w:val="28"/>
        </w:rPr>
        <w:t>3.乙方提交的投标文件（含澄清或者说明文件）；</w:t>
      </w:r>
    </w:p>
    <w:p>
      <w:pPr>
        <w:rPr>
          <w:rFonts w:ascii="宋体" w:cs="宋体"/>
          <w:sz w:val="28"/>
          <w:szCs w:val="28"/>
        </w:rPr>
      </w:pPr>
      <w:r>
        <w:rPr>
          <w:rFonts w:ascii="宋体" w:cs="宋体" w:hint="eastAsia"/>
          <w:sz w:val="28"/>
          <w:szCs w:val="28"/>
        </w:rPr>
        <w:t>4.政府采购合同条款；</w:t>
      </w:r>
    </w:p>
    <w:p>
      <w:pPr>
        <w:rPr>
          <w:rFonts w:ascii="宋体" w:cs="宋体"/>
          <w:sz w:val="28"/>
          <w:szCs w:val="28"/>
        </w:rPr>
      </w:pPr>
      <w:r>
        <w:rPr>
          <w:rFonts w:ascii="宋体" w:cs="宋体" w:hint="eastAsia"/>
          <w:sz w:val="28"/>
          <w:szCs w:val="28"/>
        </w:rPr>
        <w:t>5.中标通知书；</w:t>
      </w:r>
    </w:p>
    <w:p>
      <w:pPr>
        <w:rPr>
          <w:rFonts w:ascii="宋体" w:cs="宋体"/>
          <w:sz w:val="28"/>
          <w:szCs w:val="28"/>
        </w:rPr>
      </w:pPr>
      <w:r>
        <w:rPr>
          <w:rFonts w:ascii="宋体" w:cs="宋体" w:hint="eastAsia"/>
          <w:sz w:val="28"/>
          <w:szCs w:val="28"/>
        </w:rPr>
        <w:t>6.政府采购合同的其它附件。</w:t>
      </w:r>
    </w:p>
    <w:p>
      <w:pPr>
        <w:spacing w:beforeLines="50" w:before="156"/>
        <w:outlineLvl w:val="0"/>
        <w:rPr>
          <w:rFonts w:ascii="宋体" w:cs="宋体"/>
          <w:b/>
          <w:sz w:val="28"/>
          <w:szCs w:val="28"/>
        </w:rPr>
      </w:pPr>
      <w:r>
        <w:rPr>
          <w:rFonts w:ascii="宋体" w:cs="宋体" w:hint="eastAsia"/>
          <w:b/>
          <w:sz w:val="28"/>
          <w:szCs w:val="28"/>
        </w:rPr>
        <w:t>二、政府采购合同范围和条件</w:t>
      </w:r>
    </w:p>
    <w:p>
      <w:pPr>
        <w:rPr>
          <w:rFonts w:ascii="宋体" w:cs="宋体"/>
          <w:b/>
          <w:sz w:val="28"/>
          <w:szCs w:val="28"/>
        </w:rPr>
      </w:pPr>
      <w:r>
        <w:rPr>
          <w:rFonts w:ascii="宋体" w:cs="宋体" w:hint="eastAsia"/>
          <w:sz w:val="28"/>
          <w:szCs w:val="28"/>
        </w:rPr>
        <w:t>本政府采购合同的范围和条件与上述政府采购合同文件的规定相一致。</w:t>
      </w:r>
    </w:p>
    <w:p>
      <w:pPr>
        <w:spacing w:beforeLines="50" w:before="156"/>
        <w:outlineLvl w:val="0"/>
        <w:rPr>
          <w:rFonts w:ascii="宋体" w:cs="宋体"/>
          <w:b/>
          <w:sz w:val="28"/>
          <w:szCs w:val="28"/>
        </w:rPr>
      </w:pPr>
      <w:r>
        <w:rPr>
          <w:rFonts w:ascii="宋体" w:cs="宋体" w:hint="eastAsia"/>
          <w:b/>
          <w:sz w:val="28"/>
          <w:szCs w:val="28"/>
        </w:rPr>
        <w:t>三、政府采购合同标的</w:t>
      </w:r>
    </w:p>
    <w:p>
      <w:pPr>
        <w:rPr>
          <w:rFonts w:ascii="宋体" w:cs="宋体"/>
          <w:sz w:val="28"/>
          <w:szCs w:val="28"/>
        </w:rPr>
      </w:pPr>
      <w:r>
        <w:rPr>
          <w:rFonts w:ascii="宋体" w:cs="宋体" w:hint="eastAsia"/>
          <w:sz w:val="28"/>
          <w:szCs w:val="28"/>
        </w:rPr>
        <w:t>本政府采购合同的标的为政府采购合同服务清单(同投标文件中的开标一览表/分项报价明细表)中所列相关服务。</w:t>
      </w:r>
    </w:p>
    <w:tbl>
      <w:tblPr>
        <w:jc w:val="left"/>
        <w:tblInd w:w="0" w:type="dxa"/>
        <w:tblW w:w="8648"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853"/>
        <w:gridCol w:w="1728"/>
        <w:gridCol w:w="3233"/>
        <w:gridCol w:w="2833"/>
      </w:tblGrid>
      <w:tr>
        <w:trPr>
          <w:trHeight w:val="935"/>
        </w:trPr>
        <w:tc>
          <w:tcPr>
            <w:tcW w:w="853"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仿宋_GB2312" w:eastAsia="仿宋_GB2312" w:cs="Arial"/>
                <w:b/>
                <w:i w:val="0"/>
                <w:color w:val="000000"/>
                <w:sz w:val="24"/>
              </w:rPr>
            </w:pPr>
            <w:r>
              <w:rPr>
                <w:rFonts w:ascii="仿宋_GB2312" w:eastAsia="仿宋_GB2312" w:cs="Arial"/>
                <w:b/>
                <w:i w:val="0"/>
                <w:color w:val="000000"/>
                <w:sz w:val="24"/>
              </w:rPr>
              <w:t>序号</w:t>
            </w:r>
          </w:p>
        </w:tc>
        <w:tc>
          <w:tcPr>
            <w:tcW w:w="1728" w:type="dxa"/>
            <w:tcBorders>
              <w:top w:val="single" w:sz="12" w:space="0" w:color="auto"/>
              <w:left w:val="nil"/>
              <w:bottom w:val="single" w:sz="12" w:space="0" w:color="auto"/>
              <w:right w:val="single" w:sz="12" w:space="0" w:color="auto"/>
              <w:tl2br w:val="nil"/>
              <w:tr2bl w:val="nil"/>
            </w:tcBorders>
            <w:noWrap/>
            <w:vAlign w:val="center"/>
          </w:tcPr>
          <w:p>
            <w:pPr>
              <w:ind w:left="0" w:firstLineChars="0" w:firstLine="0"/>
              <w:jc w:val="both"/>
              <w:rPr>
                <w:rFonts w:ascii="仿宋_GB2312" w:eastAsia="仿宋_GB2312" w:cs="Arial"/>
                <w:b/>
                <w:i w:val="0"/>
                <w:color w:val="000000"/>
                <w:sz w:val="24"/>
              </w:rPr>
            </w:pPr>
            <w:r>
              <w:rPr>
                <w:rFonts w:ascii="仿宋_GB2312" w:eastAsia="仿宋_GB2312" w:cs="Arial"/>
                <w:b/>
                <w:i w:val="0"/>
                <w:color w:val="000000"/>
                <w:sz w:val="24"/>
              </w:rPr>
              <w:t>项目</w:t>
            </w:r>
          </w:p>
        </w:tc>
        <w:tc>
          <w:tcPr>
            <w:tcW w:w="3233" w:type="dxa"/>
            <w:tcBorders>
              <w:top w:val="single" w:sz="12" w:space="0" w:color="auto"/>
              <w:left w:val="nil"/>
              <w:bottom w:val="single" w:sz="12" w:space="0" w:color="auto"/>
              <w:right w:val="single" w:sz="12" w:space="0" w:color="auto"/>
              <w:tl2br w:val="nil"/>
              <w:tr2bl w:val="nil"/>
            </w:tcBorders>
            <w:noWrap/>
            <w:vAlign w:val="center"/>
          </w:tcPr>
          <w:p>
            <w:pPr>
              <w:ind w:left="0" w:firstLineChars="0" w:firstLine="0"/>
              <w:jc w:val="both"/>
              <w:rPr>
                <w:rFonts w:ascii="仿宋_GB2312" w:eastAsia="仿宋_GB2312" w:cs="Arial"/>
                <w:b/>
                <w:i w:val="0"/>
                <w:color w:val="000000"/>
                <w:sz w:val="24"/>
              </w:rPr>
            </w:pPr>
            <w:r>
              <w:rPr>
                <w:rFonts w:ascii="仿宋_GB2312" w:eastAsia="仿宋_GB2312" w:cs="Arial"/>
                <w:b/>
                <w:i w:val="0"/>
                <w:color w:val="000000"/>
                <w:sz w:val="24"/>
              </w:rPr>
              <w:t>年支出(元)</w:t>
            </w:r>
          </w:p>
        </w:tc>
        <w:tc>
          <w:tcPr>
            <w:tcW w:w="2833" w:type="dxa"/>
            <w:tcBorders>
              <w:top w:val="single" w:sz="12" w:space="0" w:color="auto"/>
              <w:left w:val="nil"/>
              <w:bottom w:val="single" w:sz="12" w:space="0" w:color="auto"/>
              <w:right w:val="single" w:sz="12" w:space="0" w:color="auto"/>
              <w:tl2br w:val="nil"/>
              <w:tr2bl w:val="nil"/>
            </w:tcBorders>
            <w:noWrap/>
            <w:vAlign w:val="center"/>
          </w:tcPr>
          <w:p>
            <w:pPr>
              <w:ind w:left="0" w:firstLineChars="0" w:firstLine="0"/>
              <w:jc w:val="both"/>
              <w:rPr>
                <w:rFonts w:ascii="仿宋_GB2312" w:eastAsia="仿宋_GB2312" w:cs="Arial"/>
                <w:b/>
                <w:i w:val="0"/>
                <w:color w:val="000000"/>
                <w:sz w:val="24"/>
              </w:rPr>
            </w:pPr>
            <w:r>
              <w:rPr>
                <w:rFonts w:ascii="仿宋_GB2312" w:eastAsia="仿宋_GB2312" w:cs="Arial"/>
                <w:b/>
                <w:i w:val="0"/>
                <w:color w:val="000000"/>
                <w:sz w:val="24"/>
              </w:rPr>
              <w:t>费用说明</w:t>
            </w:r>
          </w:p>
        </w:tc>
      </w:tr>
      <w:tr>
        <w:trPr>
          <w:trHeight w:val="1439"/>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1</w:t>
            </w:r>
          </w:p>
        </w:tc>
        <w:tc>
          <w:tcPr>
            <w:tcW w:w="1728"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人员薪酬</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color w:val="000000"/>
                <w:sz w:val="22"/>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olor w:val="000000"/>
                <w:sz w:val="24"/>
              </w:rPr>
            </w:pPr>
          </w:p>
        </w:tc>
      </w:tr>
      <w:tr>
        <w:trPr>
          <w:trHeight w:val="1094"/>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2</w:t>
            </w:r>
          </w:p>
        </w:tc>
        <w:tc>
          <w:tcPr>
            <w:tcW w:w="1728"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设备维保费</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cs="Arial"/>
                <w:sz w:val="24"/>
              </w:rPr>
            </w:pPr>
          </w:p>
        </w:tc>
      </w:tr>
      <w:tr>
        <w:trPr>
          <w:trHeight w:val="779"/>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3</w:t>
            </w:r>
          </w:p>
        </w:tc>
        <w:tc>
          <w:tcPr>
            <w:tcW w:w="1728" w:type="dxa"/>
            <w:tcBorders>
              <w:top w:val="single" w:sz="12" w:space="0" w:color="auto"/>
              <w:left w:val="single" w:sz="12" w:space="0" w:color="auto"/>
              <w:bottom w:val="nil"/>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安保费用</w:t>
            </w:r>
          </w:p>
        </w:tc>
        <w:tc>
          <w:tcPr>
            <w:tcW w:w="3233" w:type="dxa"/>
            <w:tcBorders>
              <w:top w:val="single" w:sz="12" w:space="0" w:color="auto"/>
              <w:left w:val="single" w:sz="12" w:space="0" w:color="auto"/>
              <w:bottom w:val="single" w:sz="12" w:space="0" w:color="auto"/>
              <w:right w:val="single" w:sz="12" w:space="0" w:color="auto"/>
              <w:tl2br w:val="nil"/>
              <w:tr2bl w:val="nil"/>
            </w:tcBorders>
            <w:shd w:val="clear" w:color="auto" w:fill="FFFFFF"/>
            <w:noWrap/>
            <w:vAlign w:val="center"/>
          </w:tcPr>
          <w:p>
            <w:pPr>
              <w:jc w:val="center"/>
              <w:rPr>
                <w:rFonts w:ascii="宋体" w:eastAsia="宋体" w:cs="Arial"/>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cs="Arial"/>
                <w:color w:val="000000"/>
                <w:sz w:val="24"/>
              </w:rPr>
            </w:pPr>
          </w:p>
        </w:tc>
      </w:tr>
      <w:tr>
        <w:trPr>
          <w:trHeight w:val="1499"/>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4</w:t>
            </w:r>
          </w:p>
        </w:tc>
        <w:tc>
          <w:tcPr>
            <w:tcW w:w="1728" w:type="dxa"/>
            <w:tcBorders>
              <w:top w:val="single" w:sz="6" w:space="0" w:color="auto"/>
              <w:left w:val="single" w:sz="6" w:space="0" w:color="auto"/>
              <w:bottom w:val="single" w:sz="6" w:space="0" w:color="auto"/>
              <w:right w:val="single" w:sz="6"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绿化保洁费用</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cs="Arial"/>
                <w:color w:val="000000"/>
                <w:sz w:val="24"/>
              </w:rPr>
            </w:pPr>
          </w:p>
        </w:tc>
      </w:tr>
      <w:tr>
        <w:trPr>
          <w:trHeight w:val="824"/>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5</w:t>
            </w:r>
          </w:p>
        </w:tc>
        <w:tc>
          <w:tcPr>
            <w:tcW w:w="1728"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行政费用</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cs="Arial"/>
                <w:color w:val="000000"/>
                <w:sz w:val="24"/>
              </w:rPr>
            </w:pPr>
          </w:p>
        </w:tc>
      </w:tr>
      <w:tr>
        <w:trPr>
          <w:trHeight w:val="779"/>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6</w:t>
            </w:r>
          </w:p>
        </w:tc>
        <w:tc>
          <w:tcPr>
            <w:tcW w:w="1728"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公共责任险</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cs="Arial"/>
                <w:color w:val="000000"/>
                <w:sz w:val="24"/>
              </w:rPr>
            </w:pPr>
          </w:p>
        </w:tc>
      </w:tr>
      <w:tr>
        <w:trPr>
          <w:trHeight w:val="1184"/>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7</w:t>
            </w:r>
          </w:p>
        </w:tc>
        <w:tc>
          <w:tcPr>
            <w:tcW w:w="1728"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公共区域水电费</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cs="Arial"/>
                <w:color w:val="000000"/>
                <w:sz w:val="24"/>
              </w:rPr>
            </w:pPr>
          </w:p>
        </w:tc>
      </w:tr>
      <w:tr>
        <w:trPr>
          <w:trHeight w:val="719"/>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8</w:t>
            </w:r>
          </w:p>
        </w:tc>
        <w:tc>
          <w:tcPr>
            <w:tcW w:w="1728"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小   计</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b/>
                <w:i w:val="0"/>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rPr>
                <w:rFonts w:ascii="宋体" w:eastAsia="宋体"/>
                <w:b/>
                <w:i w:val="0"/>
                <w:color w:val="000000"/>
                <w:sz w:val="24"/>
              </w:rPr>
            </w:pPr>
          </w:p>
        </w:tc>
      </w:tr>
      <w:tr>
        <w:trPr>
          <w:trHeight w:val="719"/>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9</w:t>
            </w:r>
          </w:p>
        </w:tc>
        <w:tc>
          <w:tcPr>
            <w:tcW w:w="1728" w:type="dxa"/>
            <w:tcBorders>
              <w:top w:val="single" w:sz="12" w:space="0" w:color="auto"/>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营业税及附加</w:t>
            </w:r>
          </w:p>
        </w:tc>
        <w:tc>
          <w:tcPr>
            <w:tcW w:w="32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b/>
                <w:i w:val="0"/>
                <w:color w:val="000000"/>
                <w:sz w:val="24"/>
              </w:rPr>
            </w:pPr>
          </w:p>
        </w:tc>
        <w:tc>
          <w:tcPr>
            <w:tcW w:w="2833" w:type="dxa"/>
            <w:tcBorders>
              <w:top w:val="single" w:sz="12" w:space="0" w:color="auto"/>
              <w:left w:val="single" w:sz="12" w:space="0" w:color="auto"/>
              <w:bottom w:val="single" w:sz="12" w:space="0" w:color="auto"/>
              <w:right w:val="single" w:sz="12" w:space="0" w:color="auto"/>
              <w:tl2br w:val="nil"/>
              <w:tr2bl w:val="nil"/>
            </w:tcBorders>
            <w:noWrap/>
            <w:vAlign w:val="center"/>
          </w:tcPr>
          <w:p>
            <w:pPr>
              <w:jc w:val="center"/>
              <w:rPr>
                <w:rFonts w:ascii="宋体" w:eastAsia="宋体" w:cs="Arial"/>
                <w:b/>
                <w:i w:val="0"/>
                <w:color w:val="000000"/>
                <w:sz w:val="24"/>
              </w:rPr>
            </w:pPr>
          </w:p>
        </w:tc>
      </w:tr>
      <w:tr>
        <w:trPr>
          <w:trHeight w:val="1247"/>
        </w:trPr>
        <w:tc>
          <w:tcPr>
            <w:tcW w:w="853" w:type="dxa"/>
            <w:tcBorders>
              <w:top w:val="nil"/>
              <w:left w:val="single" w:sz="12" w:space="0" w:color="auto"/>
              <w:bottom w:val="single" w:sz="12" w:space="0" w:color="auto"/>
              <w:right w:val="single" w:sz="12" w:space="0" w:color="auto"/>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10</w:t>
            </w:r>
          </w:p>
        </w:tc>
        <w:tc>
          <w:tcPr>
            <w:tcW w:w="1728" w:type="dxa"/>
            <w:tcBorders>
              <w:top w:val="single" w:sz="12" w:space="0" w:color="auto"/>
              <w:left w:val="nil"/>
              <w:bottom w:val="single" w:sz="12" w:space="0" w:color="auto"/>
              <w:right w:val="single" w:sz="12" w:space="0" w:color="000000"/>
              <w:tl2br w:val="nil"/>
              <w:tr2bl w:val="nil"/>
            </w:tcBorders>
            <w:noWrap/>
            <w:vAlign w:val="center"/>
          </w:tcPr>
          <w:p>
            <w:pPr>
              <w:ind w:left="0" w:firstLineChars="0" w:firstLine="0"/>
              <w:jc w:val="both"/>
              <w:rPr>
                <w:rFonts w:ascii="宋体" w:eastAsia="宋体" w:cs="Arial"/>
                <w:b/>
                <w:i w:val="0"/>
                <w:color w:val="000000"/>
                <w:sz w:val="24"/>
              </w:rPr>
            </w:pPr>
            <w:r>
              <w:rPr>
                <w:rFonts w:ascii="宋体" w:eastAsia="宋体" w:cs="Arial"/>
                <w:b/>
                <w:i w:val="0"/>
                <w:color w:val="000000"/>
                <w:sz w:val="24"/>
              </w:rPr>
              <w:t>年度费用合计</w:t>
            </w:r>
          </w:p>
        </w:tc>
        <w:tc>
          <w:tcPr>
            <w:tcW w:w="3233" w:type="dxa"/>
            <w:tcBorders>
              <w:top w:val="nil"/>
              <w:left w:val="nil"/>
              <w:bottom w:val="single" w:sz="12" w:space="0" w:color="auto"/>
              <w:right w:val="single" w:sz="12" w:space="0" w:color="auto"/>
              <w:tl2br w:val="nil"/>
              <w:tr2bl w:val="nil"/>
            </w:tcBorders>
            <w:noWrap/>
            <w:vAlign w:val="center"/>
          </w:tcPr>
          <w:p>
            <w:pPr>
              <w:jc w:val="center"/>
              <w:rPr>
                <w:rFonts w:ascii="宋体" w:eastAsia="宋体" w:cs="Arial"/>
                <w:b/>
                <w:i w:val="0"/>
                <w:color w:val="000000"/>
                <w:sz w:val="28"/>
              </w:rPr>
            </w:pPr>
          </w:p>
        </w:tc>
        <w:tc>
          <w:tcPr>
            <w:tcW w:w="2833" w:type="dxa"/>
            <w:tcBorders>
              <w:top w:val="nil"/>
              <w:left w:val="nil"/>
              <w:bottom w:val="single" w:sz="12" w:space="0" w:color="auto"/>
              <w:right w:val="single" w:sz="12" w:space="0" w:color="auto"/>
              <w:tl2br w:val="nil"/>
              <w:tr2bl w:val="nil"/>
            </w:tcBorders>
            <w:noWrap/>
            <w:vAlign w:val="center"/>
          </w:tcPr>
          <w:p>
            <w:pPr>
              <w:rPr>
                <w:rFonts w:ascii="宋体" w:eastAsia="宋体"/>
                <w:b/>
                <w:i w:val="0"/>
                <w:color w:val="000000"/>
                <w:sz w:val="24"/>
              </w:rPr>
            </w:pPr>
          </w:p>
        </w:tc>
      </w:tr>
    </w:tbl>
    <w:p>
      <w:pPr>
        <w:pStyle w:val="2"/>
      </w:pPr>
    </w:p>
    <w:p>
      <w:pPr>
        <w:spacing w:beforeLines="50" w:before="156"/>
        <w:outlineLvl w:val="0"/>
        <w:rPr>
          <w:rFonts w:ascii="宋体" w:cs="宋体"/>
          <w:b/>
          <w:sz w:val="28"/>
          <w:szCs w:val="28"/>
        </w:rPr>
      </w:pPr>
      <w:r>
        <w:rPr>
          <w:rFonts w:ascii="宋体" w:cs="宋体" w:hint="eastAsia"/>
          <w:b/>
          <w:sz w:val="28"/>
          <w:szCs w:val="28"/>
        </w:rPr>
        <w:t>四、政府采购合同金额</w:t>
      </w:r>
    </w:p>
    <w:p>
      <w:pPr>
        <w:spacing w:line="576" w:lineRule="exact"/>
        <w:rPr>
          <w:rFonts w:ascii="宋体" w:cs="宋体"/>
          <w:b/>
          <w:sz w:val="28"/>
          <w:szCs w:val="28"/>
        </w:rPr>
      </w:pPr>
      <w:r>
        <w:rPr>
          <w:rFonts w:ascii="宋体" w:cs="宋体" w:hint="eastAsia"/>
          <w:sz w:val="28"/>
          <w:szCs w:val="28"/>
        </w:rPr>
        <w:t>根据上述政府采购合同文件要求，政府采购合同的金额为：</w:t>
      </w:r>
      <w:r>
        <w:rPr>
          <w:rFonts w:ascii="宋体" w:cs="宋体"/>
          <w:sz w:val="28"/>
          <w:szCs w:val="28"/>
        </w:rPr>
        <w:t xml:space="preserve">     </w:t>
      </w:r>
      <w:r>
        <w:rPr>
          <w:rFonts w:ascii="宋体" w:cs="宋体" w:hint="eastAsia"/>
          <w:sz w:val="28"/>
          <w:szCs w:val="28"/>
        </w:rPr>
        <w:t xml:space="preserve">元。 </w:t>
      </w:r>
    </w:p>
    <w:p>
      <w:pPr>
        <w:spacing w:beforeLines="50" w:before="156" w:line="576" w:lineRule="exact"/>
        <w:outlineLvl w:val="0"/>
        <w:rPr>
          <w:rFonts w:ascii="宋体" w:cs="宋体"/>
          <w:b/>
          <w:sz w:val="28"/>
          <w:szCs w:val="28"/>
        </w:rPr>
      </w:pPr>
      <w:r>
        <w:rPr>
          <w:rFonts w:ascii="宋体" w:cs="宋体" w:hint="eastAsia"/>
          <w:b/>
          <w:sz w:val="28"/>
          <w:szCs w:val="28"/>
        </w:rPr>
        <w:t>五、付款方式</w:t>
      </w:r>
    </w:p>
    <w:p>
      <w:pPr>
        <w:spacing w:line="576" w:lineRule="exact"/>
        <w:jc w:val="both"/>
        <w:rPr>
          <w:rFonts w:ascii="宋体" w:cs="宋体"/>
          <w:sz w:val="28"/>
          <w:szCs w:val="28"/>
        </w:rPr>
      </w:pPr>
      <w:r>
        <w:rPr>
          <w:rFonts w:ascii="宋体" w:cs="宋体" w:hint="eastAsia"/>
          <w:sz w:val="28"/>
          <w:szCs w:val="28"/>
          <w:lang w:val="zh-CN"/>
        </w:rPr>
        <w:t>采购单位按合同约定支付服务费：</w:t>
      </w:r>
      <w:r>
        <w:rPr>
          <w:rFonts w:ascii="宋体" w:cs="宋体"/>
          <w:sz w:val="28"/>
          <w:szCs w:val="28"/>
          <w:lang w:val="zh-CN"/>
        </w:rPr>
        <w:t>分为三次支付，每次支付      元</w:t>
      </w:r>
      <w:r>
        <w:rPr>
          <w:rFonts w:ascii="宋体" w:cs="宋体" w:hint="eastAsia"/>
          <w:sz w:val="28"/>
          <w:szCs w:val="28"/>
          <w:lang w:val="zh-CN"/>
        </w:rPr>
        <w:t>：</w:t>
      </w:r>
      <w:r>
        <w:rPr>
          <w:rFonts w:ascii="宋体" w:cs="宋体"/>
          <w:sz w:val="28"/>
          <w:szCs w:val="28"/>
          <w:u w:val="single"/>
          <w:lang w:val="zh-CN"/>
        </w:rPr>
        <w:t>合同签订后15个工作日内支付2025年5月11日至9月10日服务费，2025年9月15日前支付9月11日至2026年1月10日服务费，2026年1月15日前支付2026年1月11日至2026年5月10日服务费，如财政经费下达时间较晚，则支付期限相应向后延长。</w:t>
      </w:r>
      <w:r>
        <w:rPr>
          <w:rFonts w:ascii="宋体" w:cs="宋体" w:hint="eastAsia"/>
          <w:sz w:val="28"/>
          <w:szCs w:val="28"/>
          <w:lang w:val="zh-CN"/>
        </w:rPr>
        <w:t>乙方向甲方出具合法有效的发票</w:t>
      </w:r>
      <w:r>
        <w:rPr>
          <w:rFonts w:ascii="宋体" w:cs="宋体" w:hint="eastAsia"/>
          <w:sz w:val="28"/>
          <w:szCs w:val="28"/>
        </w:rPr>
        <w:t>后，甲方支付发票相应的款项</w:t>
      </w:r>
      <w:r>
        <w:rPr>
          <w:rFonts w:ascii="宋体" w:cs="宋体" w:hint="eastAsia"/>
          <w:sz w:val="28"/>
          <w:szCs w:val="28"/>
          <w:lang w:val="zh-CN"/>
        </w:rPr>
        <w:t>。</w:t>
      </w:r>
    </w:p>
    <w:p>
      <w:pPr>
        <w:spacing w:line="576" w:lineRule="exact"/>
        <w:rPr>
          <w:rFonts w:ascii="宋体" w:cs="宋体"/>
          <w:b/>
          <w:sz w:val="28"/>
          <w:szCs w:val="28"/>
        </w:rPr>
      </w:pPr>
      <w:r>
        <w:rPr>
          <w:rFonts w:ascii="宋体" w:cs="宋体" w:hint="eastAsia"/>
          <w:b/>
          <w:sz w:val="28"/>
          <w:szCs w:val="28"/>
        </w:rPr>
        <w:t>六、服务期、服务地点</w:t>
      </w:r>
    </w:p>
    <w:p>
      <w:pPr>
        <w:spacing w:line="576" w:lineRule="exact"/>
        <w:rPr>
          <w:rFonts w:ascii="宋体" w:cs="宋体"/>
          <w:bCs/>
          <w:sz w:val="28"/>
          <w:szCs w:val="28"/>
        </w:rPr>
      </w:pPr>
      <w:r>
        <w:rPr>
          <w:rFonts w:ascii="宋体" w:cs="宋体" w:hint="eastAsia"/>
          <w:bCs/>
          <w:sz w:val="28"/>
          <w:szCs w:val="28"/>
        </w:rPr>
        <w:t>1.服务期：2025年5月11日至2026年5月10日，2025年5月11日至新合同签订之日的服务费用由新中标单位支付给原服务方，按天支付费用为10310.98元/天（3763509元/年÷365天</w:t>
      </w:r>
      <w:r>
        <w:rPr>
          <w:rFonts w:ascii="宋体" w:cs="宋体"/>
          <w:bCs/>
          <w:sz w:val="28"/>
          <w:szCs w:val="28"/>
        </w:rPr>
        <w:t>）</w:t>
      </w:r>
      <w:r>
        <w:rPr>
          <w:rFonts w:ascii="宋体" w:cs="宋体" w:hint="eastAsia"/>
          <w:bCs/>
          <w:sz w:val="28"/>
          <w:szCs w:val="28"/>
        </w:rPr>
        <w:t>。</w:t>
      </w:r>
      <w:bookmarkStart w:id="0" w:name="_GoBack"/>
      <w:bookmarkEnd w:id="0"/>
    </w:p>
    <w:p>
      <w:pPr>
        <w:spacing w:line="576" w:lineRule="exact"/>
        <w:rPr>
          <w:rFonts w:ascii="宋体" w:cs="宋体"/>
          <w:bCs/>
          <w:sz w:val="28"/>
          <w:szCs w:val="28"/>
        </w:rPr>
      </w:pPr>
      <w:r>
        <w:rPr>
          <w:rFonts w:ascii="宋体" w:cs="宋体" w:hint="eastAsia"/>
          <w:bCs/>
          <w:sz w:val="28"/>
          <w:szCs w:val="28"/>
        </w:rPr>
        <w:t>合同金额以省财政厅实际下达金额为准，请投标人考虑到财政资金减少拨付的风险，自负盈亏。</w:t>
      </w:r>
    </w:p>
    <w:p>
      <w:pPr>
        <w:spacing w:line="576" w:lineRule="exact"/>
        <w:rPr>
          <w:rFonts w:ascii="宋体" w:cs="宋体" w:hint="eastAsia"/>
          <w:bCs/>
          <w:sz w:val="28"/>
          <w:szCs w:val="28"/>
        </w:rPr>
      </w:pPr>
      <w:r>
        <w:rPr>
          <w:rFonts w:ascii="宋体" w:cs="宋体" w:hint="eastAsia"/>
          <w:bCs/>
          <w:sz w:val="28"/>
          <w:szCs w:val="28"/>
        </w:rPr>
        <w:t>2.服务地点：采购人定地点</w:t>
      </w:r>
    </w:p>
    <w:p>
      <w:pPr>
        <w:spacing w:line="576" w:lineRule="exact"/>
        <w:rPr>
          <w:rFonts w:ascii="宋体" w:cs="宋体" w:hint="eastAsia"/>
          <w:bCs/>
          <w:sz w:val="28"/>
          <w:szCs w:val="28"/>
        </w:rPr>
      </w:pPr>
      <w:r>
        <w:rPr>
          <w:rFonts w:ascii="宋体" w:cs="宋体" w:hint="eastAsia"/>
          <w:bCs/>
          <w:sz w:val="28"/>
          <w:szCs w:val="28"/>
        </w:rPr>
        <w:t>备注：本项目采购预算为376.</w:t>
      </w:r>
      <w:r>
        <w:rPr>
          <w:rFonts w:ascii="宋体" w:cs="宋体"/>
          <w:bCs/>
          <w:sz w:val="28"/>
          <w:szCs w:val="28"/>
        </w:rPr>
        <w:t>35</w:t>
      </w:r>
      <w:r>
        <w:rPr>
          <w:rFonts w:ascii="宋体" w:cs="宋体" w:hint="eastAsia"/>
          <w:bCs/>
          <w:sz w:val="28"/>
          <w:szCs w:val="28"/>
        </w:rPr>
        <w:t>万元/年（含实际产生的公共区域水电费和园区2台变压器基本电费），投标人应要求做好开源节流并自负盈亏，以确保本项目物业管理工作正常运行。</w:t>
      </w:r>
    </w:p>
    <w:p>
      <w:pPr>
        <w:spacing w:line="576" w:lineRule="exact"/>
        <w:rPr>
          <w:rFonts w:ascii="宋体" w:cs="宋体"/>
          <w:b/>
          <w:bCs/>
          <w:sz w:val="28"/>
          <w:szCs w:val="28"/>
        </w:rPr>
      </w:pPr>
      <w:r>
        <w:rPr>
          <w:rFonts w:ascii="宋体" w:cs="宋体" w:hint="eastAsia"/>
          <w:b/>
          <w:bCs/>
          <w:sz w:val="28"/>
          <w:szCs w:val="28"/>
        </w:rPr>
        <w:t>七、双方权利义务</w:t>
      </w:r>
    </w:p>
    <w:p>
      <w:pPr>
        <w:spacing w:line="576" w:lineRule="exact"/>
        <w:rPr>
          <w:rFonts w:ascii="宋体" w:cs="宋体"/>
          <w:b/>
          <w:sz w:val="28"/>
          <w:szCs w:val="28"/>
        </w:rPr>
      </w:pPr>
      <w:r>
        <w:rPr>
          <w:rFonts w:ascii="宋体" w:cs="宋体" w:hint="eastAsia"/>
          <w:b/>
          <w:sz w:val="28"/>
          <w:szCs w:val="28"/>
        </w:rPr>
        <w:t>（一）甲方权利义务</w:t>
      </w:r>
    </w:p>
    <w:p>
      <w:pPr>
        <w:spacing w:line="576" w:lineRule="exact"/>
        <w:rPr>
          <w:rFonts w:ascii="宋体" w:cs="宋体"/>
          <w:bCs/>
          <w:sz w:val="28"/>
          <w:szCs w:val="28"/>
        </w:rPr>
      </w:pPr>
      <w:r>
        <w:rPr>
          <w:rFonts w:ascii="宋体" w:cs="宋体" w:hint="eastAsia"/>
          <w:bCs/>
          <w:sz w:val="28"/>
          <w:szCs w:val="28"/>
        </w:rPr>
        <w:t>1.甲方须为乙方提供园区建筑和设施设备等基础资料，为乙方提供办公管理用房。</w:t>
      </w:r>
    </w:p>
    <w:p>
      <w:pPr>
        <w:spacing w:line="576" w:lineRule="exact"/>
        <w:rPr>
          <w:rFonts w:ascii="宋体" w:cs="宋体"/>
          <w:bCs/>
          <w:sz w:val="28"/>
          <w:szCs w:val="28"/>
        </w:rPr>
      </w:pPr>
      <w:r>
        <w:rPr>
          <w:rFonts w:ascii="宋体" w:cs="宋体" w:hint="eastAsia"/>
          <w:bCs/>
          <w:sz w:val="28"/>
          <w:szCs w:val="28"/>
        </w:rPr>
        <w:t>2.甲方有权检查和监督乙方管理服务工作，若发现乙方工作不到位的，甲方有权要求乙方限期整改。</w:t>
      </w:r>
    </w:p>
    <w:p>
      <w:pPr>
        <w:spacing w:line="576" w:lineRule="exact"/>
        <w:rPr>
          <w:rFonts w:ascii="宋体" w:cs="宋体"/>
          <w:bCs/>
          <w:sz w:val="28"/>
          <w:szCs w:val="28"/>
        </w:rPr>
      </w:pPr>
      <w:r>
        <w:rPr>
          <w:rFonts w:ascii="宋体" w:cs="宋体" w:hint="eastAsia"/>
          <w:bCs/>
          <w:sz w:val="28"/>
          <w:szCs w:val="28"/>
        </w:rPr>
        <w:t>3.甲方须教育所属人员尊重乙方工作人员的劳动成果，积极配合乙方人员履行好合同所规定的职责和义务。</w:t>
      </w:r>
    </w:p>
    <w:p>
      <w:pPr>
        <w:spacing w:line="576" w:lineRule="exact"/>
        <w:rPr>
          <w:rFonts w:ascii="宋体" w:cs="宋体"/>
          <w:bCs/>
          <w:sz w:val="28"/>
          <w:szCs w:val="28"/>
        </w:rPr>
      </w:pPr>
      <w:r>
        <w:rPr>
          <w:rFonts w:ascii="宋体" w:cs="宋体" w:hint="eastAsia"/>
          <w:bCs/>
          <w:sz w:val="28"/>
          <w:szCs w:val="28"/>
        </w:rPr>
        <w:t>4.甲方须及时审定乙方提供的物业管理方案、请示、计划、报告。</w:t>
      </w:r>
    </w:p>
    <w:p>
      <w:pPr>
        <w:spacing w:line="576" w:lineRule="exact"/>
        <w:rPr>
          <w:rFonts w:ascii="宋体" w:cs="宋体"/>
          <w:bCs/>
          <w:sz w:val="28"/>
          <w:szCs w:val="28"/>
        </w:rPr>
      </w:pPr>
      <w:r>
        <w:rPr>
          <w:rFonts w:ascii="宋体" w:cs="宋体" w:hint="eastAsia"/>
          <w:bCs/>
          <w:sz w:val="28"/>
          <w:szCs w:val="28"/>
        </w:rPr>
        <w:t>5.甲方须按时足额向乙方支付物业管理费。</w:t>
      </w:r>
    </w:p>
    <w:p>
      <w:pPr>
        <w:spacing w:line="576" w:lineRule="exact"/>
        <w:rPr>
          <w:rFonts w:ascii="宋体" w:cs="宋体"/>
          <w:bCs/>
          <w:sz w:val="28"/>
          <w:szCs w:val="28"/>
        </w:rPr>
      </w:pPr>
      <w:r>
        <w:rPr>
          <w:rFonts w:ascii="宋体" w:cs="宋体" w:hint="eastAsia"/>
          <w:bCs/>
          <w:sz w:val="28"/>
          <w:szCs w:val="28"/>
        </w:rPr>
        <w:t>6.若园区公共物业的变配电设备、电梯、防雷与高低压检测、水池养护、外墙改造等大型专业设备设施项目如需要进行维修、更新、改造的，由乙方负责编制维修保养计划，向甲方提出报告与建议，甲方须在收到维修保养计划后十日内给予回复，经批准后执行，相关费用由甲方另行承担。</w:t>
      </w:r>
    </w:p>
    <w:p>
      <w:pPr>
        <w:spacing w:line="576" w:lineRule="exact"/>
        <w:rPr>
          <w:rFonts w:ascii="宋体" w:cs="宋体"/>
          <w:bCs/>
          <w:sz w:val="28"/>
          <w:szCs w:val="28"/>
        </w:rPr>
      </w:pPr>
      <w:r>
        <w:rPr>
          <w:rFonts w:ascii="宋体" w:cs="宋体" w:hint="eastAsia"/>
          <w:bCs/>
          <w:sz w:val="28"/>
          <w:szCs w:val="28"/>
        </w:rPr>
        <w:t>7.甲方须协助乙方协调、处理与物业使用人或园区（辖区）内相关职能部门的关系，促进物业服务工作的顺利进行。</w:t>
      </w:r>
    </w:p>
    <w:p>
      <w:pPr>
        <w:spacing w:line="576" w:lineRule="exact"/>
        <w:rPr>
          <w:rFonts w:ascii="宋体" w:cs="宋体"/>
          <w:bCs/>
          <w:sz w:val="28"/>
          <w:szCs w:val="28"/>
        </w:rPr>
      </w:pPr>
      <w:r>
        <w:rPr>
          <w:rFonts w:ascii="宋体" w:cs="宋体" w:hint="eastAsia"/>
          <w:bCs/>
          <w:sz w:val="28"/>
          <w:szCs w:val="28"/>
        </w:rPr>
        <w:t>8.甲方负责缴交每年度园区2016年后建的高杆灯电费和甲方办公室水电费。</w:t>
      </w:r>
    </w:p>
    <w:p>
      <w:pPr>
        <w:spacing w:line="576" w:lineRule="exact"/>
        <w:rPr>
          <w:rFonts w:ascii="宋体" w:cs="宋体"/>
          <w:bCs/>
          <w:sz w:val="28"/>
          <w:szCs w:val="28"/>
        </w:rPr>
      </w:pPr>
      <w:r>
        <w:rPr>
          <w:rFonts w:ascii="宋体" w:cs="宋体" w:hint="eastAsia"/>
          <w:bCs/>
          <w:sz w:val="28"/>
          <w:szCs w:val="28"/>
        </w:rPr>
        <w:t>9.甲方需及时对乙方的管理服务工作进行考核。</w:t>
      </w:r>
    </w:p>
    <w:p>
      <w:pPr>
        <w:spacing w:line="576" w:lineRule="exact"/>
        <w:rPr>
          <w:rFonts w:ascii="宋体" w:cs="宋体"/>
          <w:b/>
          <w:sz w:val="28"/>
          <w:szCs w:val="28"/>
        </w:rPr>
      </w:pPr>
      <w:r>
        <w:rPr>
          <w:rFonts w:ascii="宋体" w:cs="宋体" w:hint="eastAsia"/>
          <w:b/>
          <w:sz w:val="28"/>
          <w:szCs w:val="28"/>
        </w:rPr>
        <w:t>（二）乙方权利义务</w:t>
      </w:r>
    </w:p>
    <w:p>
      <w:pPr>
        <w:spacing w:line="576" w:lineRule="exact"/>
        <w:rPr>
          <w:rFonts w:ascii="宋体" w:cs="宋体"/>
          <w:bCs/>
          <w:sz w:val="28"/>
          <w:szCs w:val="28"/>
        </w:rPr>
      </w:pPr>
      <w:r>
        <w:rPr>
          <w:rFonts w:ascii="宋体" w:cs="宋体" w:hint="eastAsia"/>
          <w:bCs/>
          <w:sz w:val="28"/>
          <w:szCs w:val="28"/>
        </w:rPr>
        <w:t>1.乙方须严格按照《海南经济特区物业管理条例》规范管理园区，维护业主权益，规范作业，实现标准化、规范化和制度化管理。</w:t>
      </w:r>
    </w:p>
    <w:p>
      <w:pPr>
        <w:spacing w:line="576" w:lineRule="exact"/>
        <w:rPr>
          <w:rFonts w:ascii="宋体" w:cs="宋体"/>
          <w:bCs/>
          <w:sz w:val="28"/>
          <w:szCs w:val="28"/>
        </w:rPr>
      </w:pPr>
      <w:r>
        <w:rPr>
          <w:rFonts w:ascii="宋体" w:cs="宋体" w:hint="eastAsia"/>
          <w:bCs/>
          <w:sz w:val="28"/>
          <w:szCs w:val="28"/>
        </w:rPr>
        <w:t>2.乙方须负责园区设施设备日常维修维护，未经甲方同意，不得擅自拆除、改造。</w:t>
      </w:r>
    </w:p>
    <w:p>
      <w:pPr>
        <w:spacing w:line="576" w:lineRule="exact"/>
        <w:rPr>
          <w:rFonts w:ascii="宋体" w:cs="宋体"/>
          <w:bCs/>
          <w:sz w:val="28"/>
          <w:szCs w:val="28"/>
        </w:rPr>
      </w:pPr>
      <w:r>
        <w:rPr>
          <w:rFonts w:ascii="宋体" w:cs="宋体" w:hint="eastAsia"/>
          <w:bCs/>
          <w:sz w:val="28"/>
          <w:szCs w:val="28"/>
        </w:rPr>
        <w:t>3.乙方从事物业管理工作中须做到文明作业、安全生产，采取必要的安全防范措施。</w:t>
      </w:r>
    </w:p>
    <w:p>
      <w:pPr>
        <w:spacing w:line="576" w:lineRule="exact"/>
        <w:rPr>
          <w:rFonts w:ascii="宋体" w:cs="宋体"/>
          <w:bCs/>
          <w:sz w:val="28"/>
          <w:szCs w:val="28"/>
        </w:rPr>
      </w:pPr>
      <w:r>
        <w:rPr>
          <w:rFonts w:ascii="宋体" w:cs="宋体" w:hint="eastAsia"/>
          <w:bCs/>
          <w:sz w:val="28"/>
          <w:szCs w:val="28"/>
        </w:rPr>
        <w:t>4.乙方在园区管理中须建立本企业的形象识别系统，教育员工牢固树立服务意识，上岗作业应注意行为规范(专业着装、佩戴标志、语言规范、文明服务等)。</w:t>
      </w:r>
    </w:p>
    <w:p>
      <w:pPr>
        <w:spacing w:line="576" w:lineRule="exact"/>
        <w:rPr>
          <w:rFonts w:ascii="宋体" w:cs="宋体"/>
          <w:bCs/>
          <w:sz w:val="28"/>
          <w:szCs w:val="28"/>
        </w:rPr>
      </w:pPr>
      <w:r>
        <w:rPr>
          <w:rFonts w:ascii="宋体" w:cs="宋体" w:hint="eastAsia"/>
          <w:bCs/>
          <w:sz w:val="28"/>
          <w:szCs w:val="28"/>
        </w:rPr>
        <w:t>5.乙方自行负责招募、管理员工，负责对其进行上岗培训、安全生产教育，人员必须经过培训合格后方可安排在园区内工作。如员工不能胜任本职工作的，乙方应及时调整不适应工作需求的物业管理人员及其员工。</w:t>
      </w:r>
    </w:p>
    <w:p>
      <w:pPr>
        <w:spacing w:line="576" w:lineRule="exact"/>
        <w:rPr>
          <w:rFonts w:ascii="宋体" w:cs="宋体"/>
          <w:bCs/>
          <w:sz w:val="28"/>
          <w:szCs w:val="28"/>
        </w:rPr>
      </w:pPr>
      <w:r>
        <w:rPr>
          <w:rFonts w:ascii="宋体" w:cs="宋体" w:hint="eastAsia"/>
          <w:bCs/>
          <w:sz w:val="28"/>
          <w:szCs w:val="28"/>
        </w:rPr>
        <w:t>6.乙方必须按时缴纳园区电费、水费、污水处理费、生活垃圾处理费，各业主自用的水电费乙方可根据实际情况每月或每季度向各业主直接收取，乙方应提供相应的税务发票。</w:t>
      </w:r>
    </w:p>
    <w:p>
      <w:pPr>
        <w:spacing w:line="576" w:lineRule="exact"/>
        <w:rPr>
          <w:rFonts w:ascii="宋体" w:cs="宋体"/>
          <w:bCs/>
          <w:sz w:val="28"/>
          <w:szCs w:val="28"/>
        </w:rPr>
      </w:pPr>
      <w:r>
        <w:rPr>
          <w:rFonts w:ascii="宋体" w:cs="宋体" w:hint="eastAsia"/>
          <w:bCs/>
          <w:sz w:val="28"/>
          <w:szCs w:val="28"/>
        </w:rPr>
        <w:t>7.乙方在经过甲方书面同意的情况下，可选聘专业公司承担本物业的专项管理业务，但不得将本物业整体管理服务转让给第三方。</w:t>
      </w:r>
    </w:p>
    <w:p>
      <w:pPr>
        <w:spacing w:line="576" w:lineRule="exact"/>
        <w:rPr>
          <w:rFonts w:ascii="宋体" w:cs="宋体"/>
          <w:bCs/>
          <w:sz w:val="28"/>
          <w:szCs w:val="28"/>
        </w:rPr>
      </w:pPr>
      <w:r>
        <w:rPr>
          <w:rFonts w:ascii="宋体" w:cs="宋体" w:hint="eastAsia"/>
          <w:bCs/>
          <w:sz w:val="28"/>
          <w:szCs w:val="28"/>
        </w:rPr>
        <w:t>8.因不可抗力因素（如天气等自然灾害及自然老化等）造成的重大设施设备损坏，须报请甲方同意后进行维修、翻新或更换，相关费用由双方确认后，甲方另行承担。</w:t>
      </w:r>
    </w:p>
    <w:p>
      <w:pPr>
        <w:spacing w:line="576" w:lineRule="exact"/>
        <w:rPr>
          <w:rFonts w:ascii="宋体" w:cs="宋体"/>
          <w:bCs/>
          <w:sz w:val="28"/>
          <w:szCs w:val="28"/>
        </w:rPr>
      </w:pPr>
      <w:r>
        <w:rPr>
          <w:rFonts w:ascii="宋体" w:cs="宋体" w:hint="eastAsia"/>
          <w:bCs/>
          <w:sz w:val="28"/>
          <w:szCs w:val="28"/>
        </w:rPr>
        <w:t>9.乙方须配合省</w:t>
      </w:r>
      <w:r>
        <w:rPr>
          <w:rFonts w:ascii="宋体" w:cs="宋体"/>
          <w:bCs/>
          <w:sz w:val="28"/>
          <w:szCs w:val="28"/>
        </w:rPr>
        <w:t>财政</w:t>
      </w:r>
      <w:r>
        <w:rPr>
          <w:rFonts w:ascii="宋体" w:cs="宋体" w:hint="eastAsia"/>
          <w:bCs/>
          <w:sz w:val="28"/>
          <w:szCs w:val="28"/>
        </w:rPr>
        <w:t>厅、省旅文厅等有关部门的年度项目绩效考核和审计工作。</w:t>
      </w:r>
    </w:p>
    <w:p>
      <w:pPr>
        <w:spacing w:beforeLines="50" w:before="156" w:line="576" w:lineRule="exact"/>
        <w:outlineLvl w:val="0"/>
        <w:rPr>
          <w:rFonts w:ascii="宋体" w:cs="宋体"/>
          <w:b/>
          <w:sz w:val="28"/>
          <w:szCs w:val="28"/>
        </w:rPr>
      </w:pPr>
      <w:r>
        <w:rPr>
          <w:rFonts w:ascii="宋体" w:cs="宋体" w:hint="eastAsia"/>
          <w:b/>
          <w:sz w:val="28"/>
          <w:szCs w:val="28"/>
        </w:rPr>
        <w:t>八、验收要求</w:t>
      </w:r>
    </w:p>
    <w:p>
      <w:pPr>
        <w:spacing w:line="576" w:lineRule="exact"/>
        <w:ind w:right="40"/>
        <w:rPr>
          <w:rFonts w:ascii="宋体" w:eastAsia="宋体" w:cs="宋体"/>
          <w:bCs/>
          <w:sz w:val="28"/>
          <w:szCs w:val="28"/>
        </w:rPr>
      </w:pPr>
      <w:r>
        <w:rPr>
          <w:rFonts w:ascii="宋体" w:eastAsia="宋体" w:cs="宋体" w:hint="eastAsia"/>
          <w:bCs/>
          <w:sz w:val="28"/>
          <w:szCs w:val="28"/>
        </w:rPr>
        <w:t>由甲方在指定地点对所提供服务进行验收，验收标准除投标文件所响应的服务要求外，可溯源到国家、行业相关标准；乙方提供的服务应达到有关标准的要求并确保整体通过甲方的验收。</w:t>
      </w:r>
    </w:p>
    <w:tbl>
      <w:tblPr>
        <w:jc w:val="left"/>
        <w:tblInd w:w="0" w:type="dxa"/>
        <w:tblW w:w="9442"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1365"/>
        <w:gridCol w:w="3000"/>
        <w:gridCol w:w="1642"/>
        <w:gridCol w:w="1380"/>
        <w:gridCol w:w="1110"/>
        <w:gridCol w:w="945"/>
      </w:tblGrid>
      <w:tr>
        <w:trPr>
          <w:trHeight w:val="674"/>
        </w:trPr>
        <w:tc>
          <w:tcPr>
            <w:tcW w:w="136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ind w:left="0" w:firstLineChars="0" w:firstLine="0"/>
              <w:jc w:val="both"/>
              <w:rPr>
                <w:rFonts w:ascii="宋体" w:eastAsia="宋体" w:cs="Arial"/>
                <w:b/>
                <w:i w:val="0"/>
                <w:sz w:val="26"/>
              </w:rPr>
            </w:pPr>
            <w:r>
              <w:rPr>
                <w:rFonts w:ascii="宋体" w:eastAsia="宋体" w:cs="Arial"/>
                <w:b/>
                <w:i w:val="0"/>
                <w:sz w:val="26"/>
              </w:rPr>
              <w:t>评估指标</w:t>
            </w: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ind w:left="0" w:firstLineChars="0" w:firstLine="0"/>
              <w:jc w:val="both"/>
              <w:rPr>
                <w:rFonts w:ascii="宋体" w:eastAsia="宋体" w:cs="Arial"/>
                <w:b/>
                <w:i w:val="0"/>
                <w:sz w:val="26"/>
              </w:rPr>
            </w:pPr>
            <w:r>
              <w:rPr>
                <w:rFonts w:ascii="宋体" w:eastAsia="宋体" w:cs="Arial"/>
                <w:b/>
                <w:i w:val="0"/>
                <w:sz w:val="26"/>
              </w:rPr>
              <w:t>验收内容</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ind w:left="0" w:firstLineChars="0" w:firstLine="0"/>
              <w:jc w:val="both"/>
              <w:rPr>
                <w:rFonts w:ascii="宋体" w:eastAsia="宋体" w:cs="Arial"/>
                <w:b/>
                <w:i w:val="0"/>
                <w:sz w:val="26"/>
              </w:rPr>
            </w:pPr>
            <w:r>
              <w:rPr>
                <w:rFonts w:ascii="宋体" w:eastAsia="宋体" w:cs="Arial"/>
                <w:b/>
                <w:i w:val="0"/>
                <w:sz w:val="26"/>
              </w:rPr>
              <w:t>验收标准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ind w:left="0" w:firstLineChars="0" w:firstLine="0"/>
              <w:jc w:val="both"/>
              <w:rPr>
                <w:rFonts w:ascii="宋体" w:eastAsia="宋体" w:cs="Arial"/>
                <w:b/>
                <w:i w:val="0"/>
                <w:sz w:val="26"/>
              </w:rPr>
            </w:pPr>
            <w:r>
              <w:rPr>
                <w:rFonts w:ascii="宋体" w:eastAsia="宋体" w:cs="Arial"/>
                <w:b/>
                <w:i w:val="0"/>
                <w:sz w:val="26"/>
              </w:rPr>
              <w:t>满分</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ind w:left="0" w:firstLineChars="0" w:firstLine="0"/>
              <w:jc w:val="both"/>
              <w:rPr>
                <w:rFonts w:ascii="宋体" w:eastAsia="宋体" w:cs="Arial"/>
                <w:b/>
                <w:i w:val="0"/>
                <w:sz w:val="26"/>
              </w:rPr>
            </w:pPr>
            <w:r>
              <w:rPr>
                <w:rFonts w:ascii="宋体" w:eastAsia="宋体" w:cs="Arial"/>
                <w:b/>
                <w:i w:val="0"/>
                <w:sz w:val="26"/>
              </w:rPr>
              <w:t>打分</w:t>
            </w: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ind w:left="0" w:firstLineChars="0" w:firstLine="0"/>
              <w:jc w:val="both"/>
              <w:rPr>
                <w:rFonts w:ascii="宋体" w:eastAsia="宋体" w:cs="Arial"/>
                <w:b/>
                <w:i w:val="0"/>
                <w:sz w:val="26"/>
              </w:rPr>
            </w:pPr>
            <w:r>
              <w:rPr>
                <w:rFonts w:ascii="宋体" w:eastAsia="宋体" w:cs="Arial"/>
                <w:b/>
                <w:i w:val="0"/>
                <w:sz w:val="26"/>
              </w:rPr>
              <w:t>备注</w:t>
            </w:r>
          </w:p>
        </w:tc>
      </w:tr>
      <w:tr>
        <w:trPr>
          <w:trHeight w:val="1244"/>
        </w:trPr>
        <w:tc>
          <w:tcPr>
            <w:tcW w:w="136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b/>
                <w:i w:val="0"/>
                <w:sz w:val="26"/>
              </w:rPr>
            </w:pPr>
            <w:r>
              <w:rPr>
                <w:rFonts w:ascii="宋体" w:eastAsia="宋体" w:cs="Arial"/>
                <w:b/>
                <w:i w:val="0"/>
                <w:sz w:val="26"/>
              </w:rPr>
              <w:t>一、综合管理服务（10分）</w:t>
            </w: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1.严格按照《海南经济特区物业管理条例》规范管理园区，维护业主权益，规范作业，实现标准化、规范化和制度化管理。（10分）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实现标准化、规范化和制度化管理工作台账，10分。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1904"/>
        </w:trPr>
        <w:tc>
          <w:tcPr>
            <w:tcW w:w="1365" w:type="dxa"/>
            <w:vMerge w:val="restart"/>
            <w:tcBorders>
              <w:top w:val="single" w:sz="6" w:space="0" w:color="auto"/>
              <w:left w:val="single" w:sz="6" w:space="0" w:color="auto"/>
              <w:bottom w:val="nil"/>
              <w:right w:val="single" w:sz="6" w:space="0" w:color="auto"/>
              <w:tl2br w:val="nil"/>
              <w:tr2bl w:val="nil"/>
            </w:tcBorders>
            <w:shd w:val="clear" w:color="auto" w:fill="FFFFFF"/>
            <w:noWrap/>
            <w:vAlign w:val="center"/>
          </w:tcPr>
          <w:p>
            <w:pPr>
              <w:spacing w:line="300" w:lineRule="exact"/>
              <w:jc w:val="center"/>
              <w:rPr>
                <w:rFonts w:ascii="宋体" w:eastAsia="宋体" w:cs="Arial"/>
                <w:b/>
                <w:i w:val="0"/>
                <w:sz w:val="26"/>
              </w:rPr>
            </w:pPr>
            <w:r>
              <w:rPr>
                <w:rFonts w:ascii="宋体" w:eastAsia="宋体" w:cs="Arial"/>
                <w:b/>
                <w:i w:val="0"/>
                <w:sz w:val="26"/>
              </w:rPr>
              <w:t>二、维修维护服务（20分）</w:t>
            </w: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2.负责园区设施设备日常维修维护，未经甲方同意，不得擅自拆除、改造。（10分）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设备日常维修维护工作台账，10分。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914"/>
        </w:trPr>
        <w:tc>
          <w:tcPr>
            <w:tcW w:w="1365" w:type="dxa"/>
            <w:vMerge/>
            <w:tcBorders>
              <w:top w:val="nil"/>
              <w:left w:val="single" w:sz="6" w:space="0" w:color="auto"/>
              <w:bottom w:val="single" w:sz="6" w:space="0" w:color="auto"/>
              <w:right w:val="single" w:sz="6" w:space="0" w:color="auto"/>
              <w:tl2br w:val="nil"/>
              <w:tr2bl w:val="nil"/>
            </w:tcBorders>
            <w:noWrap/>
            <w:vAlign w:val="center"/>
          </w:tcP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3.从事物业管理工作中须做到文明作业、安全生产，采取必要的安全防范措施。（10分）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提供工作台账，10分。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1019"/>
        </w:trPr>
        <w:tc>
          <w:tcPr>
            <w:tcW w:w="1365" w:type="dxa"/>
            <w:vMerge w:val="restart"/>
            <w:tcBorders>
              <w:top w:val="single" w:sz="6" w:space="0" w:color="auto"/>
              <w:left w:val="single" w:sz="6" w:space="0" w:color="auto"/>
              <w:bottom w:val="nil"/>
              <w:right w:val="single" w:sz="6" w:space="0" w:color="auto"/>
              <w:tl2br w:val="nil"/>
              <w:tr2bl w:val="nil"/>
            </w:tcBorders>
            <w:shd w:val="clear" w:color="auto" w:fill="FFFFFF"/>
            <w:noWrap/>
            <w:vAlign w:val="center"/>
          </w:tcPr>
          <w:p>
            <w:pPr>
              <w:spacing w:line="300" w:lineRule="exact"/>
              <w:jc w:val="center"/>
              <w:rPr>
                <w:rFonts w:ascii="宋体" w:eastAsia="宋体" w:cs="Arial"/>
                <w:b/>
                <w:i w:val="0"/>
                <w:sz w:val="26"/>
              </w:rPr>
            </w:pPr>
            <w:r>
              <w:rPr>
                <w:rFonts w:ascii="宋体" w:eastAsia="宋体" w:cs="Arial"/>
                <w:b/>
                <w:i w:val="0"/>
                <w:sz w:val="26"/>
              </w:rPr>
              <w:t>三、人员管理服务（25分）</w:t>
            </w: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4.在园区管理中须建立本企业的形象识别系统，教育员工牢固树立服务意识，上岗作业应注意行为规范(专业着装、佩戴标志、语言规范、文明服务等)。（15分）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提供工作材料，15分。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15</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2039"/>
        </w:trPr>
        <w:tc>
          <w:tcPr>
            <w:tcW w:w="1365" w:type="dxa"/>
            <w:vMerge/>
            <w:tcBorders>
              <w:top w:val="nil"/>
              <w:left w:val="single" w:sz="6" w:space="0" w:color="auto"/>
              <w:bottom w:val="single" w:sz="6" w:space="0" w:color="auto"/>
              <w:right w:val="single" w:sz="6" w:space="0" w:color="auto"/>
              <w:tl2br w:val="nil"/>
              <w:tr2bl w:val="nil"/>
            </w:tcBorders>
            <w:noWrap/>
            <w:vAlign w:val="center"/>
          </w:tcP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5.自行负责招募、管理员工，负责对其进行上岗培训、安全生产教育，人员必须经过培训合格后方可安排在园区内工作。如员工不能胜任本职工作的，乙方应及时调整不适应工作需求的物业管理人员及其员工。（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提供工作材料，10分。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1529"/>
        </w:trPr>
        <w:tc>
          <w:tcPr>
            <w:tcW w:w="1365" w:type="dxa"/>
            <w:vMerge w:val="restart"/>
            <w:tcBorders>
              <w:top w:val="single" w:sz="6" w:space="0" w:color="auto"/>
              <w:left w:val="single" w:sz="6" w:space="0" w:color="auto"/>
              <w:bottom w:val="nil"/>
              <w:right w:val="single" w:sz="6" w:space="0" w:color="auto"/>
              <w:tl2br w:val="nil"/>
              <w:tr2bl w:val="nil"/>
            </w:tcBorders>
            <w:shd w:val="clear" w:color="auto" w:fill="FFFFFF"/>
            <w:noWrap/>
            <w:vAlign w:val="center"/>
          </w:tcPr>
          <w:p>
            <w:pPr>
              <w:spacing w:line="300" w:lineRule="exact"/>
              <w:jc w:val="center"/>
              <w:rPr>
                <w:rFonts w:ascii="宋体" w:eastAsia="宋体" w:cs="Arial"/>
                <w:b/>
                <w:i w:val="0"/>
                <w:sz w:val="26"/>
              </w:rPr>
            </w:pPr>
            <w:r>
              <w:rPr>
                <w:rFonts w:ascii="宋体" w:eastAsia="宋体" w:cs="Arial"/>
                <w:b/>
                <w:i w:val="0"/>
                <w:sz w:val="26"/>
              </w:rPr>
              <w:t>四、后勤服务（20分）</w:t>
            </w: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6.按时缴纳园区电费、水费、污水处理费、生活垃圾处理费，各业主自用的水电费乙方可根据实际情况每月或每季度向各业主直接收取，乙方应提供相应的税务发票。（15分）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提供工作台账，15分。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15</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1334"/>
        </w:trPr>
        <w:tc>
          <w:tcPr>
            <w:tcW w:w="1365" w:type="dxa"/>
            <w:vMerge/>
            <w:tcBorders>
              <w:top w:val="nil"/>
              <w:left w:val="single" w:sz="6" w:space="0" w:color="auto"/>
              <w:bottom w:val="nil"/>
              <w:right w:val="single" w:sz="6" w:space="0" w:color="auto"/>
              <w:tl2br w:val="nil"/>
              <w:tr2bl w:val="nil"/>
            </w:tcBorders>
            <w:noWrap/>
            <w:vAlign w:val="center"/>
          </w:tcP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7.在经过甲方书面同意的情况下，可选聘专业公司承担本物业的专项管理业务，但不得将本物业整体管理服务转让给第三方。（10分）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提供工作材料，10分。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1214"/>
        </w:trPr>
        <w:tc>
          <w:tcPr>
            <w:tcW w:w="1365" w:type="dxa"/>
            <w:vMerge/>
            <w:tcBorders>
              <w:top w:val="nil"/>
              <w:left w:val="single" w:sz="6" w:space="0" w:color="auto"/>
              <w:bottom w:val="single" w:sz="6" w:space="0" w:color="auto"/>
              <w:right w:val="single" w:sz="6" w:space="0" w:color="auto"/>
              <w:tl2br w:val="nil"/>
              <w:tr2bl w:val="nil"/>
            </w:tcBorders>
            <w:noWrap/>
            <w:vAlign w:val="center"/>
          </w:tcP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8.因不可抗力因素（如天气等自然灾害及自然老化等）造成的重大设施设备损坏，须报请甲方同意后进行维修、翻新或更换。（10分）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提供工作材料，10分。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1034"/>
        </w:trPr>
        <w:tc>
          <w:tcPr>
            <w:tcW w:w="136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b/>
                <w:i w:val="0"/>
                <w:sz w:val="26"/>
              </w:rPr>
            </w:pPr>
            <w:r>
              <w:rPr>
                <w:rFonts w:ascii="宋体" w:eastAsia="宋体" w:cs="Arial"/>
                <w:b/>
                <w:i w:val="0"/>
                <w:sz w:val="26"/>
              </w:rPr>
              <w:t>五、配合上级部门管理服务（10分）</w:t>
            </w:r>
          </w:p>
        </w:tc>
        <w:tc>
          <w:tcPr>
            <w:tcW w:w="300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9.配合省财政厅、省旅文厅等有关部门的年度项目绩效考核和审计工作。（10分）</w:t>
            </w:r>
          </w:p>
        </w:tc>
        <w:tc>
          <w:tcPr>
            <w:tcW w:w="1642"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cs="Arial"/>
                <w:sz w:val="26"/>
              </w:rPr>
            </w:pPr>
            <w:r>
              <w:rPr>
                <w:rFonts w:ascii="宋体" w:eastAsia="宋体" w:cs="Arial"/>
                <w:sz w:val="26"/>
              </w:rPr>
              <w:t>提供工作材料，10分。</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659"/>
        </w:trPr>
        <w:tc>
          <w:tcPr>
            <w:tcW w:w="6007" w:type="dxa"/>
            <w:gridSpan w:val="3"/>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sz w:val="26"/>
              </w:rPr>
            </w:pPr>
            <w:r>
              <w:rPr>
                <w:rFonts w:ascii="宋体" w:eastAsia="宋体" w:cs="Arial"/>
                <w:sz w:val="26"/>
              </w:rPr>
              <w:t>合计</w:t>
            </w:r>
          </w:p>
        </w:tc>
        <w:tc>
          <w:tcPr>
            <w:tcW w:w="138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cs="Arial"/>
                <w:color w:val="auto"/>
                <w:sz w:val="26"/>
              </w:rPr>
            </w:pPr>
            <w:r>
              <w:rPr>
                <w:rFonts w:ascii="宋体" w:eastAsia="宋体" w:cs="Arial"/>
                <w:color w:val="auto"/>
                <w:sz w:val="26"/>
              </w:rPr>
              <w:t>100</w:t>
            </w:r>
          </w:p>
        </w:tc>
        <w:tc>
          <w:tcPr>
            <w:tcW w:w="1110"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jc w:val="center"/>
              <w:rPr>
                <w:rFonts w:ascii="宋体" w:eastAsia="宋体"/>
                <w:sz w:val="26"/>
              </w:rPr>
            </w:pPr>
          </w:p>
        </w:tc>
        <w:tc>
          <w:tcPr>
            <w:tcW w:w="945" w:type="dxa"/>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spacing w:line="300" w:lineRule="exact"/>
              <w:rPr>
                <w:rFonts w:ascii="宋体" w:eastAsia="宋体"/>
                <w:sz w:val="26"/>
              </w:rPr>
            </w:pPr>
          </w:p>
        </w:tc>
      </w:tr>
      <w:tr>
        <w:trPr>
          <w:trHeight w:val="869"/>
        </w:trPr>
        <w:tc>
          <w:tcPr>
            <w:tcW w:w="9442" w:type="dxa"/>
            <w:gridSpan w:val="6"/>
            <w:tcBorders>
              <w:top w:val="single" w:sz="6" w:space="0" w:color="auto"/>
              <w:left w:val="single" w:sz="6" w:space="0" w:color="auto"/>
              <w:bottom w:val="single" w:sz="6" w:space="0" w:color="auto"/>
              <w:right w:val="single" w:sz="6" w:space="0" w:color="auto"/>
              <w:tl2br w:val="nil"/>
              <w:tr2bl w:val="nil"/>
            </w:tcBorders>
            <w:shd w:val="clear" w:color="auto" w:fill="FFFFFF"/>
            <w:noWrap/>
            <w:vAlign w:val="center"/>
          </w:tcPr>
          <w:p>
            <w:pPr>
              <w:rPr>
                <w:rFonts w:ascii="宋体" w:eastAsia="宋体" w:cs="Arial"/>
                <w:sz w:val="26"/>
              </w:rPr>
            </w:pPr>
            <w:r>
              <w:rPr>
                <w:rFonts w:ascii="宋体" w:eastAsia="宋体" w:cs="Arial"/>
                <w:sz w:val="26"/>
              </w:rPr>
              <w:t>存在问题和改进意见：</w:t>
            </w:r>
          </w:p>
        </w:tc>
      </w:tr>
    </w:tbl>
    <w:p>
      <w:pPr>
        <w:spacing w:line="560" w:lineRule="exact"/>
        <w:rPr>
          <w:rFonts w:ascii="宋体" w:eastAsia="宋体" w:cs="宋体"/>
          <w:color w:val="FF0000"/>
          <w:sz w:val="28"/>
          <w:szCs w:val="28"/>
        </w:rPr>
      </w:pPr>
    </w:p>
    <w:p>
      <w:pPr>
        <w:ind w:left="0" w:firstLineChars="0" w:firstLine="0"/>
        <w:rPr>
          <w:rFonts w:ascii="宋体" w:eastAsia="宋体" w:cs="宋体"/>
          <w:bCs/>
          <w:sz w:val="28"/>
          <w:szCs w:val="28"/>
        </w:rPr>
      </w:pPr>
    </w:p>
    <w:p>
      <w:pPr>
        <w:spacing w:beforeLines="50" w:before="156"/>
        <w:outlineLvl w:val="0"/>
        <w:rPr>
          <w:rFonts w:ascii="宋体" w:cs="宋体"/>
          <w:b/>
          <w:sz w:val="28"/>
          <w:szCs w:val="28"/>
        </w:rPr>
      </w:pPr>
      <w:r>
        <w:rPr>
          <w:rFonts w:ascii="宋体" w:cs="宋体" w:hint="eastAsia"/>
          <w:b/>
          <w:sz w:val="28"/>
          <w:szCs w:val="28"/>
        </w:rPr>
        <w:t>九、违约责任</w:t>
      </w:r>
    </w:p>
    <w:p>
      <w:pPr>
        <w:rPr>
          <w:rFonts w:ascii="宋体" w:cs="宋体"/>
          <w:sz w:val="28"/>
          <w:szCs w:val="28"/>
        </w:rPr>
      </w:pPr>
      <w:r>
        <w:rPr>
          <w:rFonts w:ascii="宋体" w:cs="宋体" w:hint="eastAsia"/>
          <w:sz w:val="28"/>
          <w:szCs w:val="28"/>
        </w:rPr>
        <w:t>1.如甲方验收不符合服务要求或达不到国家标准，乙方无条件终止服务并偿付合同款</w:t>
      </w:r>
      <w:r>
        <w:rPr>
          <w:rFonts w:ascii="宋体" w:cs="宋体" w:hint="eastAsia"/>
          <w:sz w:val="28"/>
          <w:szCs w:val="28"/>
          <w:u w:val="single"/>
        </w:rPr>
        <w:t xml:space="preserve"> 5</w:t>
      </w:r>
      <w:r>
        <w:rPr>
          <w:rFonts w:ascii="宋体" w:cs="宋体"/>
          <w:sz w:val="28"/>
          <w:szCs w:val="28"/>
          <w:u w:val="single"/>
        </w:rPr>
        <w:t xml:space="preserve"> </w:t>
      </w:r>
      <w:r>
        <w:rPr>
          <w:rFonts w:ascii="宋体" w:cs="宋体" w:hint="eastAsia"/>
          <w:sz w:val="28"/>
          <w:szCs w:val="28"/>
        </w:rPr>
        <w:t>%的违约金。</w:t>
      </w:r>
    </w:p>
    <w:p>
      <w:pPr>
        <w:snapToGrid w:val="0"/>
        <w:ind w:firstLineChars="185" w:firstLine="518"/>
        <w:rPr>
          <w:rFonts w:ascii="宋体" w:cs="宋体"/>
          <w:sz w:val="28"/>
          <w:szCs w:val="28"/>
        </w:rPr>
      </w:pPr>
      <w:r>
        <w:rPr>
          <w:rFonts w:ascii="宋体" w:cs="宋体" w:hint="eastAsia"/>
          <w:sz w:val="28"/>
          <w:szCs w:val="28"/>
        </w:rPr>
        <w:t>2.如乙方不能按期提供服务，每逾期一日，向甲方偿付合同款每日</w:t>
      </w:r>
      <w:r>
        <w:rPr>
          <w:rFonts w:ascii="宋体" w:cs="宋体" w:hint="eastAsia"/>
          <w:sz w:val="28"/>
          <w:szCs w:val="28"/>
          <w:u w:val="single"/>
        </w:rPr>
        <w:t xml:space="preserve">  0.5‰ </w:t>
      </w:r>
      <w:r>
        <w:rPr>
          <w:rFonts w:ascii="宋体" w:cs="宋体" w:hint="eastAsia"/>
          <w:sz w:val="28"/>
          <w:szCs w:val="28"/>
        </w:rPr>
        <w:t>的违约金。</w:t>
      </w:r>
    </w:p>
    <w:p>
      <w:pPr>
        <w:snapToGrid w:val="0"/>
        <w:ind w:firstLineChars="185" w:firstLine="518"/>
        <w:rPr>
          <w:rFonts w:ascii="宋体" w:cs="宋体"/>
          <w:sz w:val="28"/>
          <w:szCs w:val="28"/>
        </w:rPr>
      </w:pPr>
      <w:r>
        <w:rPr>
          <w:rFonts w:ascii="宋体" w:cs="宋体" w:hint="eastAsia"/>
          <w:sz w:val="28"/>
          <w:szCs w:val="28"/>
        </w:rPr>
        <w:t>3.乙方不能按照合同约定提供物业服务或者物业服务达不到招标约定标准的，甲方有权要求乙方限期整改，若乙方拒绝整改，甲方有权终止合同。</w:t>
      </w:r>
    </w:p>
    <w:p>
      <w:pPr>
        <w:snapToGrid w:val="0"/>
        <w:ind w:firstLineChars="185" w:firstLine="518"/>
        <w:rPr>
          <w:rFonts w:ascii="宋体" w:cs="宋体"/>
          <w:sz w:val="28"/>
          <w:szCs w:val="28"/>
        </w:rPr>
      </w:pPr>
      <w:r>
        <w:rPr>
          <w:rFonts w:ascii="宋体" w:cs="宋体" w:hint="eastAsia"/>
          <w:sz w:val="28"/>
          <w:szCs w:val="28"/>
        </w:rPr>
        <w:t>十、合同纠纷处理</w:t>
      </w:r>
    </w:p>
    <w:p>
      <w:pPr>
        <w:snapToGrid w:val="0"/>
        <w:ind w:firstLineChars="185" w:firstLine="518"/>
        <w:rPr>
          <w:rFonts w:ascii="宋体" w:cs="宋体"/>
          <w:sz w:val="28"/>
          <w:szCs w:val="28"/>
        </w:rPr>
      </w:pPr>
      <w:r>
        <w:rPr>
          <w:rFonts w:ascii="宋体" w:cs="宋体" w:hint="eastAsia"/>
          <w:sz w:val="28"/>
          <w:szCs w:val="28"/>
        </w:rPr>
        <w:t>本合同履行过程中发生的任何争议，甲乙双方当事人均可通过和解或者调解解决；不愿和解、调解或者和解、调解不成的，可以选择下列第 2 种方式解决：</w:t>
      </w:r>
    </w:p>
    <w:p>
      <w:pPr>
        <w:snapToGrid w:val="0"/>
        <w:ind w:firstLineChars="185" w:firstLine="518"/>
        <w:rPr>
          <w:rFonts w:ascii="宋体" w:cs="宋体"/>
          <w:sz w:val="28"/>
          <w:szCs w:val="28"/>
        </w:rPr>
      </w:pPr>
      <w:r>
        <w:rPr>
          <w:rFonts w:ascii="宋体" w:cs="宋体" w:hint="eastAsia"/>
          <w:sz w:val="28"/>
          <w:szCs w:val="28"/>
        </w:rPr>
        <w:t>1.将争议提交仲裁委员会依申请仲裁时其现行有效的仲裁规则裁决；</w:t>
      </w:r>
    </w:p>
    <w:p>
      <w:pPr>
        <w:snapToGrid w:val="0"/>
        <w:ind w:firstLineChars="185" w:firstLine="518"/>
        <w:rPr>
          <w:rFonts w:ascii="宋体" w:cs="宋体"/>
          <w:sz w:val="28"/>
          <w:szCs w:val="28"/>
        </w:rPr>
      </w:pPr>
      <w:r>
        <w:rPr>
          <w:rFonts w:ascii="宋体" w:cs="宋体" w:hint="eastAsia"/>
          <w:sz w:val="28"/>
          <w:szCs w:val="28"/>
        </w:rPr>
        <w:t>2.向合同履行地人民法院起诉。</w:t>
      </w:r>
    </w:p>
    <w:p>
      <w:pPr>
        <w:snapToGrid w:val="0"/>
        <w:ind w:firstLineChars="185" w:firstLine="518"/>
        <w:rPr>
          <w:rFonts w:ascii="宋体" w:cs="宋体"/>
          <w:sz w:val="28"/>
          <w:szCs w:val="28"/>
        </w:rPr>
      </w:pPr>
      <w:r>
        <w:rPr>
          <w:rFonts w:ascii="宋体" w:cs="宋体" w:hint="eastAsia"/>
          <w:sz w:val="28"/>
          <w:szCs w:val="28"/>
        </w:rPr>
        <w:t>十一、政府采购合同生效</w:t>
      </w:r>
    </w:p>
    <w:p>
      <w:pPr>
        <w:snapToGrid w:val="0"/>
        <w:ind w:firstLineChars="185" w:firstLine="518"/>
        <w:rPr>
          <w:rFonts w:ascii="宋体" w:cs="宋体"/>
          <w:sz w:val="28"/>
          <w:szCs w:val="28"/>
        </w:rPr>
      </w:pPr>
      <w:r>
        <w:rPr>
          <w:rFonts w:ascii="宋体" w:cs="宋体" w:hint="eastAsia"/>
          <w:sz w:val="28"/>
          <w:szCs w:val="28"/>
        </w:rPr>
        <w:t>本政府采购合同经甲、乙双方授权代表签字盖章后生效。</w:t>
      </w:r>
    </w:p>
    <w:p>
      <w:pPr>
        <w:snapToGrid w:val="0"/>
        <w:ind w:firstLineChars="185" w:firstLine="518"/>
        <w:rPr>
          <w:rFonts w:ascii="宋体" w:cs="宋体"/>
          <w:sz w:val="28"/>
          <w:szCs w:val="28"/>
        </w:rPr>
      </w:pPr>
      <w:r>
        <w:rPr>
          <w:rFonts w:ascii="宋体" w:cs="宋体" w:hint="eastAsia"/>
          <w:sz w:val="28"/>
          <w:szCs w:val="28"/>
        </w:rPr>
        <w:t>本合同共肆份：甲、乙双方各执贰份。</w:t>
      </w:r>
    </w:p>
    <w:p>
      <w:pPr>
        <w:snapToGrid w:val="0"/>
        <w:ind w:firstLineChars="185" w:firstLine="518"/>
        <w:rPr>
          <w:rFonts w:ascii="宋体" w:cs="宋体"/>
          <w:sz w:val="28"/>
          <w:szCs w:val="28"/>
        </w:rPr>
      </w:pPr>
      <w:r>
        <w:rPr>
          <w:rFonts w:ascii="宋体" w:cs="宋体" w:hint="eastAsia"/>
          <w:sz w:val="28"/>
          <w:szCs w:val="28"/>
        </w:rPr>
        <w:t>十二、其他</w:t>
      </w:r>
    </w:p>
    <w:p>
      <w:pPr>
        <w:snapToGrid w:val="0"/>
        <w:ind w:firstLineChars="185" w:firstLine="518"/>
        <w:rPr>
          <w:rFonts w:ascii="宋体" w:cs="宋体"/>
          <w:sz w:val="28"/>
          <w:szCs w:val="28"/>
        </w:rPr>
      </w:pPr>
      <w:r>
        <w:rPr>
          <w:rFonts w:ascii="宋体" w:cs="宋体" w:hint="eastAsia"/>
          <w:sz w:val="28"/>
          <w:szCs w:val="28"/>
        </w:rPr>
        <w:t>本合同未尽事宜，双方可以增加条款或补充协议的形式加以补充，但增加或补充协议的条款不得对招标文件和投标文件约定的内容作实质性修改。补充协议与本合同具有相同的法律效力。</w:t>
      </w:r>
    </w:p>
    <w:p>
      <w:pPr>
        <w:snapToGrid w:val="0"/>
        <w:ind w:firstLineChars="185" w:firstLine="518"/>
        <w:rPr>
          <w:rFonts w:ascii="宋体" w:cs="宋体"/>
          <w:sz w:val="28"/>
          <w:szCs w:val="28"/>
        </w:rPr>
      </w:pPr>
    </w:p>
    <w:p>
      <w:r>
        <w:br w:type="page"/>
      </w:r>
    </w:p>
    <w:p>
      <w:pPr>
        <w:snapToGrid w:val="0"/>
        <w:ind w:firstLineChars="0" w:firstLine="0"/>
        <w:rPr>
          <w:rFonts w:ascii="宋体" w:cs="宋体"/>
          <w:sz w:val="28"/>
          <w:szCs w:val="28"/>
        </w:rPr>
      </w:pPr>
      <w:r>
        <w:rPr>
          <w:rFonts w:ascii="宋体" w:cs="宋体" w:hint="eastAsia"/>
          <w:sz w:val="28"/>
          <w:szCs w:val="28"/>
        </w:rPr>
        <w:t>（本页为签署页，无正文）</w:t>
      </w:r>
    </w:p>
    <w:p>
      <w:pPr>
        <w:snapToGrid w:val="0"/>
        <w:ind w:firstLineChars="0" w:firstLine="0"/>
        <w:rPr>
          <w:rFonts w:ascii="宋体" w:cs="宋体"/>
          <w:sz w:val="28"/>
          <w:szCs w:val="28"/>
        </w:rPr>
      </w:pPr>
    </w:p>
    <w:p>
      <w:pPr>
        <w:snapToGrid w:val="0"/>
        <w:ind w:firstLineChars="0" w:firstLine="0"/>
        <w:rPr>
          <w:rFonts w:ascii="宋体" w:eastAsia="宋体" w:cs="宋体"/>
          <w:sz w:val="28"/>
          <w:szCs w:val="28"/>
        </w:rPr>
      </w:pPr>
      <w:r>
        <w:rPr>
          <w:rFonts w:ascii="宋体" w:eastAsia="宋体" w:cs="宋体" w:hint="eastAsia"/>
          <w:sz w:val="28"/>
          <w:szCs w:val="28"/>
        </w:rPr>
        <w:t xml:space="preserve">甲方: </w:t>
      </w:r>
      <w:r>
        <w:rPr>
          <w:rFonts w:ascii="宋体" w:eastAsia="宋体" w:cs="宋体" w:hint="eastAsia"/>
          <w:color w:val="000000"/>
          <w:sz w:val="28"/>
          <w:szCs w:val="28"/>
        </w:rPr>
        <w:t xml:space="preserve">海南体育职业技术学院    </w:t>
      </w:r>
      <w:r>
        <w:rPr>
          <w:rFonts w:ascii="宋体" w:eastAsia="宋体" w:cs="宋体" w:hint="eastAsia"/>
          <w:sz w:val="28"/>
          <w:szCs w:val="28"/>
        </w:rPr>
        <w:t xml:space="preserve">    乙方:</w:t>
      </w:r>
    </w:p>
    <w:p>
      <w:pPr>
        <w:snapToGrid w:val="0"/>
        <w:ind w:left="5600" w:hangingChars="2000" w:hanging="5600"/>
        <w:rPr>
          <w:rFonts w:ascii="宋体" w:eastAsia="宋体" w:cs="宋体"/>
          <w:sz w:val="28"/>
          <w:szCs w:val="28"/>
        </w:rPr>
      </w:pPr>
      <w:r>
        <w:rPr>
          <w:rFonts w:ascii="宋体" w:eastAsia="宋体" w:cs="宋体" w:hint="eastAsia"/>
          <w:sz w:val="28"/>
          <w:szCs w:val="28"/>
        </w:rPr>
        <w:t>地址：海口市国兴大道68号         地址：</w:t>
      </w:r>
    </w:p>
    <w:p>
      <w:pPr>
        <w:snapToGrid w:val="0"/>
        <w:ind w:firstLineChars="0" w:firstLine="0"/>
        <w:rPr>
          <w:rFonts w:ascii="宋体" w:eastAsia="宋体" w:cs="宋体"/>
          <w:sz w:val="28"/>
          <w:szCs w:val="28"/>
        </w:rPr>
      </w:pPr>
      <w:r>
        <w:rPr>
          <w:rFonts w:ascii="宋体" w:eastAsia="宋体" w:cs="宋体" w:hint="eastAsia"/>
          <w:sz w:val="28"/>
          <w:szCs w:val="28"/>
        </w:rPr>
        <w:t>法定代表人                        法定代表人</w:t>
      </w:r>
    </w:p>
    <w:p>
      <w:pPr>
        <w:snapToGrid w:val="0"/>
        <w:ind w:firstLineChars="0" w:firstLine="0"/>
        <w:rPr>
          <w:rFonts w:ascii="宋体" w:eastAsia="宋体" w:cs="宋体"/>
          <w:sz w:val="28"/>
          <w:szCs w:val="28"/>
        </w:rPr>
      </w:pPr>
      <w:r>
        <w:rPr>
          <w:rFonts w:ascii="宋体" w:eastAsia="宋体" w:cs="宋体" w:hint="eastAsia"/>
          <w:sz w:val="28"/>
          <w:szCs w:val="28"/>
        </w:rPr>
        <w:t>或授权代表（签字）:               或授权代表（签字）:</w:t>
      </w:r>
    </w:p>
    <w:p>
      <w:pPr>
        <w:snapToGrid w:val="0"/>
        <w:ind w:firstLineChars="0" w:firstLine="0"/>
        <w:rPr>
          <w:rFonts w:ascii="宋体" w:eastAsia="宋体" w:cs="宋体"/>
          <w:sz w:val="28"/>
          <w:szCs w:val="28"/>
        </w:rPr>
      </w:pPr>
      <w:r>
        <w:rPr>
          <w:rFonts w:ascii="宋体" w:eastAsia="宋体" w:cs="宋体" w:hint="eastAsia"/>
          <w:sz w:val="28"/>
          <w:szCs w:val="28"/>
        </w:rPr>
        <w:t>开户行：                          开户行：</w:t>
      </w:r>
    </w:p>
    <w:p>
      <w:pPr>
        <w:snapToGrid w:val="0"/>
        <w:ind w:firstLineChars="0" w:firstLine="0"/>
        <w:rPr>
          <w:rFonts w:ascii="宋体" w:eastAsia="宋体" w:cs="宋体"/>
          <w:sz w:val="28"/>
          <w:szCs w:val="28"/>
        </w:rPr>
      </w:pPr>
      <w:r>
        <w:rPr>
          <w:rFonts w:ascii="宋体" w:eastAsia="宋体" w:cs="宋体" w:hint="eastAsia"/>
          <w:sz w:val="28"/>
          <w:szCs w:val="28"/>
        </w:rPr>
        <w:t>账号：</w:t>
      </w:r>
      <w:r>
        <w:rPr>
          <w:rFonts w:ascii="宋体" w:eastAsia="宋体" w:cs="宋体" w:hint="eastAsia"/>
          <w:sz w:val="28"/>
          <w:szCs w:val="28"/>
          <w:lang w:val="zh-CN"/>
        </w:rPr>
        <w:t xml:space="preserve">                         </w:t>
      </w:r>
      <w:r>
        <w:rPr>
          <w:rFonts w:ascii="宋体" w:eastAsia="宋体" w:cs="宋体" w:hint="eastAsia"/>
          <w:sz w:val="28"/>
          <w:szCs w:val="28"/>
        </w:rPr>
        <w:t xml:space="preserve">   账号：</w:t>
      </w:r>
    </w:p>
    <w:p>
      <w:pPr>
        <w:snapToGrid w:val="0"/>
        <w:spacing w:before="19"/>
        <w:ind w:firstLineChars="0" w:firstLine="0"/>
        <w:rPr>
          <w:rFonts w:ascii="宋体" w:eastAsia="宋体" w:cs="宋体"/>
          <w:sz w:val="28"/>
          <w:szCs w:val="28"/>
        </w:rPr>
      </w:pPr>
      <w:r>
        <w:rPr>
          <w:rFonts w:ascii="宋体" w:eastAsia="宋体" w:cs="宋体" w:hint="eastAsia"/>
          <w:sz w:val="28"/>
          <w:szCs w:val="28"/>
        </w:rPr>
        <w:t>日期：    年   月   日            日期：    年   月   日</w:t>
      </w:r>
    </w:p>
    <w:p>
      <w:pPr>
        <w:pStyle w:val="2"/>
        <w:rPr>
          <w:rFonts w:ascii="宋体" w:eastAsia="宋体" w:cs="宋体"/>
          <w:sz w:val="28"/>
          <w:szCs w:val="28"/>
        </w:rPr>
      </w:pPr>
    </w:p>
    <w:p>
      <w:pPr>
        <w:rPr>
          <w:rFonts w:ascii="宋体" w:eastAsia="宋体" w:cs="宋体"/>
        </w:rPr>
      </w:pPr>
    </w:p>
    <w:p>
      <w:pPr>
        <w:ind w:left="0" w:firstLineChars="0" w:firstLine="0"/>
        <w:rPr>
          <w:rFonts w:ascii="宋体" w:cs="宋体"/>
          <w:sz w:val="28"/>
          <w:szCs w:val="28"/>
        </w:rPr>
      </w:pPr>
    </w:p>
    <w:sectPr>
      <w:footerReference w:type="default" r:id="rId2"/>
      <w:pgSz w:w="11906" w:h="16838"/>
      <w:pgMar w:top="1440" w:right="1463" w:bottom="1440" w:left="1463"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288F0000" w:usb2="00000006" w:usb3="00000000" w:csb0="00040001" w:csb1="00000000"/>
  </w:font>
  <w:font w:name="楷体">
    <w:panose1 w:val="02010609060101010101"/>
    <w:charset w:val="86"/>
    <w:family w:val="modern"/>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Arial">
    <w:panose1 w:val="020B0604020202020204"/>
    <w:charset w:val="01"/>
    <w:family w:val="swiss"/>
    <w:pitch w:val="variable"/>
    <w:sig w:usb0="E0002AFF" w:usb1="C0007843" w:usb2="00000009" w:usb3="00000000" w:csb0="400001FF" w:csb1="FFFF0000"/>
  </w:font>
  <w:font w:name="Times New Roman">
    <w:panose1 w:val="02020603050405020304"/>
    <w:charset w:val="00"/>
    <w:family w:val="roman"/>
    <w:pitch w:val="variable"/>
    <w:sig w:usb0="20007A87" w:usb1="80000000" w:usb2="00000008" w:usb3="00000000" w:csb0="000001FF" w:csb1="00000000"/>
  </w:font>
  <w:font w:name="Calibri">
    <w:panose1 w:val="020F0502020204030204"/>
    <w:charset w:val="00"/>
    <w:family w:val="swiss"/>
    <w:pitch w:val="variable"/>
    <w:sig w:usb0="E00002FF" w:usb1="4000ACFF" w:usb2="00000001"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tabs>
        <w:tab w:val="center" w:pos="4153"/>
        <w:tab w:val="right" w:pos="8306"/>
      </w:tabs>
    </w:pPr>
    <w:r>
      <mc:AlternateContent>
        <mc:Choice Requires="wps">
          <w:drawing>
            <wp:anchor distT="0" distB="0" distL="114298" distR="114298" simplePos="0" relativeHeight="12" behindDoc="0" locked="0" layoutInCell="1" hidden="0" allowOverlap="1">
              <wp:simplePos x="0" y="0"/>
              <wp:positionH relativeFrom="margin">
                <wp:align>center</wp:align>
              </wp:positionH>
              <wp:positionV relativeFrom="paragraph">
                <wp:posOffset>0</wp:posOffset>
              </wp:positionV>
              <wp:extent cx="286550" cy="209341"/>
              <wp:effectExtent l="0" t="0" r="0" b="0"/>
              <wp:wrapNone/>
              <wp:docPr id="1" name="矩形"/>
              <wp:cNvGraphicFramePr>
                <a:graphicFrameLocks noChangeAspect="0"/>
              </wp:cNvGraphicFramePr>
              <a:graphic>
                <a:graphicData uri="http://schemas.microsoft.com/office/word/2010/wordprocessingShape">
                  <wps:wsp>
                    <wps:cNvSpPr/>
                    <wps:spPr>
                      <a:xfrm rot="0">
                        <a:off x="0" y="0"/>
                        <a:ext cx="286550" cy="209341"/>
                      </a:xfrm>
                      <a:prstGeom prst="rect"/>
                      <a:noFill/>
                      <a:ln w="9525" cmpd="sng" cap="flat">
                        <a:noFill/>
                        <a:prstDash val="solid"/>
                        <a:miter/>
                      </a:ln>
                    </wps:spPr>
                    <wps:txbx id="2">
                      <w:txbxContent>
                        <w:p>
                          <w:pPr>
                            <w:pStyle w:val="16"/>
                            <w:tabs>
                              <w:tab w:val="center" w:pos="4153"/>
                              <w:tab w:val="right" w:pos="8306"/>
                            </w:tabs>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1">
                      <a:spAutoFit/>
                    </wps:bodyPr>
                  </wps:wsp>
                </a:graphicData>
              </a:graphic>
            </wp:anchor>
          </w:drawing>
        </mc:Choice>
        <mc:Fallback>
          <w:pict>
            <v:rect type="#_x0000_t1" id="矩形 3" o:spid="_x0000_s3" filled="f" stroked="f" style="position:absolute;margin-left:0.0pt;margin-top:0.0pt;width:22.563011pt;height:16.483543pt;z-index:12;mso-position-horizontal:center;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6"/>
                      <w:tabs>
                        <w:tab w:val="center" w:pos="4153"/>
                        <w:tab w:val="right" w:pos="8306"/>
                      </w:tabs>
                    </w:pPr>
                    <w:r>
                      <w:fldChar w:fldCharType="begin"/>
                    </w:r>
                    <w:r>
                      <w:instrText xml:space="preserve"> PAGE  \* MERGEFORMAT </w:instrText>
                    </w:r>
                    <w:r>
                      <w:fldChar w:fldCharType="separate"/>
                    </w:r>
                    <w:r>
                      <w:t>2</w:t>
                    </w:r>
                    <w:r>
                      <w:fldChar w:fldCharType="end"/>
                    </w:r>
                  </w:p>
                </w:txbxContent>
              </v:textbox>
            </v:rect>
          </w:pict>
        </mc:Fallback>
      </mc:AlternateContent>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bordersDoNotSurroundFooter/>
  <w:documentProtection w:edit="readOnly" w:enforcement="0"/>
  <w:defaultTabStop w:val="420"/>
  <w:drawingGridHorizontalSpacing w:val="120"/>
  <w:drawingGridVerticalSpacing w:val="165"/>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MDg3YTM0Mjk0OGIwNmVmMzM0MDM2YWJiODcxZmM4YjA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2"/>
    <w:pPr>
      <w:widowControl w:val="0"/>
      <w:spacing w:line="360" w:lineRule="auto"/>
      <w:ind w:firstLineChars="200" w:firstLine="200"/>
    </w:pPr>
    <w:rPr>
      <w:rFonts w:ascii="Calibri" w:eastAsia="宋体" w:cs="Times New Roman" w:hAnsi="Calibri"/>
      <w:kern w:val="2"/>
      <w:sz w:val="24"/>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spacing w:before="100" w:beforeAutospacing="1" w:after="100" w:afterAutospacing="1"/>
      <w:outlineLvl w:val="1"/>
    </w:pPr>
    <w:rPr>
      <w:rFonts w:ascii="宋体"/>
      <w:b/>
      <w:kern w:val="0"/>
      <w:sz w:val="36"/>
      <w:szCs w:val="36"/>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Body Text"/>
    <w:basedOn w:val="0"/>
    <w:pPr>
      <w:widowControl/>
      <w:kinsoku w:val="0"/>
      <w:autoSpaceDE w:val="0"/>
      <w:autoSpaceDN w:val="0"/>
      <w:adjustRightInd w:val="0"/>
      <w:snapToGrid w:val="0"/>
      <w:spacing w:line="240" w:lineRule="auto"/>
      <w:ind w:firstLineChars="0" w:firstLine="0"/>
    </w:pPr>
    <w:rPr>
      <w:rFonts w:ascii="宋体" w:cs="宋体"/>
      <w:color w:val="000000"/>
      <w:kern w:val="0"/>
      <w:sz w:val="31"/>
      <w:szCs w:val="31"/>
    </w:rPr>
  </w:style>
  <w:style w:type="paragraph" w:styleId="16">
    <w:name w:val="footer"/>
    <w:basedOn w:val="0"/>
    <w:pPr>
      <w:tabs>
        <w:tab w:val="center" w:pos="4153"/>
        <w:tab w:val="right" w:pos="8306"/>
      </w:tabs>
      <w:snapToGrid w:val="0"/>
    </w:pPr>
    <w:rPr>
      <w:sz w:val="18"/>
    </w:rPr>
  </w:style>
  <w:style w:type="paragraph" w:styleId="17">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spacing w:line="240" w:lineRule="auto"/>
      <w:jc w:val="both"/>
    </w:pPr>
    <w:rPr>
      <w:sz w:val="18"/>
    </w:rPr>
  </w:style>
  <w:style w:type="character" w:customStyle="1" w:styleId="18">
    <w:name w:val="NormalCharacter"/>
  </w:style>
  <w:style w:type="paragraph" w:customStyle="1" w:styleId="19">
    <w:name w:val="null3"/>
    <w:rPr>
      <w:rFonts w:ascii="Calibri" w:eastAsia="宋体" w:cs="Arial" w:hAnsi="Calibri"/>
      <w:sz w:val="20"/>
      <w:szCs w:val="20"/>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5</TotalTime>
  <Application>Yozo_Office27021597764231179</Application>
  <Pages>10</Pages>
  <Words>3288</Words>
  <Characters>3432</Characters>
  <Lines>331</Lines>
  <Paragraphs>142</Paragraphs>
  <CharactersWithSpaces>3781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丹萤</dc:creator>
  <cp:lastModifiedBy>麦奕鸣</cp:lastModifiedBy>
  <cp:revision>5</cp:revision>
  <dcterms:created xsi:type="dcterms:W3CDTF">2024-05-09T03:33:00Z</dcterms:created>
  <dcterms:modified xsi:type="dcterms:W3CDTF">2025-06-26T10:01:57Z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2052-12.8.2.18913</vt:lpwstr>
  </property>
  <property fmtid="{D5CDD505-2E9C-101B-9397-08002B2CF9AE}" pid="3" name="ICV">
    <vt:lpwstr>0EE5B164B3694BB9B961221190662DF1</vt:lpwstr>
  </property>
</Properties>
</file>