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海南广播电视总台综合频道2025年全国落地项目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HNZKLJZFCG2025-10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海南广播电视总台（电视）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海南中科绿景项目管理有限公司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海南广播电视总台（电视）</w:t>
      </w:r>
      <w:r>
        <w:rPr>
          <w:rFonts w:ascii="仿宋_GB2312" w:hAnsi="仿宋_GB2312" w:cs="仿宋_GB2312" w:eastAsia="仿宋_GB2312"/>
        </w:rPr>
        <w:t xml:space="preserve"> 委托， </w:t>
      </w:r>
      <w:r>
        <w:rPr>
          <w:rFonts w:ascii="仿宋_GB2312" w:hAnsi="仿宋_GB2312" w:cs="仿宋_GB2312" w:eastAsia="仿宋_GB2312"/>
        </w:rPr>
        <w:t>海南中科绿景项目管理有限公司</w:t>
      </w:r>
      <w:r>
        <w:rPr>
          <w:rFonts w:ascii="仿宋_GB2312" w:hAnsi="仿宋_GB2312" w:cs="仿宋_GB2312" w:eastAsia="仿宋_GB2312"/>
        </w:rPr>
        <w:t xml:space="preserve"> 对 </w:t>
      </w:r>
      <w:r>
        <w:rPr>
          <w:rFonts w:ascii="仿宋_GB2312" w:hAnsi="仿宋_GB2312" w:cs="仿宋_GB2312" w:eastAsia="仿宋_GB2312"/>
        </w:rPr>
        <w:t>海南广播电视总台综合频道2025年全国落地项目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HNZKLJZFCG2025-10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海南广播电视总台综合频道2025年全国落地项目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50,029,270.00元</w:t>
      </w:r>
      <w:r>
        <w:rPr>
          <w:rFonts w:ascii="仿宋_GB2312" w:hAnsi="仿宋_GB2312" w:cs="仿宋_GB2312" w:eastAsia="仿宋_GB2312"/>
        </w:rPr>
        <w:t>伍仟零贰万玖仟贰佰柒拾元整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合同签订之日起至2025年12月31日前完成。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1、单位负责人为同一人或者存在直接控股、管理关系的不同投标人，不得参加同一合同项下的政府采购活动：提供资格承诺函（证明材料加盖公章）。</w:t>
      </w:r>
    </w:p>
    <w:p>
      <w:pPr>
        <w:pStyle w:val="null3"/>
        <w:jc w:val="left"/>
      </w:pPr>
      <w:r>
        <w:rPr>
          <w:rFonts w:ascii="仿宋_GB2312" w:hAnsi="仿宋_GB2312" w:cs="仿宋_GB2312" w:eastAsia="仿宋_GB2312"/>
        </w:rPr>
        <w:t>2、参加政府采购活动前三年内，无环保类行政处罚记录：提供无环保类行政处罚记录声明函（证明材料加盖公章）。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2、落实政府采购政策需满足的资格要求：《政府采购促进中小企业发展管理办法》、《节能产品政府采购实施意见》、《关于环境标志产品政府采购实施的意见》（财库【2006】90号）、《关于信息安全产品实施政府采购的通知》、《关于促进残疾人就业政府采购政策的通知》、《财政部、司法部关于政府采购支持监狱企业发展有关问题的通知书》、财政部农业部国家乡村振兴局关于运用政府采购政策支持乡村产业振兴的通知（财库〔2021〕19号)、海南省财政厅关于印发《海南省绿色产品政府采购实施意见（试行）》的通知》（琼财采规〔2019〕3号）等相关法律、法规。</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海南广播电视总台（电视）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010-84409660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海南中科绿景项目管理有限公司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海南省海口市美兰区蓝天街道大英山西二街2号海航·法苑里4号楼1单元1602室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0898-36313358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采购包1：50,029,270.00元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本采购包履约保证金为合同金额的1%</w:t>
            </w:r>
          </w:p>
          <w:p>
            <w:pPr>
              <w:pStyle w:val="null3"/>
              <w:jc w:val="left"/>
            </w:pPr>
            <w:r>
              <w:rPr>
                <w:rFonts w:ascii="仿宋_GB2312" w:hAnsi="仿宋_GB2312" w:cs="仿宋_GB2312" w:eastAsia="仿宋_GB2312"/>
              </w:rPr>
              <w:t>说明：因系统设置此处履约保证金缴纳比例不对，应为“中标单位在合同生效后 15 个工作日内，以银行转帐方式向采购人提交人民币 壹拾万元(￥ 100000元)作为履约保证金”。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从投标截止日期起计算的 60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代理服务费收费标准：参照琼价费管[2011]225 号文的 计 费 标 准 向 中 标 人 收 取 ， 代 理 服 务 费 为¥47000.00 元（大写：人民币肆万柒仟元整）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联系人：贾女士</w:t>
      </w:r>
    </w:p>
    <w:p>
      <w:pPr>
        <w:pStyle w:val="null3"/>
        <w:jc w:val="left"/>
      </w:pPr>
      <w:r>
        <w:rPr>
          <w:rFonts w:ascii="仿宋_GB2312" w:hAnsi="仿宋_GB2312" w:cs="仿宋_GB2312" w:eastAsia="仿宋_GB2312"/>
        </w:rPr>
        <w:t>联系电话：010-84409660</w:t>
      </w:r>
    </w:p>
    <w:p>
      <w:pPr>
        <w:pStyle w:val="null3"/>
        <w:jc w:val="left"/>
      </w:pPr>
      <w:r>
        <w:rPr>
          <w:rFonts w:ascii="仿宋_GB2312" w:hAnsi="仿宋_GB2312" w:cs="仿宋_GB2312" w:eastAsia="仿宋_GB2312"/>
        </w:rPr>
        <w:t>地址：海南省</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海南广播电视总台综合频道2025年全国落地项目</w:t>
      </w:r>
      <w:r>
        <w:br/>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50,029,270.00</w:t>
      </w:r>
    </w:p>
    <w:p>
      <w:pPr>
        <w:pStyle w:val="null3"/>
        <w:jc w:val="left"/>
      </w:pPr>
      <w:r>
        <w:rPr>
          <w:rFonts w:ascii="仿宋_GB2312" w:hAnsi="仿宋_GB2312" w:cs="仿宋_GB2312" w:eastAsia="仿宋_GB2312"/>
        </w:rPr>
        <w:t>采购包最高限价（元）: 50,029,270.00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C06020500-广播电视传输服务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50,029,270.00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C06020500-广播电视传输服务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50,029,270.00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标的名称：C06020500-广播电视传输服务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一、项</w:t>
            </w:r>
            <w:r>
              <w:rPr>
                <w:rFonts w:ascii="仿宋_GB2312" w:hAnsi="仿宋_GB2312" w:cs="仿宋_GB2312" w:eastAsia="仿宋_GB2312"/>
                <w:sz w:val="28"/>
              </w:rPr>
              <w:t>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w:t>
            </w:r>
            <w:r>
              <w:rPr>
                <w:rFonts w:ascii="仿宋_GB2312" w:hAnsi="仿宋_GB2312" w:cs="仿宋_GB2312" w:eastAsia="仿宋_GB2312"/>
                <w:sz w:val="24"/>
              </w:rPr>
              <w:t>名</w:t>
            </w:r>
            <w:r>
              <w:rPr>
                <w:rFonts w:ascii="仿宋_GB2312" w:hAnsi="仿宋_GB2312" w:cs="仿宋_GB2312" w:eastAsia="仿宋_GB2312"/>
                <w:sz w:val="24"/>
              </w:rPr>
              <w:t>称：海南广播电视总台综合频道2025年全国落地项目</w:t>
            </w:r>
          </w:p>
          <w:p>
            <w:pPr>
              <w:pStyle w:val="null3"/>
              <w:spacing w:before="75"/>
              <w:ind w:left="150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采购预算：50029270.00元</w:t>
            </w:r>
          </w:p>
          <w:p>
            <w:pPr>
              <w:pStyle w:val="null3"/>
              <w:spacing w:before="180"/>
              <w:ind w:left="1485"/>
              <w:jc w:val="left"/>
            </w:pPr>
            <w:r>
              <w:rPr>
                <w:rFonts w:ascii="仿宋_GB2312" w:hAnsi="仿宋_GB2312" w:cs="仿宋_GB2312" w:eastAsia="仿宋_GB2312"/>
                <w:sz w:val="24"/>
              </w:rPr>
              <w:t>3</w:t>
            </w:r>
            <w:r>
              <w:rPr>
                <w:rFonts w:ascii="仿宋_GB2312" w:hAnsi="仿宋_GB2312" w:cs="仿宋_GB2312" w:eastAsia="仿宋_GB2312"/>
                <w:sz w:val="24"/>
              </w:rPr>
              <w:t>、采购方式：公开招标</w:t>
            </w:r>
          </w:p>
          <w:p>
            <w:pPr>
              <w:pStyle w:val="null3"/>
              <w:spacing w:before="180"/>
              <w:ind w:left="1485"/>
              <w:jc w:val="left"/>
            </w:pPr>
            <w:r>
              <w:rPr>
                <w:rFonts w:ascii="仿宋_GB2312" w:hAnsi="仿宋_GB2312" w:cs="仿宋_GB2312" w:eastAsia="仿宋_GB2312"/>
                <w:sz w:val="24"/>
              </w:rPr>
              <w:t>4</w:t>
            </w:r>
            <w:r>
              <w:rPr>
                <w:rFonts w:ascii="仿宋_GB2312" w:hAnsi="仿宋_GB2312" w:cs="仿宋_GB2312" w:eastAsia="仿宋_GB2312"/>
                <w:sz w:val="24"/>
              </w:rPr>
              <w:t>、评审方</w:t>
            </w:r>
            <w:r>
              <w:rPr>
                <w:rFonts w:ascii="仿宋_GB2312" w:hAnsi="仿宋_GB2312" w:cs="仿宋_GB2312" w:eastAsia="仿宋_GB2312"/>
                <w:sz w:val="24"/>
              </w:rPr>
              <w:t>法：综合评分法</w:t>
            </w:r>
          </w:p>
          <w:p>
            <w:pPr>
              <w:pStyle w:val="null3"/>
              <w:jc w:val="left"/>
            </w:pPr>
            <w:r>
              <w:rPr>
                <w:rFonts w:ascii="仿宋_GB2312" w:hAnsi="仿宋_GB2312" w:cs="仿宋_GB2312" w:eastAsia="仿宋_GB2312"/>
                <w:sz w:val="28"/>
              </w:rPr>
              <w:t>二、项</w:t>
            </w:r>
            <w:r>
              <w:rPr>
                <w:rFonts w:ascii="仿宋_GB2312" w:hAnsi="仿宋_GB2312" w:cs="仿宋_GB2312" w:eastAsia="仿宋_GB2312"/>
                <w:sz w:val="28"/>
              </w:rPr>
              <w:t>目概述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、海南卫视频道</w:t>
            </w:r>
            <w:r>
              <w:rPr>
                <w:rFonts w:ascii="仿宋_GB2312" w:hAnsi="仿宋_GB2312" w:cs="仿宋_GB2312" w:eastAsia="仿宋_GB2312"/>
                <w:sz w:val="24"/>
              </w:rPr>
              <w:t>是海南省最重要的外宣窗口之一，同时海南卫视频道是国 家广电总局批准成立， 是可覆盖全国范围的海南省上星省级频道。该频道主要以 付费落地形式进入各省、地、市、县等各级有线电视网， 实现全国范围落 地覆盖。落地覆盖效果对节目收视和广告经营产生直接影响。</w:t>
            </w:r>
          </w:p>
          <w:p>
            <w:pPr>
              <w:pStyle w:val="null3"/>
              <w:ind w:left="1005" w:right="15" w:firstLine="482"/>
              <w:jc w:val="left"/>
            </w:pPr>
            <w:r>
              <w:rPr>
                <w:rFonts w:ascii="仿宋_GB2312" w:hAnsi="仿宋_GB2312" w:cs="仿宋_GB2312" w:eastAsia="仿宋_GB2312"/>
                <w:sz w:val="24"/>
              </w:rPr>
              <w:t>2</w:t>
            </w:r>
            <w:r>
              <w:rPr>
                <w:rFonts w:ascii="仿宋_GB2312" w:hAnsi="仿宋_GB2312" w:cs="仿宋_GB2312" w:eastAsia="仿宋_GB2312"/>
                <w:sz w:val="24"/>
              </w:rPr>
              <w:t>、现海南卫视拟通过公开招标方式确定一家公司代理海南卫视频道2025</w:t>
            </w:r>
            <w:r>
              <w:rPr>
                <w:rFonts w:ascii="仿宋_GB2312" w:hAnsi="仿宋_GB2312" w:cs="仿宋_GB2312" w:eastAsia="仿宋_GB2312"/>
                <w:sz w:val="24"/>
              </w:rPr>
              <w:t>年期间与含全国各省、大中城市、</w:t>
            </w:r>
            <w:r>
              <w:rPr>
                <w:rFonts w:ascii="仿宋_GB2312" w:hAnsi="仿宋_GB2312" w:cs="仿宋_GB2312" w:eastAsia="仿宋_GB2312"/>
                <w:sz w:val="24"/>
              </w:rPr>
              <w:t>县级等所在</w:t>
            </w:r>
            <w:r>
              <w:rPr>
                <w:rFonts w:ascii="仿宋_GB2312" w:hAnsi="仿宋_GB2312" w:cs="仿宋_GB2312" w:eastAsia="仿宋_GB2312"/>
                <w:sz w:val="24"/>
              </w:rPr>
              <w:t>的各级有线电视网络和新</w:t>
            </w:r>
            <w:r>
              <w:rPr>
                <w:rFonts w:ascii="仿宋_GB2312" w:hAnsi="仿宋_GB2312" w:cs="仿宋_GB2312" w:eastAsia="仿宋_GB2312"/>
                <w:sz w:val="24"/>
              </w:rPr>
              <w:t>媒</w:t>
            </w:r>
            <w:r>
              <w:rPr>
                <w:rFonts w:ascii="仿宋_GB2312" w:hAnsi="仿宋_GB2312" w:cs="仿宋_GB2312" w:eastAsia="仿宋_GB2312"/>
                <w:sz w:val="24"/>
              </w:rPr>
              <w:t xml:space="preserve"> 体 IPTV 的落地签约。</w:t>
            </w:r>
          </w:p>
          <w:p>
            <w:pPr>
              <w:pStyle w:val="null3"/>
              <w:spacing w:before="315"/>
              <w:ind w:left="1005"/>
              <w:jc w:val="left"/>
            </w:pPr>
            <w:r>
              <w:rPr>
                <w:rFonts w:ascii="仿宋_GB2312" w:hAnsi="仿宋_GB2312" w:cs="仿宋_GB2312" w:eastAsia="仿宋_GB2312"/>
                <w:sz w:val="28"/>
              </w:rPr>
              <w:t>三、服务</w:t>
            </w:r>
            <w:r>
              <w:rPr>
                <w:rFonts w:ascii="仿宋_GB2312" w:hAnsi="仿宋_GB2312" w:cs="仿宋_GB2312" w:eastAsia="仿宋_GB2312"/>
                <w:sz w:val="28"/>
              </w:rPr>
              <w:t>内容</w:t>
            </w:r>
          </w:p>
          <w:p>
            <w:pPr>
              <w:pStyle w:val="null3"/>
              <w:jc w:val="left"/>
            </w:pPr>
            <w:r>
              <w:rPr>
                <w:rFonts w:ascii="仿宋_GB2312" w:hAnsi="仿宋_GB2312" w:cs="仿宋_GB2312" w:eastAsia="仿宋_GB2312"/>
                <w:sz w:val="24"/>
              </w:rPr>
              <w:t>中标</w:t>
            </w:r>
            <w:r>
              <w:rPr>
                <w:rFonts w:ascii="仿宋_GB2312" w:hAnsi="仿宋_GB2312" w:cs="仿宋_GB2312" w:eastAsia="仿宋_GB2312"/>
                <w:sz w:val="24"/>
              </w:rPr>
              <w:t>服务单位需在合同期内完成以下内容：</w:t>
            </w:r>
          </w:p>
          <w:p>
            <w:pPr>
              <w:pStyle w:val="null3"/>
              <w:spacing w:before="180"/>
              <w:ind w:left="1005" w:right="15" w:firstLine="433"/>
              <w:jc w:val="left"/>
            </w:pPr>
            <w:r>
              <w:rPr>
                <w:rFonts w:ascii="仿宋_GB2312" w:hAnsi="仿宋_GB2312" w:cs="仿宋_GB2312" w:eastAsia="仿宋_GB2312"/>
                <w:sz w:val="24"/>
              </w:rPr>
              <w:t>1.</w:t>
            </w:r>
            <w:r>
              <w:rPr>
                <w:rFonts w:ascii="仿宋_GB2312" w:hAnsi="仿宋_GB2312" w:cs="仿宋_GB2312" w:eastAsia="仿宋_GB2312"/>
                <w:sz w:val="24"/>
              </w:rPr>
              <w:t>保证海南卫视标清和高清信号在含全国的省网、大中城</w:t>
            </w:r>
            <w:r>
              <w:rPr>
                <w:rFonts w:ascii="仿宋_GB2312" w:hAnsi="仿宋_GB2312" w:cs="仿宋_GB2312" w:eastAsia="仿宋_GB2312"/>
                <w:sz w:val="24"/>
              </w:rPr>
              <w:t>市、县级所在的各</w:t>
            </w:r>
            <w:r>
              <w:rPr>
                <w:rFonts w:ascii="仿宋_GB2312" w:hAnsi="仿宋_GB2312" w:cs="仿宋_GB2312" w:eastAsia="仿宋_GB2312"/>
                <w:sz w:val="24"/>
              </w:rPr>
              <w:t xml:space="preserve"> 级有线电视网络 (详见附件)稳定传输；</w:t>
            </w:r>
          </w:p>
          <w:p>
            <w:pPr>
              <w:pStyle w:val="null3"/>
              <w:ind w:left="1425"/>
              <w:jc w:val="left"/>
            </w:pPr>
            <w:r>
              <w:rPr>
                <w:rFonts w:ascii="仿宋_GB2312" w:hAnsi="仿宋_GB2312" w:cs="仿宋_GB2312" w:eastAsia="仿宋_GB2312"/>
                <w:sz w:val="24"/>
              </w:rPr>
              <w:t>2.</w:t>
            </w:r>
            <w:r>
              <w:rPr>
                <w:rFonts w:ascii="仿宋_GB2312" w:hAnsi="仿宋_GB2312" w:cs="仿宋_GB2312" w:eastAsia="仿宋_GB2312"/>
                <w:sz w:val="24"/>
              </w:rPr>
              <w:t>海南卫视本年度全国覆盖用户数规模达到 1 亿户或以上</w:t>
            </w:r>
            <w:r>
              <w:rPr>
                <w:rFonts w:ascii="仿宋_GB2312" w:hAnsi="仿宋_GB2312" w:cs="仿宋_GB2312" w:eastAsia="仿宋_GB2312"/>
                <w:sz w:val="24"/>
              </w:rPr>
              <w:t>；</w:t>
            </w:r>
          </w:p>
          <w:p>
            <w:pPr>
              <w:pStyle w:val="null3"/>
              <w:spacing w:before="315"/>
              <w:ind w:left="1020"/>
              <w:jc w:val="left"/>
            </w:pPr>
            <w:r>
              <w:rPr>
                <w:rFonts w:ascii="仿宋_GB2312" w:hAnsi="仿宋_GB2312" w:cs="仿宋_GB2312" w:eastAsia="仿宋_GB2312"/>
                <w:sz w:val="28"/>
              </w:rPr>
              <w:t>四</w:t>
            </w:r>
            <w:r>
              <w:rPr>
                <w:rFonts w:ascii="仿宋_GB2312" w:hAnsi="仿宋_GB2312" w:cs="仿宋_GB2312" w:eastAsia="仿宋_GB2312"/>
                <w:sz w:val="28"/>
              </w:rPr>
              <w:t>、服务要求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中标单位应具备省级卫视频道全国落地项目传输渠道服</w:t>
            </w:r>
            <w:r>
              <w:rPr>
                <w:rFonts w:ascii="仿宋_GB2312" w:hAnsi="仿宋_GB2312" w:cs="仿宋_GB2312" w:eastAsia="仿宋_GB2312"/>
                <w:sz w:val="24"/>
              </w:rPr>
              <w:t>务的经验、成功案</w:t>
            </w:r>
            <w:r>
              <w:rPr>
                <w:rFonts w:ascii="仿宋_GB2312" w:hAnsi="仿宋_GB2312" w:cs="仿宋_GB2312" w:eastAsia="仿宋_GB2312"/>
                <w:sz w:val="24"/>
              </w:rPr>
              <w:t xml:space="preserve"> 例。</w:t>
            </w:r>
          </w:p>
          <w:p>
            <w:pPr>
              <w:pStyle w:val="null3"/>
              <w:ind w:left="1425"/>
              <w:jc w:val="left"/>
            </w:pPr>
            <w:r>
              <w:rPr>
                <w:rFonts w:ascii="仿宋_GB2312" w:hAnsi="仿宋_GB2312" w:cs="仿宋_GB2312" w:eastAsia="仿宋_GB2312"/>
                <w:sz w:val="24"/>
              </w:rPr>
              <w:t>2.</w:t>
            </w:r>
            <w:r>
              <w:rPr>
                <w:rFonts w:ascii="仿宋_GB2312" w:hAnsi="仿宋_GB2312" w:cs="仿宋_GB2312" w:eastAsia="仿宋_GB2312"/>
                <w:sz w:val="24"/>
              </w:rPr>
              <w:t>中标单位应具备与全国各</w:t>
            </w:r>
            <w:r>
              <w:rPr>
                <w:rFonts w:ascii="仿宋_GB2312" w:hAnsi="仿宋_GB2312" w:cs="仿宋_GB2312" w:eastAsia="仿宋_GB2312"/>
                <w:sz w:val="24"/>
              </w:rPr>
              <w:t>级有线电视网进行落地合作的成功案例。</w:t>
            </w:r>
          </w:p>
          <w:p>
            <w:pPr>
              <w:pStyle w:val="null3"/>
              <w:spacing w:before="150"/>
              <w:ind w:left="1425"/>
              <w:jc w:val="left"/>
            </w:pPr>
            <w:r>
              <w:rPr>
                <w:rFonts w:ascii="仿宋_GB2312" w:hAnsi="仿宋_GB2312" w:cs="仿宋_GB2312" w:eastAsia="仿宋_GB2312"/>
                <w:sz w:val="24"/>
              </w:rPr>
              <w:t>3.</w:t>
            </w:r>
            <w:r>
              <w:rPr>
                <w:rFonts w:ascii="仿宋_GB2312" w:hAnsi="仿宋_GB2312" w:cs="仿宋_GB2312" w:eastAsia="仿宋_GB2312"/>
                <w:sz w:val="24"/>
              </w:rPr>
              <w:t>中标单位应具备与 IPT</w:t>
            </w:r>
            <w:r>
              <w:rPr>
                <w:rFonts w:ascii="仿宋_GB2312" w:hAnsi="仿宋_GB2312" w:cs="仿宋_GB2312" w:eastAsia="仿宋_GB2312"/>
                <w:sz w:val="24"/>
              </w:rPr>
              <w:t>V</w:t>
            </w:r>
            <w:r>
              <w:rPr>
                <w:rFonts w:ascii="仿宋_GB2312" w:hAnsi="仿宋_GB2312" w:cs="仿宋_GB2312" w:eastAsia="仿宋_GB2312"/>
                <w:sz w:val="24"/>
              </w:rPr>
              <w:t>等新媒体渠道的签约能力。</w:t>
            </w:r>
          </w:p>
          <w:p>
            <w:pPr>
              <w:pStyle w:val="null3"/>
              <w:spacing w:before="150"/>
              <w:ind w:left="1005" w:right="90" w:firstLine="425"/>
              <w:jc w:val="left"/>
            </w:pPr>
            <w:r>
              <w:rPr>
                <w:rFonts w:ascii="仿宋_GB2312" w:hAnsi="仿宋_GB2312" w:cs="仿宋_GB2312" w:eastAsia="仿宋_GB2312"/>
                <w:sz w:val="24"/>
              </w:rPr>
              <w:t>4.</w:t>
            </w:r>
            <w:r>
              <w:rPr>
                <w:rFonts w:ascii="仿宋_GB2312" w:hAnsi="仿宋_GB2312" w:cs="仿宋_GB2312" w:eastAsia="仿宋_GB2312"/>
                <w:sz w:val="24"/>
              </w:rPr>
              <w:t>中标单位</w:t>
            </w:r>
            <w:r>
              <w:rPr>
                <w:rFonts w:ascii="仿宋_GB2312" w:hAnsi="仿宋_GB2312" w:cs="仿宋_GB2312" w:eastAsia="仿宋_GB2312"/>
                <w:sz w:val="24"/>
              </w:rPr>
              <w:t>应</w:t>
            </w:r>
            <w:r>
              <w:rPr>
                <w:rFonts w:ascii="仿宋_GB2312" w:hAnsi="仿宋_GB2312" w:cs="仿宋_GB2312" w:eastAsia="仿宋_GB2312"/>
                <w:sz w:val="24"/>
              </w:rPr>
              <w:t>具备能提供保障海南卫视高清落地覆盖服务的相应设备， 对设</w:t>
            </w:r>
            <w:r>
              <w:rPr>
                <w:rFonts w:ascii="仿宋_GB2312" w:hAnsi="仿宋_GB2312" w:cs="仿宋_GB2312" w:eastAsia="仿宋_GB2312"/>
                <w:sz w:val="24"/>
              </w:rPr>
              <w:t xml:space="preserve"> 备的研发和技术售后服务有自己的团队保障，并为海南卫视高清覆盖做好技术延 伸服务。</w:t>
            </w:r>
          </w:p>
          <w:p>
            <w:pPr>
              <w:pStyle w:val="null3"/>
              <w:ind w:left="1005" w:right="90" w:firstLine="422"/>
              <w:jc w:val="left"/>
            </w:pPr>
            <w:r>
              <w:rPr>
                <w:rFonts w:ascii="仿宋_GB2312" w:hAnsi="仿宋_GB2312" w:cs="仿宋_GB2312" w:eastAsia="仿宋_GB2312"/>
                <w:sz w:val="24"/>
              </w:rPr>
              <w:t>5.</w:t>
            </w:r>
            <w:r>
              <w:rPr>
                <w:rFonts w:ascii="仿宋_GB2312" w:hAnsi="仿宋_GB2312" w:cs="仿宋_GB2312" w:eastAsia="仿宋_GB2312"/>
                <w:sz w:val="24"/>
              </w:rPr>
              <w:t>为了保障</w:t>
            </w:r>
            <w:r>
              <w:rPr>
                <w:rFonts w:ascii="仿宋_GB2312" w:hAnsi="仿宋_GB2312" w:cs="仿宋_GB2312" w:eastAsia="仿宋_GB2312"/>
                <w:sz w:val="24"/>
              </w:rPr>
              <w:t>本</w:t>
            </w:r>
            <w:r>
              <w:rPr>
                <w:rFonts w:ascii="仿宋_GB2312" w:hAnsi="仿宋_GB2312" w:cs="仿宋_GB2312" w:eastAsia="仿宋_GB2312"/>
                <w:sz w:val="24"/>
              </w:rPr>
              <w:t>项目服务质量和顺利实施， 中标单位应保证投入足够数量及经</w:t>
            </w:r>
            <w:r>
              <w:rPr>
                <w:rFonts w:ascii="仿宋_GB2312" w:hAnsi="仿宋_GB2312" w:cs="仿宋_GB2312" w:eastAsia="仿宋_GB2312"/>
                <w:sz w:val="24"/>
              </w:rPr>
              <w:t xml:space="preserve"> 验丰富的管理及服务服务人员。</w:t>
            </w:r>
          </w:p>
          <w:p>
            <w:pPr>
              <w:pStyle w:val="null3"/>
              <w:ind w:left="1005" w:right="90" w:firstLine="422"/>
              <w:jc w:val="left"/>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中标单位应确保在合同服务期限内就海南卫视落地事宜与其签约的全国</w:t>
            </w:r>
            <w:r>
              <w:rPr>
                <w:rFonts w:ascii="仿宋_GB2312" w:hAnsi="仿宋_GB2312" w:cs="仿宋_GB2312" w:eastAsia="仿宋_GB2312"/>
                <w:sz w:val="24"/>
              </w:rPr>
              <w:t xml:space="preserve"> (</w:t>
            </w:r>
            <w:r>
              <w:rPr>
                <w:rFonts w:ascii="仿宋_GB2312" w:hAnsi="仿宋_GB2312" w:cs="仿宋_GB2312" w:eastAsia="仿宋_GB2312"/>
                <w:sz w:val="24"/>
              </w:rPr>
              <w:t>重</w:t>
            </w:r>
            <w:r>
              <w:rPr>
                <w:rFonts w:ascii="仿宋_GB2312" w:hAnsi="仿宋_GB2312" w:cs="仿宋_GB2312" w:eastAsia="仿宋_GB2312"/>
                <w:sz w:val="24"/>
              </w:rPr>
              <w:t>点对附件中的名单进行考核) 各级有线电视网络， 不得对海南卫视节目采取</w:t>
            </w:r>
            <w:r>
              <w:rPr>
                <w:rFonts w:ascii="仿宋_GB2312" w:hAnsi="仿宋_GB2312" w:cs="仿宋_GB2312" w:eastAsia="仿宋_GB2312"/>
                <w:sz w:val="24"/>
              </w:rPr>
              <w:t xml:space="preserve"> 中断、遮盖等处理， 不发生静帧和马赛克现象， 也不得在海南卫视节目播出过程 中插播、覆盖非海南卫视节目的广告， 不得终止传输海南卫视节目信号， 确保海 南卫视节目完整正常播出， 确保不出现影响播出质量的情形， 因海南卫视节目自 身信号质量问题或不可抗力等因素造成的除外， 否则， 采购人有权按合同约定追 究中标单位的违约责任。</w:t>
            </w:r>
          </w:p>
          <w:p>
            <w:pPr>
              <w:pStyle w:val="null3"/>
              <w:ind w:left="1005" w:right="30" w:firstLine="421"/>
              <w:jc w:val="left"/>
            </w:pPr>
            <w:r>
              <w:rPr>
                <w:rFonts w:ascii="仿宋_GB2312" w:hAnsi="仿宋_GB2312" w:cs="仿宋_GB2312" w:eastAsia="仿宋_GB2312"/>
                <w:sz w:val="24"/>
              </w:rPr>
              <w:t>7.</w:t>
            </w:r>
            <w:r>
              <w:rPr>
                <w:rFonts w:ascii="仿宋_GB2312" w:hAnsi="仿宋_GB2312" w:cs="仿宋_GB2312" w:eastAsia="仿宋_GB2312"/>
                <w:sz w:val="24"/>
              </w:rPr>
              <w:t>在合同服</w:t>
            </w:r>
            <w:r>
              <w:rPr>
                <w:rFonts w:ascii="仿宋_GB2312" w:hAnsi="仿宋_GB2312" w:cs="仿宋_GB2312" w:eastAsia="仿宋_GB2312"/>
                <w:sz w:val="24"/>
              </w:rPr>
              <w:t>务期限内， 中标单位应确保就海南卫视落地事宜与其签约的全国</w:t>
            </w:r>
            <w:r>
              <w:rPr>
                <w:rFonts w:ascii="仿宋_GB2312" w:hAnsi="仿宋_GB2312" w:cs="仿宋_GB2312" w:eastAsia="仿宋_GB2312"/>
                <w:sz w:val="24"/>
              </w:rPr>
              <w:t xml:space="preserve"> (</w:t>
            </w:r>
            <w:r>
              <w:rPr>
                <w:rFonts w:ascii="仿宋_GB2312" w:hAnsi="仿宋_GB2312" w:cs="仿宋_GB2312" w:eastAsia="仿宋_GB2312"/>
                <w:sz w:val="24"/>
              </w:rPr>
              <w:t>重点对附件中的名单进</w:t>
            </w:r>
            <w:r>
              <w:rPr>
                <w:rFonts w:ascii="仿宋_GB2312" w:hAnsi="仿宋_GB2312" w:cs="仿宋_GB2312" w:eastAsia="仿宋_GB2312"/>
                <w:sz w:val="24"/>
              </w:rPr>
              <w:t>行考核)各级有线电视网络不得随意调整已确定的海南 卫视频道排序， 如确须调整海南卫视节目在全国各级有线电视网络的频道排序， 中标单位必须提前一个月以书面形式通知采购人。并应确保在服务期限内调整海 南卫视节目在全国各级有线电视网络的频道排序总次数不得超过 5 次，若要将频 道排序往后调整， 调整后的频道排序不得与已确定的海南卫视频道排序的位差大 于 10，否则，采购人有权按本合同约定追究中标单位的违约责任。</w:t>
            </w:r>
          </w:p>
          <w:p>
            <w:pPr>
              <w:pStyle w:val="null3"/>
              <w:ind w:left="1005" w:firstLine="420"/>
              <w:jc w:val="left"/>
            </w:pPr>
            <w:r>
              <w:rPr>
                <w:rFonts w:ascii="仿宋_GB2312" w:hAnsi="仿宋_GB2312" w:cs="仿宋_GB2312" w:eastAsia="仿宋_GB2312"/>
                <w:sz w:val="24"/>
              </w:rPr>
              <w:t xml:space="preserve">8. </w:t>
            </w:r>
            <w:r>
              <w:rPr>
                <w:rFonts w:ascii="仿宋_GB2312" w:hAnsi="仿宋_GB2312" w:cs="仿宋_GB2312" w:eastAsia="仿宋_GB2312"/>
                <w:sz w:val="24"/>
              </w:rPr>
              <w:t>中标单位</w:t>
            </w:r>
            <w:r>
              <w:rPr>
                <w:rFonts w:ascii="仿宋_GB2312" w:hAnsi="仿宋_GB2312" w:cs="仿宋_GB2312" w:eastAsia="仿宋_GB2312"/>
                <w:sz w:val="24"/>
              </w:rPr>
              <w:t>本次服务需保证海南卫视在全国覆盖用户数规模达到 1 亿户或</w:t>
            </w:r>
            <w:r>
              <w:rPr>
                <w:rFonts w:ascii="仿宋_GB2312" w:hAnsi="仿宋_GB2312" w:cs="仿宋_GB2312" w:eastAsia="仿宋_GB2312"/>
                <w:sz w:val="24"/>
              </w:rPr>
              <w:t xml:space="preserve"> 以上,海南卫视在全国覆盖人口规模以北京美兰德媒体传播策略咨询有限公司的数据为准， 否则，采购人有权按合同约定追究中标单位的违约责任。</w:t>
            </w:r>
          </w:p>
          <w:p>
            <w:pPr>
              <w:pStyle w:val="null3"/>
              <w:spacing w:before="90"/>
              <w:ind w:left="1005"/>
              <w:jc w:val="left"/>
            </w:pPr>
            <w:r>
              <w:rPr>
                <w:rFonts w:ascii="仿宋_GB2312" w:hAnsi="仿宋_GB2312" w:cs="仿宋_GB2312" w:eastAsia="仿宋_GB2312"/>
                <w:sz w:val="28"/>
              </w:rPr>
              <w:t>五</w:t>
            </w:r>
            <w:r>
              <w:rPr>
                <w:rFonts w:ascii="仿宋_GB2312" w:hAnsi="仿宋_GB2312" w:cs="仿宋_GB2312" w:eastAsia="仿宋_GB2312"/>
                <w:sz w:val="28"/>
              </w:rPr>
              <w:t>、 合同履行期限</w:t>
            </w:r>
          </w:p>
          <w:p>
            <w:pPr>
              <w:pStyle w:val="null3"/>
              <w:jc w:val="left"/>
            </w:pPr>
            <w:r>
              <w:rPr>
                <w:rFonts w:ascii="仿宋_GB2312" w:hAnsi="仿宋_GB2312" w:cs="仿宋_GB2312" w:eastAsia="仿宋_GB2312"/>
                <w:sz w:val="24"/>
              </w:rPr>
              <w:t>合</w:t>
            </w:r>
            <w:r>
              <w:rPr>
                <w:rFonts w:ascii="仿宋_GB2312" w:hAnsi="仿宋_GB2312" w:cs="仿宋_GB2312" w:eastAsia="仿宋_GB2312"/>
                <w:sz w:val="24"/>
              </w:rPr>
              <w:t>同签订之日起至 2025年 12 月 31 日前完成。</w:t>
            </w:r>
          </w:p>
          <w:p>
            <w:pPr>
              <w:pStyle w:val="null3"/>
              <w:jc w:val="left"/>
            </w:pPr>
            <w:r>
              <w:rPr>
                <w:rFonts w:ascii="仿宋_GB2312" w:hAnsi="仿宋_GB2312" w:cs="仿宋_GB2312" w:eastAsia="仿宋_GB2312"/>
                <w:sz w:val="28"/>
              </w:rPr>
              <w:t>六</w:t>
            </w:r>
            <w:r>
              <w:rPr>
                <w:rFonts w:ascii="仿宋_GB2312" w:hAnsi="仿宋_GB2312" w:cs="仿宋_GB2312" w:eastAsia="仿宋_GB2312"/>
                <w:sz w:val="28"/>
              </w:rPr>
              <w:t>、报价要求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本</w:t>
            </w:r>
            <w:r>
              <w:rPr>
                <w:rFonts w:ascii="仿宋_GB2312" w:hAnsi="仿宋_GB2312" w:cs="仿宋_GB2312" w:eastAsia="仿宋_GB2312"/>
                <w:sz w:val="24"/>
              </w:rPr>
              <w:t>项目为交钥匙项目，总价包干。</w:t>
            </w:r>
          </w:p>
          <w:p>
            <w:pPr>
              <w:pStyle w:val="null3"/>
              <w:spacing w:before="180"/>
              <w:ind w:left="1005" w:right="15" w:firstLine="420"/>
              <w:jc w:val="left"/>
            </w:pPr>
            <w:r>
              <w:rPr>
                <w:rFonts w:ascii="仿宋_GB2312" w:hAnsi="仿宋_GB2312" w:cs="仿宋_GB2312" w:eastAsia="仿宋_GB2312"/>
                <w:sz w:val="24"/>
              </w:rPr>
              <w:t>2.</w:t>
            </w:r>
            <w:r>
              <w:rPr>
                <w:rFonts w:ascii="仿宋_GB2312" w:hAnsi="仿宋_GB2312" w:cs="仿宋_GB2312" w:eastAsia="仿宋_GB2312"/>
                <w:sz w:val="24"/>
              </w:rPr>
              <w:t>投标总报</w:t>
            </w:r>
            <w:r>
              <w:rPr>
                <w:rFonts w:ascii="仿宋_GB2312" w:hAnsi="仿宋_GB2312" w:cs="仿宋_GB2312" w:eastAsia="仿宋_GB2312"/>
                <w:sz w:val="24"/>
              </w:rPr>
              <w:t>价</w:t>
            </w:r>
            <w:r>
              <w:rPr>
                <w:rFonts w:ascii="仿宋_GB2312" w:hAnsi="仿宋_GB2312" w:cs="仿宋_GB2312" w:eastAsia="仿宋_GB2312"/>
                <w:sz w:val="24"/>
              </w:rPr>
              <w:t>为保障项目在服务期间内的服务质量， 并经采购人考核合格后</w:t>
            </w:r>
            <w:r>
              <w:rPr>
                <w:rFonts w:ascii="仿宋_GB2312" w:hAnsi="仿宋_GB2312" w:cs="仿宋_GB2312" w:eastAsia="仿宋_GB2312"/>
                <w:sz w:val="24"/>
              </w:rPr>
              <w:t xml:space="preserve"> 的一切费用， 包括但不限于设备投入费用、人员工资、福利费、社保费、风险费 等一切费用。所有报价均应已包含国家规定的所有税费。供应商应自行核算项目 正常、合法运作及使用所必需的费用。供应商漏报的单价或报价中漏报、少报的 费用， 视为此项费用已隐含在投标总报价中， 中标后不得再向采购人收取任何费 用。</w:t>
            </w:r>
          </w:p>
          <w:p>
            <w:pPr>
              <w:pStyle w:val="null3"/>
              <w:spacing w:before="315"/>
              <w:ind w:left="1005"/>
              <w:jc w:val="left"/>
            </w:pPr>
            <w:r>
              <w:rPr>
                <w:rFonts w:ascii="仿宋_GB2312" w:hAnsi="仿宋_GB2312" w:cs="仿宋_GB2312" w:eastAsia="仿宋_GB2312"/>
                <w:sz w:val="28"/>
              </w:rPr>
              <w:t>七</w:t>
            </w:r>
            <w:r>
              <w:rPr>
                <w:rFonts w:ascii="仿宋_GB2312" w:hAnsi="仿宋_GB2312" w:cs="仿宋_GB2312" w:eastAsia="仿宋_GB2312"/>
                <w:sz w:val="28"/>
              </w:rPr>
              <w:t>、 履约保证金</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中标</w:t>
            </w:r>
            <w:r>
              <w:rPr>
                <w:rFonts w:ascii="仿宋_GB2312" w:hAnsi="仿宋_GB2312" w:cs="仿宋_GB2312" w:eastAsia="仿宋_GB2312"/>
                <w:sz w:val="24"/>
              </w:rPr>
              <w:t>单</w:t>
            </w:r>
            <w:r>
              <w:rPr>
                <w:rFonts w:ascii="仿宋_GB2312" w:hAnsi="仿宋_GB2312" w:cs="仿宋_GB2312" w:eastAsia="仿宋_GB2312"/>
                <w:sz w:val="24"/>
              </w:rPr>
              <w:t>位在合同生效后 15 个工作日内，以银行转帐方式向采购人提交人</w:t>
            </w:r>
            <w:r>
              <w:rPr>
                <w:rFonts w:ascii="仿宋_GB2312" w:hAnsi="仿宋_GB2312" w:cs="仿宋_GB2312" w:eastAsia="仿宋_GB2312"/>
                <w:sz w:val="24"/>
              </w:rPr>
              <w:t xml:space="preserve"> 民币 壹拾万元(￥100000元)作为履约保证金。</w:t>
            </w:r>
          </w:p>
          <w:p>
            <w:pPr>
              <w:pStyle w:val="null3"/>
              <w:ind w:left="1005" w:right="15" w:firstLine="483"/>
              <w:jc w:val="left"/>
            </w:pPr>
            <w:r>
              <w:rPr>
                <w:rFonts w:ascii="仿宋_GB2312" w:hAnsi="仿宋_GB2312" w:cs="仿宋_GB2312" w:eastAsia="仿宋_GB2312"/>
                <w:sz w:val="24"/>
              </w:rPr>
              <w:t>2.</w:t>
            </w:r>
            <w:r>
              <w:rPr>
                <w:rFonts w:ascii="仿宋_GB2312" w:hAnsi="仿宋_GB2312" w:cs="仿宋_GB2312" w:eastAsia="仿宋_GB2312"/>
                <w:sz w:val="24"/>
              </w:rPr>
              <w:t>合同服务期限届满后 15 个工作日内，中标单位需向采购人提供一份最</w:t>
            </w:r>
            <w:r>
              <w:rPr>
                <w:rFonts w:ascii="仿宋_GB2312" w:hAnsi="仿宋_GB2312" w:cs="仿宋_GB2312" w:eastAsia="仿宋_GB2312"/>
                <w:sz w:val="24"/>
              </w:rPr>
              <w:t>终</w:t>
            </w:r>
            <w:r>
              <w:rPr>
                <w:rFonts w:ascii="仿宋_GB2312" w:hAnsi="仿宋_GB2312" w:cs="仿宋_GB2312" w:eastAsia="仿宋_GB2312"/>
                <w:sz w:val="24"/>
              </w:rPr>
              <w:t xml:space="preserve"> 的服务整体成果展示报告， 采购人负责组织人员对本次服务进行验收， 经采购人 验收确认中标单位提供的服务符合合同要求且不存在任何违约情形的， 采购人在 验收通过后 15 个工作日内一次性向中标单位无息全额退还人民币壹拾万元 (￥100000 元)的履约保证金。</w:t>
            </w:r>
          </w:p>
          <w:p>
            <w:pPr>
              <w:pStyle w:val="null3"/>
              <w:ind w:left="1005" w:right="15" w:firstLine="484"/>
              <w:jc w:val="left"/>
            </w:pPr>
            <w:r>
              <w:rPr>
                <w:rFonts w:ascii="仿宋_GB2312" w:hAnsi="仿宋_GB2312" w:cs="仿宋_GB2312" w:eastAsia="仿宋_GB2312"/>
                <w:sz w:val="24"/>
              </w:rPr>
              <w:t>3.</w:t>
            </w:r>
            <w:r>
              <w:rPr>
                <w:rFonts w:ascii="仿宋_GB2312" w:hAnsi="仿宋_GB2312" w:cs="仿宋_GB2312" w:eastAsia="仿宋_GB2312"/>
                <w:sz w:val="24"/>
              </w:rPr>
              <w:t>在</w:t>
            </w:r>
            <w:r>
              <w:rPr>
                <w:rFonts w:ascii="仿宋_GB2312" w:hAnsi="仿宋_GB2312" w:cs="仿宋_GB2312" w:eastAsia="仿宋_GB2312"/>
                <w:sz w:val="24"/>
              </w:rPr>
              <w:t>服务期限内如中标单位出现合同约定的违约情形， 履约保证金按如下方</w:t>
            </w:r>
            <w:r>
              <w:rPr>
                <w:rFonts w:ascii="仿宋_GB2312" w:hAnsi="仿宋_GB2312" w:cs="仿宋_GB2312" w:eastAsia="仿宋_GB2312"/>
                <w:sz w:val="24"/>
              </w:rPr>
              <w:t xml:space="preserve"> 式处理： ①根据合同约定中标单位需向采购人支付违约金的， 则违约金从履约保 证金中扣除，剩余履约保证金由采购人在对中标单位本次服务进行整体验收后 15 个工作日内一次性向中标单位无息退还， 在中标单位履约保证金不足以扣除 违约金时， 采购人有权向中标单位追偿违约金； ②根据合同约定采购人有权解除 合同并罚没中标单位履约保证金情形的， 中标单位支付的人民币壹拾万元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100000</w:t>
            </w:r>
            <w:r>
              <w:rPr>
                <w:rFonts w:ascii="仿宋_GB2312" w:hAnsi="仿宋_GB2312" w:cs="仿宋_GB2312" w:eastAsia="仿宋_GB2312"/>
                <w:sz w:val="24"/>
              </w:rPr>
              <w:t>元)的履约保证金采购人不再予以退还。</w:t>
            </w:r>
          </w:p>
          <w:p>
            <w:pPr>
              <w:pStyle w:val="null3"/>
              <w:jc w:val="left"/>
            </w:pPr>
            <w:r>
              <w:rPr>
                <w:rFonts w:ascii="仿宋_GB2312" w:hAnsi="仿宋_GB2312" w:cs="仿宋_GB2312" w:eastAsia="仿宋_GB2312"/>
                <w:sz w:val="28"/>
              </w:rPr>
              <w:t>八</w:t>
            </w:r>
            <w:r>
              <w:rPr>
                <w:rFonts w:ascii="仿宋_GB2312" w:hAnsi="仿宋_GB2312" w:cs="仿宋_GB2312" w:eastAsia="仿宋_GB2312"/>
                <w:sz w:val="28"/>
              </w:rPr>
              <w:t>、 费用支付</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中标单位于</w:t>
            </w:r>
            <w:r>
              <w:rPr>
                <w:rFonts w:ascii="仿宋_GB2312" w:hAnsi="仿宋_GB2312" w:cs="仿宋_GB2312" w:eastAsia="仿宋_GB2312"/>
                <w:sz w:val="24"/>
              </w:rPr>
              <w:t>每月 5 日前向采购人提供上一个月的落地覆盖月度执行报告，</w:t>
            </w:r>
            <w:r>
              <w:rPr>
                <w:rFonts w:ascii="仿宋_GB2312" w:hAnsi="仿宋_GB2312" w:cs="仿宋_GB2312" w:eastAsia="仿宋_GB2312"/>
                <w:sz w:val="24"/>
              </w:rPr>
              <w:t xml:space="preserve"> 采购人根据美兰德数据对中标单位服务进行核查及验收， 经采购人验收确认后且 无其他违约情形，采购人于每月 15 日前按附件的分项报价向中标单位支付相应 落地费。如实际落地期限不足一年的，采购人按实际落地期限支付费用。</w:t>
            </w:r>
          </w:p>
          <w:p>
            <w:pPr>
              <w:pStyle w:val="null3"/>
              <w:ind w:left="1005" w:right="75" w:firstLine="480"/>
              <w:jc w:val="left"/>
            </w:pPr>
            <w:r>
              <w:rPr>
                <w:rFonts w:ascii="仿宋_GB2312" w:hAnsi="仿宋_GB2312" w:cs="仿宋_GB2312" w:eastAsia="仿宋_GB2312"/>
                <w:sz w:val="24"/>
              </w:rPr>
              <w:t>2.</w:t>
            </w:r>
            <w:r>
              <w:rPr>
                <w:rFonts w:ascii="仿宋_GB2312" w:hAnsi="仿宋_GB2312" w:cs="仿宋_GB2312" w:eastAsia="仿宋_GB2312"/>
                <w:sz w:val="24"/>
              </w:rPr>
              <w:t>中</w:t>
            </w:r>
            <w:r>
              <w:rPr>
                <w:rFonts w:ascii="仿宋_GB2312" w:hAnsi="仿宋_GB2312" w:cs="仿宋_GB2312" w:eastAsia="仿宋_GB2312"/>
                <w:sz w:val="24"/>
              </w:rPr>
              <w:t>标单位需在采购人每次支付款项前五个工作日， 提供等额有效发票， 开</w:t>
            </w:r>
            <w:r>
              <w:rPr>
                <w:rFonts w:ascii="仿宋_GB2312" w:hAnsi="仿宋_GB2312" w:cs="仿宋_GB2312" w:eastAsia="仿宋_GB2312"/>
                <w:sz w:val="24"/>
              </w:rPr>
              <w:t xml:space="preserve"> 票内容为“频道接入服务推广费”。</w:t>
            </w:r>
          </w:p>
          <w:p>
            <w:pPr>
              <w:pStyle w:val="null3"/>
              <w:ind w:left="1005" w:right="60" w:firstLine="483"/>
              <w:jc w:val="left"/>
            </w:pPr>
            <w:r>
              <w:rPr>
                <w:rFonts w:ascii="仿宋_GB2312" w:hAnsi="仿宋_GB2312" w:cs="仿宋_GB2312" w:eastAsia="仿宋_GB2312"/>
                <w:sz w:val="24"/>
              </w:rPr>
              <w:t>3.</w:t>
            </w:r>
            <w:r>
              <w:rPr>
                <w:rFonts w:ascii="仿宋_GB2312" w:hAnsi="仿宋_GB2312" w:cs="仿宋_GB2312" w:eastAsia="仿宋_GB2312"/>
                <w:sz w:val="24"/>
              </w:rPr>
              <w:t>如中标单位变更指定账户的，应提前 20 个工作日前向采购人提供银行账</w:t>
            </w:r>
            <w:r>
              <w:rPr>
                <w:rFonts w:ascii="仿宋_GB2312" w:hAnsi="仿宋_GB2312" w:cs="仿宋_GB2312" w:eastAsia="仿宋_GB2312"/>
                <w:sz w:val="24"/>
              </w:rPr>
              <w:t xml:space="preserve"> 户变更的书面确认文件，否则一切后果由中标单位承担。</w:t>
            </w:r>
          </w:p>
          <w:p>
            <w:pPr>
              <w:pStyle w:val="null3"/>
              <w:ind w:left="1005" w:right="75" w:firstLine="471"/>
              <w:jc w:val="left"/>
            </w:pPr>
            <w:r>
              <w:rPr>
                <w:rFonts w:ascii="仿宋_GB2312" w:hAnsi="仿宋_GB2312" w:cs="仿宋_GB2312" w:eastAsia="仿宋_GB2312"/>
                <w:sz w:val="24"/>
              </w:rPr>
              <w:t>4.</w:t>
            </w:r>
            <w:r>
              <w:rPr>
                <w:rFonts w:ascii="仿宋_GB2312" w:hAnsi="仿宋_GB2312" w:cs="仿宋_GB2312" w:eastAsia="仿宋_GB2312"/>
                <w:sz w:val="24"/>
              </w:rPr>
              <w:t>费</w:t>
            </w:r>
            <w:r>
              <w:rPr>
                <w:rFonts w:ascii="仿宋_GB2312" w:hAnsi="仿宋_GB2312" w:cs="仿宋_GB2312" w:eastAsia="仿宋_GB2312"/>
                <w:sz w:val="24"/>
              </w:rPr>
              <w:t>用的支付需以采购人收到政府拨付的资金为前提条件， 如政府审查部门</w:t>
            </w:r>
            <w:r>
              <w:rPr>
                <w:rFonts w:ascii="仿宋_GB2312" w:hAnsi="仿宋_GB2312" w:cs="仿宋_GB2312" w:eastAsia="仿宋_GB2312"/>
                <w:sz w:val="24"/>
              </w:rPr>
              <w:t xml:space="preserve"> 审核延长或未按时拨付资金的， 不视为采购人违约， 中标单位同意不追究采购人 责任。</w:t>
            </w:r>
          </w:p>
          <w:p>
            <w:pPr>
              <w:pStyle w:val="null3"/>
              <w:spacing w:before="315"/>
              <w:ind w:left="1005"/>
              <w:jc w:val="left"/>
            </w:pPr>
            <w:r>
              <w:rPr>
                <w:rFonts w:ascii="仿宋_GB2312" w:hAnsi="仿宋_GB2312" w:cs="仿宋_GB2312" w:eastAsia="仿宋_GB2312"/>
                <w:sz w:val="28"/>
              </w:rPr>
              <w:t>九、服务质</w:t>
            </w:r>
            <w:r>
              <w:rPr>
                <w:rFonts w:ascii="仿宋_GB2312" w:hAnsi="仿宋_GB2312" w:cs="仿宋_GB2312" w:eastAsia="仿宋_GB2312"/>
                <w:sz w:val="28"/>
              </w:rPr>
              <w:t>量</w:t>
            </w:r>
          </w:p>
          <w:p>
            <w:pPr>
              <w:pStyle w:val="null3"/>
              <w:jc w:val="left"/>
            </w:pPr>
            <w:r>
              <w:rPr>
                <w:rFonts w:ascii="仿宋_GB2312" w:hAnsi="仿宋_GB2312" w:cs="仿宋_GB2312" w:eastAsia="仿宋_GB2312"/>
                <w:sz w:val="24"/>
              </w:rPr>
              <w:t>合</w:t>
            </w:r>
            <w:r>
              <w:rPr>
                <w:rFonts w:ascii="仿宋_GB2312" w:hAnsi="仿宋_GB2312" w:cs="仿宋_GB2312" w:eastAsia="仿宋_GB2312"/>
                <w:sz w:val="24"/>
              </w:rPr>
              <w:t>格并满足采购人要求。</w:t>
            </w:r>
          </w:p>
          <w:p>
            <w:pPr>
              <w:pStyle w:val="null3"/>
              <w:jc w:val="left"/>
            </w:pPr>
            <w:r>
              <w:rPr>
                <w:rFonts w:ascii="仿宋_GB2312" w:hAnsi="仿宋_GB2312" w:cs="仿宋_GB2312" w:eastAsia="仿宋_GB2312"/>
                <w:sz w:val="28"/>
              </w:rPr>
              <w:t>十、验收方案</w:t>
            </w:r>
          </w:p>
          <w:p>
            <w:pPr>
              <w:pStyle w:val="null3"/>
              <w:jc w:val="left"/>
            </w:pPr>
            <w:r>
              <w:rPr>
                <w:rFonts w:ascii="仿宋_GB2312" w:hAnsi="仿宋_GB2312" w:cs="仿宋_GB2312" w:eastAsia="仿宋_GB2312"/>
                <w:sz w:val="24"/>
              </w:rPr>
              <w:t>合同服务期限届满后</w:t>
            </w:r>
            <w:r>
              <w:rPr>
                <w:rFonts w:ascii="仿宋_GB2312" w:hAnsi="仿宋_GB2312" w:cs="仿宋_GB2312" w:eastAsia="仿宋_GB2312"/>
                <w:sz w:val="24"/>
              </w:rPr>
              <w:t xml:space="preserve"> 15 </w:t>
            </w:r>
            <w:r>
              <w:rPr>
                <w:rFonts w:ascii="仿宋_GB2312" w:hAnsi="仿宋_GB2312" w:cs="仿宋_GB2312" w:eastAsia="仿宋_GB2312"/>
                <w:sz w:val="24"/>
              </w:rPr>
              <w:t>个工作日内，中标单位需向采购人提供一份最终的</w:t>
            </w:r>
            <w:r>
              <w:rPr>
                <w:rFonts w:ascii="仿宋_GB2312" w:hAnsi="仿宋_GB2312" w:cs="仿宋_GB2312" w:eastAsia="仿宋_GB2312"/>
                <w:sz w:val="24"/>
              </w:rPr>
              <w:t xml:space="preserve"> 服务整体成果展示报告， 采购人负责组织人员对本次服务进行验收，具体验收标 准依据最终签订合同执行。</w:t>
            </w:r>
          </w:p>
          <w:p>
            <w:pPr>
              <w:pStyle w:val="null3"/>
              <w:numPr>
                <w:ilvl w:val="0"/>
                <w:numId w:val="1"/>
              </w:numPr>
              <w:spacing w:before="315"/>
              <w:ind w:left="405"/>
              <w:jc w:val="left"/>
            </w:pPr>
            <w:r>
              <w:rPr>
                <w:rFonts w:ascii="仿宋_GB2312" w:hAnsi="仿宋_GB2312" w:cs="仿宋_GB2312" w:eastAsia="仿宋_GB2312"/>
                <w:sz w:val="28"/>
              </w:rPr>
              <w:t>附件</w:t>
            </w:r>
          </w:p>
          <w:tbl>
            <w:tblPr>
              <w:tblInd w:type="dxa" w:w="90"/>
              <w:tblBorders>
                <w:top w:val="single"/>
                <w:left w:val="single"/>
                <w:bottom w:val="single"/>
                <w:right w:val="single"/>
                <w:insideH w:val="single"/>
                <w:insideV w:val="single"/>
              </w:tblBorders>
            </w:tblPr>
            <w:tblGrid>
              <w:gridCol w:w="222"/>
              <w:gridCol w:w="566"/>
              <w:gridCol w:w="2401"/>
            </w:tblGrid>
            <w:tr>
              <w:tc>
                <w:tcPr>
                  <w:tcW w:type="dxa" w:w="222"/>
                  <w:shd w:fill="FFFF00"/>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566"/>
                  <w:tcBorders>
                    <w:top w:val="single" w:color="000000" w:sz="4"/>
                    <w:left w:val="none" w:color="000000" w:sz="4"/>
                    <w:bottom w:val="single" w:color="000000" w:sz="4"/>
                    <w:right w:val="single" w:color="000000" w:sz="4"/>
                  </w:tcBorders>
                  <w:shd w:fill="FFFF00"/>
                  <w:tcMar>
                    <w:top w:type="dxa" w:w="0"/>
                    <w:left w:type="dxa" w:w="105"/>
                    <w:bottom w:type="dxa" w:w="0"/>
                    <w:right w:type="dxa" w:w="105"/>
                  </w:tcMar>
                </w:tcPr>
                <w:p>
                  <w:pPr>
                    <w:pStyle w:val="null3"/>
                    <w:jc w:val="center"/>
                  </w:pPr>
                  <w:r>
                    <w:rPr>
                      <w:rFonts w:ascii="仿宋_GB2312" w:hAnsi="仿宋_GB2312" w:cs="仿宋_GB2312" w:eastAsia="仿宋_GB2312"/>
                      <w:sz w:val="24"/>
                      <w:b/>
                    </w:rPr>
                    <w:t>落地省份</w:t>
                  </w:r>
                </w:p>
              </w:tc>
              <w:tc>
                <w:tcPr>
                  <w:tcW w:type="dxa" w:w="2401"/>
                  <w:tcBorders>
                    <w:top w:val="single" w:color="000000" w:sz="4"/>
                    <w:left w:val="none" w:color="000000" w:sz="4"/>
                    <w:bottom w:val="single" w:color="000000" w:sz="4"/>
                    <w:right w:val="single" w:color="000000" w:sz="4"/>
                  </w:tcBorders>
                  <w:shd w:fill="FFFF00"/>
                  <w:tcMar>
                    <w:top w:type="dxa" w:w="0"/>
                    <w:left w:type="dxa" w:w="105"/>
                    <w:bottom w:type="dxa" w:w="0"/>
                    <w:right w:type="dxa" w:w="105"/>
                  </w:tcMar>
                </w:tcPr>
                <w:p>
                  <w:pPr>
                    <w:pStyle w:val="null3"/>
                    <w:jc w:val="center"/>
                  </w:pPr>
                  <w:r>
                    <w:rPr>
                      <w:rFonts w:ascii="仿宋_GB2312" w:hAnsi="仿宋_GB2312" w:cs="仿宋_GB2312" w:eastAsia="仿宋_GB2312"/>
                      <w:sz w:val="24"/>
                      <w:b/>
                    </w:rPr>
                    <w:t>覆盖区域</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北京</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上海</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天津</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重庆</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w:t>
                  </w:r>
                </w:p>
              </w:tc>
              <w:tc>
                <w:tcPr>
                  <w:tcW w:type="dxa" w:w="5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广东</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广州</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6</w:t>
                  </w:r>
                </w:p>
              </w:tc>
              <w:tc>
                <w:tcPr>
                  <w:tcW w:type="dxa" w:w="566"/>
                  <w:vMerge/>
                  <w:tcBorders>
                    <w:top w:val="none" w:color="000000" w:sz="4"/>
                    <w:left w:val="none" w:color="000000" w:sz="4"/>
                    <w:bottom w:val="single" w:color="000000" w:sz="4"/>
                    <w:right w:val="single" w:color="000000" w:sz="4"/>
                  </w:tcBorders>
                </w:tcP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深圳</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7</w:t>
                  </w:r>
                </w:p>
              </w:tc>
              <w:tc>
                <w:tcPr>
                  <w:tcW w:type="dxa" w:w="566"/>
                  <w:vMerge/>
                  <w:tcBorders>
                    <w:top w:val="none" w:color="000000" w:sz="4"/>
                    <w:left w:val="none" w:color="000000" w:sz="4"/>
                    <w:bottom w:val="single" w:color="000000" w:sz="4"/>
                    <w:right w:val="single" w:color="000000" w:sz="4"/>
                  </w:tcBorders>
                </w:tcP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珠海、湛江</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福建</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福州、厦门、南平、泉州、莆田</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广西</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全区</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贵州</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四川</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湖北</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武汉</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13</w:t>
                  </w:r>
                </w:p>
              </w:tc>
              <w:tc>
                <w:tcPr>
                  <w:tcW w:type="dxa" w:w="5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江苏</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南京</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14</w:t>
                  </w:r>
                </w:p>
              </w:tc>
              <w:tc>
                <w:tcPr>
                  <w:tcW w:type="dxa" w:w="566"/>
                  <w:vMerge/>
                  <w:tcBorders>
                    <w:top w:val="none" w:color="000000" w:sz="4"/>
                    <w:left w:val="none" w:color="000000" w:sz="4"/>
                    <w:bottom w:val="single" w:color="000000" w:sz="4"/>
                    <w:right w:val="single" w:color="000000" w:sz="4"/>
                  </w:tcBorders>
                </w:tcP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苏州</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15</w:t>
                  </w:r>
                </w:p>
              </w:tc>
              <w:tc>
                <w:tcPr>
                  <w:tcW w:type="dxa" w:w="566"/>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浙江</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杭州</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16</w:t>
                  </w:r>
                </w:p>
              </w:tc>
              <w:tc>
                <w:tcPr>
                  <w:tcW w:type="dxa" w:w="566"/>
                  <w:vMerge/>
                  <w:tcBorders>
                    <w:top w:val="none" w:color="000000" w:sz="4"/>
                    <w:left w:val="none" w:color="000000" w:sz="4"/>
                    <w:bottom w:val="none" w:color="000000" w:sz="4"/>
                    <w:right w:val="single" w:color="000000" w:sz="4"/>
                  </w:tcBorders>
                </w:tcP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宁波广联8区</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17</w:t>
                  </w:r>
                </w:p>
              </w:tc>
              <w:tc>
                <w:tcPr>
                  <w:tcW w:type="dxa" w:w="566"/>
                  <w:vMerge/>
                  <w:tcBorders>
                    <w:top w:val="none" w:color="000000" w:sz="4"/>
                    <w:left w:val="none" w:color="000000" w:sz="4"/>
                    <w:bottom w:val="none" w:color="000000" w:sz="4"/>
                    <w:right w:val="single" w:color="000000" w:sz="4"/>
                  </w:tcBorders>
                </w:tcP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温州</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18</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山东</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济南、青岛、日照、淄博、枣庄、潍坊、济宁、滨州</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黑龙江</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11</w:t>
                  </w:r>
                  <w:r>
                    <w:rPr>
                      <w:rFonts w:ascii="仿宋_GB2312" w:hAnsi="仿宋_GB2312" w:cs="仿宋_GB2312" w:eastAsia="仿宋_GB2312"/>
                      <w:sz w:val="22"/>
                    </w:rPr>
                    <w:t>个市、 52个县</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吉林</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省网（不含吉林市）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云南</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昆明</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22</w:t>
                  </w:r>
                </w:p>
              </w:tc>
              <w:tc>
                <w:tcPr>
                  <w:tcW w:type="dxa" w:w="5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湖南</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长沙、岳阳</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23</w:t>
                  </w:r>
                </w:p>
              </w:tc>
              <w:tc>
                <w:tcPr>
                  <w:tcW w:type="dxa" w:w="566"/>
                  <w:vMerge/>
                  <w:tcBorders>
                    <w:top w:val="none" w:color="000000" w:sz="4"/>
                    <w:left w:val="none" w:color="000000" w:sz="4"/>
                    <w:bottom w:val="single" w:color="000000" w:sz="4"/>
                    <w:right w:val="single" w:color="000000" w:sz="4"/>
                  </w:tcBorders>
                </w:tcP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益阳</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山西</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太原市网</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安徽</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安徽省网</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26</w:t>
                  </w:r>
                </w:p>
              </w:tc>
              <w:tc>
                <w:tcPr>
                  <w:tcW w:type="dxa" w:w="5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辽宁</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省网（不含大连、本溪）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27</w:t>
                  </w:r>
                </w:p>
              </w:tc>
              <w:tc>
                <w:tcPr>
                  <w:tcW w:type="dxa" w:w="566"/>
                  <w:vMerge/>
                  <w:tcBorders>
                    <w:top w:val="none" w:color="000000" w:sz="4"/>
                    <w:left w:val="none" w:color="000000" w:sz="4"/>
                    <w:bottom w:val="single" w:color="000000" w:sz="4"/>
                    <w:right w:val="single" w:color="000000" w:sz="4"/>
                  </w:tcBorders>
                </w:tcP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大连</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内蒙古</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陕西</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河南</w:t>
                  </w:r>
                </w:p>
              </w:tc>
              <w:tc>
                <w:tcPr>
                  <w:tcW w:type="dxa" w:w="240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青海</w:t>
                  </w:r>
                </w:p>
              </w:tc>
              <w:tc>
                <w:tcPr>
                  <w:tcW w:type="dxa" w:w="2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河北</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宁夏</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甘肃</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全省</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江西</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省网（不含南昌）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新疆</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兵团网络</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高清覆盖</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w:t>
                  </w:r>
                  <w:r>
                    <w:rPr>
                      <w:rFonts w:ascii="仿宋_GB2312" w:hAnsi="仿宋_GB2312" w:cs="仿宋_GB2312" w:eastAsia="仿宋_GB2312"/>
                      <w:sz w:val="22"/>
                    </w:rPr>
                    <w:t>个有线或IPTV</w:t>
                  </w:r>
                </w:p>
              </w:tc>
            </w:tr>
          </w:tbl>
          <w:p>
            <w:pPr>
              <w:pStyle w:val="null3"/>
              <w:spacing w:before="315"/>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详见“二、技术和服务要求“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相关证明材料 法定代表人资格证明书或法定代表人授权委托书 投标人基本情况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相关证明材料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无重大违法记录声明函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提供资格承诺函（证明材料加盖公章）。</w:t>
            </w:r>
          </w:p>
        </w:tc>
        <w:tc>
          <w:tcPr>
            <w:tcW w:type="dxa" w:w="1661"/>
          </w:tcPr>
          <w:p>
            <w:pPr>
              <w:pStyle w:val="null3"/>
              <w:jc w:val="left"/>
            </w:pPr>
            <w:r>
              <w:rPr>
                <w:rFonts w:ascii="仿宋_GB2312" w:hAnsi="仿宋_GB2312" w:cs="仿宋_GB2312" w:eastAsia="仿宋_GB2312"/>
              </w:rPr>
              <w:t>中小企业声明函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提供无环保类行政处罚记录声明函（证明材料加盖公章）。</w:t>
            </w:r>
          </w:p>
        </w:tc>
        <w:tc>
          <w:tcPr>
            <w:tcW w:type="dxa" w:w="1661"/>
          </w:tcPr>
          <w:p>
            <w:pPr>
              <w:pStyle w:val="null3"/>
              <w:jc w:val="left"/>
            </w:pPr>
            <w:r>
              <w:rPr>
                <w:rFonts w:ascii="仿宋_GB2312" w:hAnsi="仿宋_GB2312" w:cs="仿宋_GB2312" w:eastAsia="仿宋_GB2312"/>
              </w:rPr>
              <w:t>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项目负责人简历表 封面 商务、服务偏离表 项目管理机构主要人员简历表 投标人承诺函 相关证明材料 联合体投标协议书（接受联合体适用） 投标人类似项目业绩一览表 残疾人福利性单位声明函 服务方案 法定代表人资格证明书或法定代表人授权委托书 监狱企业的证明文件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相关证明材料 服务方案 商务、服务偏离表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投标人代理的全国各级有线电视网对海南卫视节目无中断、遮盖、删除等处理方案；承诺无插播、覆盖非海南卫视节目的广告；承诺无随意变更海南卫视节目传输频道位置。 1、提供的服务方案如包括以上提及的所有内容，且方案科学可行，现状分析充分，充分理解本项目 需求，得25分； 2、提供的服务方案如包括以上提及的所有内容，但方案内容未切实考虑到项目实际情况，与现实执行条件有出入，仅能保证本项目执行，得20分；3、提供的服务方案对以上提及的内容有缺项，且方案实施过程混乱，内容冗余未考虑实际执行条件，得15分； 4、不提供，得0分。 注：提供服务方案证明材料。（加盖公章）</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p>
            <w:pPr>
              <w:pStyle w:val="null3"/>
              <w:jc w:val="both"/>
            </w:pPr>
            <w:r>
              <w:rPr>
                <w:rFonts w:ascii="仿宋_GB2312" w:hAnsi="仿宋_GB2312" w:cs="仿宋_GB2312" w:eastAsia="仿宋_GB2312"/>
              </w:rPr>
              <w:t>商务、服务偏离表</w:t>
            </w:r>
          </w:p>
        </w:tc>
      </w:tr>
      <w:tr>
        <w:tc>
          <w:tcPr>
            <w:tcW w:type="dxa" w:w="831"/>
            <w:vMerge/>
          </w:tcPr>
          <w:p/>
        </w:tc>
        <w:tc>
          <w:tcPr>
            <w:tcW w:type="dxa" w:w="1661"/>
          </w:tcPr>
          <w:p>
            <w:pPr>
              <w:pStyle w:val="null3"/>
              <w:jc w:val="both"/>
            </w:pPr>
            <w:r>
              <w:rPr>
                <w:rFonts w:ascii="仿宋_GB2312" w:hAnsi="仿宋_GB2312" w:cs="仿宋_GB2312" w:eastAsia="仿宋_GB2312"/>
              </w:rPr>
              <w:t>人员配置及队伍管理措施</w:t>
            </w:r>
          </w:p>
        </w:tc>
        <w:tc>
          <w:tcPr>
            <w:tcW w:type="dxa" w:w="2492"/>
          </w:tcPr>
          <w:p>
            <w:pPr>
              <w:pStyle w:val="null3"/>
              <w:jc w:val="both"/>
            </w:pPr>
            <w:r>
              <w:rPr>
                <w:rFonts w:ascii="仿宋_GB2312" w:hAnsi="仿宋_GB2312" w:cs="仿宋_GB2312" w:eastAsia="仿宋_GB2312"/>
              </w:rPr>
              <w:t>根据投标人拟投入本项目的团队成员的人员配置、 人员资质、 项目经验及人员管理方案等方面进行评审。1、 拟投入本项目的团队成员的配置合理， 人员具有相关资质和经验，完全满足本项目实施的要求且针对性强，团队人员管理方案科学可行，得20分； 2、拟投入本项目的团队成员的配置符合项目要求，能够保证执行项目，团队人员管理方案合理，得15分； 3、拟投入本项目的团队成员的配置无法满足项目要求， 团队人员管理方案逻辑混乱，难以满足本项目顺利实施的需要， 得10分。 4、不提供，得0分。 注： 提供拟投入本项目的团队成员的身份证复印件、2025年任意一个月的社保证明复印件及其他证明材料。（加盖公章）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项目负责人简历表</w:t>
            </w:r>
          </w:p>
          <w:p>
            <w:pPr>
              <w:pStyle w:val="null3"/>
              <w:jc w:val="both"/>
            </w:pPr>
            <w:r>
              <w:rPr>
                <w:rFonts w:ascii="仿宋_GB2312" w:hAnsi="仿宋_GB2312" w:cs="仿宋_GB2312" w:eastAsia="仿宋_GB2312"/>
              </w:rPr>
              <w:t>项目管理机构主要人员简历表</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具备保障落地覆盖服务的相应设备故障处理能力、突发状况处理能力；服务商在必要时能及时垫付落地费用，不会导致海南卫视节目在全国全国各级有线电视网停播（以上两点提供承诺函证明）。 1、提供的应急处理方案包括但不限于以上提及的所有内容，且方案科学可 行，现状分析充分，充分理解本项目需求，得20分；2、提供的应急处理方案如包括以上提及的所有内容，但方案内容未切实考虑到项目实际情况，与现实执行条件有出入，仅能保证本项目执行，得15分； 3、提供的应急处理方案对以上提及的内容有缺项，且方案实施过程混乱，内容冗余未考虑实际执行条件，得10分；4、不提供，得0分。 注：提供应急处理方案证明材料。（加盖公章）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p>
            <w:pPr>
              <w:pStyle w:val="null3"/>
              <w:jc w:val="both"/>
            </w:pPr>
            <w:r>
              <w:rPr>
                <w:rFonts w:ascii="仿宋_GB2312" w:hAnsi="仿宋_GB2312" w:cs="仿宋_GB2312" w:eastAsia="仿宋_GB2312"/>
              </w:rPr>
              <w:t>商务、服务偏离表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提供近三年（即2022年1月1日至今）完成的卫视落地类型的项目业绩。 投标文件中提供合同复印件加盖公章（至少应包括合同首页，合同详细标的和双方签章，以合同签订生效之日为准）。提供一个业绩得5分，不重复计分，满分25分，不提供得0分。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HNZKLJZFCG2025-10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海南广播电视总台综合频道2025年全国落地项目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海南广播电视总台综合频道2025年全国落地项目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C06020500-广播电视传输服务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50029270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详见附件：相关证明材料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详见附件：联合体投标协议书（接受联合体适用）</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详见附件：项目负责人简历表</w:t>
      </w:r>
    </w:p>
    <w:p>
      <w:pPr>
        <w:pStyle w:val="null3"/>
        <w:ind w:firstLine="960"/>
        <w:jc w:val="left"/>
      </w:pPr>
      <w:r>
        <w:rPr>
          <w:rFonts w:ascii="仿宋_GB2312" w:hAnsi="仿宋_GB2312" w:cs="仿宋_GB2312" w:eastAsia="仿宋_GB2312"/>
        </w:rPr>
        <w:t>详见附件：项目管理机构主要人员简历表</w:t>
      </w:r>
    </w:p>
    <w:p>
      <w:pPr>
        <w:pStyle w:val="null3"/>
        <w:ind w:firstLine="960"/>
        <w:jc w:val="left"/>
      </w:pPr>
      <w:r>
        <w:rPr>
          <w:rFonts w:ascii="仿宋_GB2312" w:hAnsi="仿宋_GB2312" w:cs="仿宋_GB2312" w:eastAsia="仿宋_GB2312"/>
        </w:rPr>
        <w:t>详见附件：商务、服务偏离表</w:t>
      </w:r>
    </w:p>
    <w:p>
      <w:pPr>
        <w:pStyle w:val="null3"/>
        <w:ind w:firstLine="960"/>
        <w:jc w:val="left"/>
      </w:pPr>
      <w:r>
        <w:rPr>
          <w:rFonts w:ascii="仿宋_GB2312" w:hAnsi="仿宋_GB2312" w:cs="仿宋_GB2312" w:eastAsia="仿宋_GB2312"/>
        </w:rPr>
        <w:t>详见附件：服务方案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