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AE5C4">
      <w:pPr>
        <w:rPr>
          <w:b/>
          <w:bCs/>
        </w:rPr>
      </w:pPr>
      <w:r>
        <w:rPr>
          <w:rFonts w:hint="eastAsia"/>
          <w:b/>
          <w:bCs/>
        </w:rPr>
        <w:t>（合同文本仅供参考，以最终签订的合同为准）</w:t>
      </w:r>
    </w:p>
    <w:p w14:paraId="0DEB91D3">
      <w:pPr>
        <w:rPr>
          <w:rFonts w:ascii="Times New Roman" w:hAnsi="Times New Roman" w:eastAsia="宋体"/>
          <w:sz w:val="28"/>
          <w:szCs w:val="28"/>
        </w:rPr>
      </w:pPr>
    </w:p>
    <w:p w14:paraId="1A037908">
      <w:pPr>
        <w:jc w:val="center"/>
        <w:rPr>
          <w:rFonts w:ascii="Times New Roman" w:hAnsi="Times New Roman" w:eastAsia="宋体"/>
          <w:b/>
          <w:sz w:val="48"/>
          <w:szCs w:val="48"/>
        </w:rPr>
      </w:pPr>
      <w:r>
        <w:rPr>
          <w:rFonts w:hint="eastAsia" w:ascii="Times New Roman" w:hAnsi="Times New Roman" w:eastAsia="宋体"/>
          <w:b/>
          <w:sz w:val="48"/>
          <w:szCs w:val="48"/>
        </w:rPr>
        <w:t xml:space="preserve"> 海南陆域锆铪矿调查评价-</w:t>
      </w:r>
      <w:bookmarkStart w:id="0" w:name="_Hlk165365380"/>
      <w:r>
        <w:rPr>
          <w:rFonts w:ascii="Times New Roman" w:hAnsi="Times New Roman" w:eastAsia="宋体"/>
          <w:b/>
          <w:sz w:val="48"/>
          <w:szCs w:val="48"/>
        </w:rPr>
        <w:t>钻探施工</w:t>
      </w:r>
      <w:bookmarkEnd w:id="0"/>
      <w:r>
        <w:rPr>
          <w:rFonts w:ascii="Times New Roman" w:hAnsi="Times New Roman" w:eastAsia="宋体"/>
          <w:b/>
          <w:sz w:val="48"/>
          <w:szCs w:val="48"/>
        </w:rPr>
        <w:t xml:space="preserve">                                                                                                                                                                                                                                                                                                                                                                                                                                                                                                                                                                                                                                                                                                                                                                                                                                                                                                                                                                                                                                                                              </w:t>
      </w:r>
    </w:p>
    <w:p w14:paraId="7107C129">
      <w:pPr>
        <w:jc w:val="center"/>
        <w:rPr>
          <w:rFonts w:ascii="Times New Roman" w:hAnsi="Times New Roman" w:eastAsia="宋体"/>
          <w:b/>
          <w:sz w:val="48"/>
          <w:szCs w:val="48"/>
        </w:rPr>
      </w:pPr>
    </w:p>
    <w:p w14:paraId="005B421C">
      <w:pPr>
        <w:pStyle w:val="2"/>
        <w:jc w:val="center"/>
      </w:pPr>
      <w:r>
        <w:t>（</w:t>
      </w:r>
      <w:r>
        <w:rPr>
          <w:rFonts w:hint="eastAsia"/>
        </w:rPr>
        <w:t>项目</w:t>
      </w:r>
      <w:r>
        <w:t>编号：</w:t>
      </w:r>
      <w:r>
        <w:rPr>
          <w:rFonts w:hint="eastAsia"/>
        </w:rPr>
        <w:t xml:space="preserve"> [HNHXY]20250400002[CS]</w:t>
      </w:r>
      <w:r>
        <w:t>）</w:t>
      </w:r>
    </w:p>
    <w:p w14:paraId="72C48776">
      <w:pPr>
        <w:pStyle w:val="2"/>
        <w:jc w:val="center"/>
      </w:pPr>
      <w:r>
        <w:rPr>
          <w:rFonts w:hint="eastAsia"/>
        </w:rPr>
        <w:t>(省地质局项目编号：      )</w:t>
      </w:r>
    </w:p>
    <w:p w14:paraId="3DE54B60">
      <w:pPr>
        <w:jc w:val="center"/>
        <w:rPr>
          <w:rFonts w:ascii="Times New Roman" w:hAnsi="Times New Roman" w:eastAsia="宋体"/>
          <w:b/>
          <w:sz w:val="36"/>
          <w:szCs w:val="36"/>
        </w:rPr>
      </w:pPr>
    </w:p>
    <w:p w14:paraId="27A98523">
      <w:pPr>
        <w:jc w:val="center"/>
        <w:rPr>
          <w:rFonts w:ascii="Times New Roman" w:hAnsi="Times New Roman" w:eastAsia="宋体"/>
          <w:b/>
          <w:sz w:val="80"/>
          <w:szCs w:val="80"/>
        </w:rPr>
      </w:pPr>
      <w:r>
        <w:rPr>
          <w:rFonts w:ascii="Times New Roman" w:hAnsi="Times New Roman" w:eastAsia="宋体"/>
          <w:b/>
          <w:sz w:val="80"/>
          <w:szCs w:val="80"/>
        </w:rPr>
        <w:t>合   同  书</w:t>
      </w:r>
    </w:p>
    <w:p w14:paraId="5EDEA501">
      <w:pPr>
        <w:jc w:val="center"/>
        <w:rPr>
          <w:rFonts w:ascii="Times New Roman" w:hAnsi="Times New Roman" w:eastAsia="宋体"/>
          <w:b/>
          <w:sz w:val="80"/>
          <w:szCs w:val="80"/>
        </w:rPr>
      </w:pPr>
    </w:p>
    <w:p w14:paraId="09F6A648">
      <w:pPr>
        <w:jc w:val="left"/>
        <w:rPr>
          <w:rFonts w:ascii="Times New Roman" w:hAnsi="Times New Roman" w:eastAsia="宋体"/>
          <w:szCs w:val="28"/>
        </w:rPr>
      </w:pPr>
    </w:p>
    <w:p w14:paraId="32553437">
      <w:pPr>
        <w:ind w:firstLine="800" w:firstLineChars="250"/>
        <w:jc w:val="left"/>
        <w:rPr>
          <w:rFonts w:ascii="Times New Roman" w:hAnsi="Times New Roman" w:eastAsia="宋体"/>
          <w:b/>
          <w:szCs w:val="28"/>
        </w:rPr>
      </w:pPr>
      <w:r>
        <w:rPr>
          <w:rFonts w:ascii="Times New Roman" w:hAnsi="Times New Roman" w:eastAsia="宋体"/>
          <w:szCs w:val="28"/>
        </w:rPr>
        <w:t xml:space="preserve"> </w:t>
      </w:r>
      <w:r>
        <w:rPr>
          <w:rFonts w:ascii="Times New Roman" w:hAnsi="Times New Roman" w:eastAsia="宋体"/>
          <w:b/>
          <w:szCs w:val="28"/>
        </w:rPr>
        <w:t>甲      方：</w:t>
      </w:r>
      <w:r>
        <w:rPr>
          <w:rFonts w:ascii="Times New Roman" w:hAnsi="Times New Roman" w:eastAsia="宋体"/>
          <w:b/>
          <w:szCs w:val="28"/>
          <w:u w:val="single"/>
        </w:rPr>
        <w:t xml:space="preserve">      </w:t>
      </w:r>
      <w:r>
        <w:rPr>
          <w:rFonts w:hint="eastAsia" w:ascii="Times New Roman" w:hAnsi="Times New Roman" w:eastAsia="宋体"/>
          <w:b/>
          <w:szCs w:val="28"/>
          <w:u w:val="single"/>
        </w:rPr>
        <w:t xml:space="preserve">              </w:t>
      </w:r>
      <w:r>
        <w:rPr>
          <w:rFonts w:ascii="Times New Roman" w:hAnsi="Times New Roman" w:eastAsia="宋体"/>
          <w:b/>
          <w:szCs w:val="28"/>
          <w:u w:val="single"/>
        </w:rPr>
        <w:t xml:space="preserve">        </w:t>
      </w:r>
    </w:p>
    <w:p w14:paraId="7FB6BE48">
      <w:pPr>
        <w:jc w:val="left"/>
        <w:rPr>
          <w:rFonts w:ascii="Times New Roman" w:hAnsi="Times New Roman" w:eastAsia="宋体"/>
          <w:b/>
          <w:szCs w:val="28"/>
          <w:u w:val="single"/>
        </w:rPr>
      </w:pPr>
      <w:r>
        <w:rPr>
          <w:rFonts w:ascii="Times New Roman" w:hAnsi="Times New Roman" w:eastAsia="宋体"/>
          <w:b/>
          <w:szCs w:val="28"/>
        </w:rPr>
        <w:t xml:space="preserve">      联  系  人：</w:t>
      </w:r>
      <w:r>
        <w:rPr>
          <w:rFonts w:ascii="Times New Roman" w:hAnsi="Times New Roman" w:eastAsia="宋体"/>
          <w:b/>
          <w:szCs w:val="28"/>
          <w:u w:val="single"/>
        </w:rPr>
        <w:t xml:space="preserve">          </w:t>
      </w:r>
      <w:r>
        <w:rPr>
          <w:rFonts w:hint="eastAsia" w:ascii="Times New Roman" w:hAnsi="Times New Roman" w:eastAsia="宋体"/>
          <w:b/>
          <w:szCs w:val="28"/>
          <w:u w:val="single"/>
        </w:rPr>
        <w:t xml:space="preserve">     </w:t>
      </w:r>
      <w:r>
        <w:rPr>
          <w:rFonts w:ascii="Times New Roman" w:hAnsi="Times New Roman" w:eastAsia="宋体"/>
          <w:b/>
          <w:szCs w:val="28"/>
          <w:u w:val="single"/>
        </w:rPr>
        <w:t xml:space="preserve">              </w:t>
      </w:r>
    </w:p>
    <w:p w14:paraId="43C76DE9">
      <w:pPr>
        <w:jc w:val="left"/>
        <w:rPr>
          <w:rFonts w:ascii="Times New Roman" w:hAnsi="Times New Roman" w:eastAsia="宋体"/>
          <w:b/>
          <w:szCs w:val="28"/>
          <w:u w:val="single"/>
        </w:rPr>
      </w:pPr>
      <w:r>
        <w:rPr>
          <w:rFonts w:ascii="Times New Roman" w:hAnsi="Times New Roman" w:eastAsia="宋体"/>
          <w:b/>
          <w:spacing w:val="38"/>
          <w:szCs w:val="28"/>
        </w:rPr>
        <w:t xml:space="preserve">    联系电话</w:t>
      </w:r>
      <w:r>
        <w:rPr>
          <w:rFonts w:ascii="Times New Roman" w:hAnsi="Times New Roman" w:eastAsia="宋体"/>
          <w:b/>
          <w:szCs w:val="28"/>
        </w:rPr>
        <w:t>：</w:t>
      </w:r>
      <w:r>
        <w:rPr>
          <w:rFonts w:ascii="Times New Roman" w:hAnsi="Times New Roman" w:eastAsia="宋体"/>
          <w:b/>
          <w:szCs w:val="28"/>
          <w:u w:val="single"/>
        </w:rPr>
        <w:t xml:space="preserve">        </w:t>
      </w:r>
      <w:r>
        <w:rPr>
          <w:rFonts w:hint="eastAsia" w:ascii="Times New Roman" w:hAnsi="Times New Roman" w:eastAsia="宋体"/>
          <w:b/>
          <w:szCs w:val="28"/>
          <w:u w:val="single"/>
        </w:rPr>
        <w:t xml:space="preserve">         </w:t>
      </w:r>
      <w:r>
        <w:rPr>
          <w:rFonts w:ascii="Times New Roman" w:hAnsi="Times New Roman" w:eastAsia="宋体"/>
          <w:b/>
          <w:szCs w:val="28"/>
          <w:u w:val="single"/>
        </w:rPr>
        <w:t xml:space="preserve">           </w:t>
      </w:r>
    </w:p>
    <w:p w14:paraId="327732CA">
      <w:pPr>
        <w:jc w:val="left"/>
        <w:rPr>
          <w:rFonts w:ascii="Times New Roman" w:hAnsi="Times New Roman" w:eastAsia="宋体"/>
          <w:b/>
          <w:szCs w:val="28"/>
        </w:rPr>
      </w:pPr>
    </w:p>
    <w:p w14:paraId="61542EC2">
      <w:pPr>
        <w:jc w:val="left"/>
        <w:rPr>
          <w:rFonts w:ascii="Times New Roman" w:hAnsi="Times New Roman" w:eastAsia="宋体"/>
          <w:b/>
          <w:szCs w:val="28"/>
          <w:u w:val="single"/>
        </w:rPr>
      </w:pPr>
      <w:r>
        <w:rPr>
          <w:rFonts w:ascii="Times New Roman" w:hAnsi="Times New Roman" w:eastAsia="宋体"/>
          <w:b/>
          <w:szCs w:val="28"/>
        </w:rPr>
        <w:t xml:space="preserve">      乙      方：</w:t>
      </w:r>
      <w:r>
        <w:rPr>
          <w:rFonts w:ascii="Times New Roman" w:hAnsi="Times New Roman" w:eastAsia="宋体"/>
          <w:b/>
          <w:szCs w:val="28"/>
          <w:u w:val="single"/>
        </w:rPr>
        <w:t xml:space="preserve">  </w:t>
      </w:r>
      <w:r>
        <w:rPr>
          <w:rFonts w:hint="eastAsia" w:ascii="Times New Roman" w:hAnsi="Times New Roman" w:eastAsia="宋体"/>
          <w:b/>
          <w:szCs w:val="28"/>
          <w:u w:val="single"/>
        </w:rPr>
        <w:t xml:space="preserve">                         </w:t>
      </w:r>
      <w:r>
        <w:rPr>
          <w:rFonts w:ascii="Times New Roman" w:hAnsi="Times New Roman" w:eastAsia="宋体"/>
          <w:b/>
          <w:szCs w:val="28"/>
          <w:u w:val="single"/>
        </w:rPr>
        <w:t xml:space="preserve">  </w:t>
      </w:r>
    </w:p>
    <w:p w14:paraId="042EE339">
      <w:pPr>
        <w:jc w:val="left"/>
        <w:rPr>
          <w:rFonts w:ascii="Times New Roman" w:hAnsi="Times New Roman" w:eastAsia="宋体"/>
          <w:b/>
          <w:szCs w:val="28"/>
          <w:u w:val="single"/>
        </w:rPr>
      </w:pPr>
      <w:r>
        <w:rPr>
          <w:rFonts w:ascii="Times New Roman" w:hAnsi="Times New Roman" w:eastAsia="宋体"/>
          <w:b/>
          <w:szCs w:val="28"/>
        </w:rPr>
        <w:t xml:space="preserve">      联  系  人：</w:t>
      </w:r>
      <w:r>
        <w:rPr>
          <w:rFonts w:ascii="Times New Roman" w:hAnsi="Times New Roman" w:eastAsia="宋体"/>
          <w:b/>
          <w:szCs w:val="28"/>
          <w:u w:val="single"/>
        </w:rPr>
        <w:t xml:space="preserve">             </w:t>
      </w:r>
      <w:r>
        <w:rPr>
          <w:rFonts w:hint="eastAsia" w:ascii="Times New Roman" w:hAnsi="Times New Roman" w:eastAsia="宋体"/>
          <w:b/>
          <w:szCs w:val="28"/>
          <w:u w:val="single"/>
        </w:rPr>
        <w:t xml:space="preserve">   </w:t>
      </w:r>
      <w:r>
        <w:rPr>
          <w:rFonts w:ascii="Times New Roman" w:hAnsi="Times New Roman" w:eastAsia="宋体"/>
          <w:b/>
          <w:szCs w:val="28"/>
          <w:u w:val="single"/>
        </w:rPr>
        <w:t xml:space="preserve">          </w:t>
      </w:r>
    </w:p>
    <w:p w14:paraId="7D0B5EA7">
      <w:pPr>
        <w:jc w:val="left"/>
        <w:rPr>
          <w:rFonts w:ascii="Times New Roman" w:hAnsi="Times New Roman" w:eastAsia="宋体"/>
          <w:b/>
          <w:szCs w:val="28"/>
          <w:u w:val="single"/>
        </w:rPr>
      </w:pPr>
      <w:r>
        <w:rPr>
          <w:rFonts w:ascii="Times New Roman" w:hAnsi="Times New Roman" w:eastAsia="宋体"/>
          <w:b/>
          <w:spacing w:val="38"/>
          <w:szCs w:val="28"/>
        </w:rPr>
        <w:t xml:space="preserve">    联系电话</w:t>
      </w:r>
      <w:r>
        <w:rPr>
          <w:rFonts w:ascii="Times New Roman" w:hAnsi="Times New Roman" w:eastAsia="宋体"/>
          <w:b/>
          <w:szCs w:val="28"/>
        </w:rPr>
        <w:t>：</w:t>
      </w:r>
      <w:r>
        <w:rPr>
          <w:rFonts w:ascii="Times New Roman" w:hAnsi="Times New Roman" w:eastAsia="宋体"/>
          <w:b/>
          <w:szCs w:val="28"/>
          <w:u w:val="single"/>
        </w:rPr>
        <w:t xml:space="preserve">         </w:t>
      </w:r>
      <w:r>
        <w:rPr>
          <w:rFonts w:hint="eastAsia" w:ascii="Times New Roman" w:hAnsi="Times New Roman" w:eastAsia="宋体"/>
          <w:b/>
          <w:szCs w:val="28"/>
          <w:u w:val="single"/>
        </w:rPr>
        <w:t xml:space="preserve">      </w:t>
      </w:r>
      <w:r>
        <w:rPr>
          <w:rFonts w:ascii="Times New Roman" w:hAnsi="Times New Roman" w:eastAsia="宋体"/>
          <w:b/>
          <w:szCs w:val="28"/>
          <w:u w:val="single"/>
        </w:rPr>
        <w:t xml:space="preserve">         </w:t>
      </w:r>
    </w:p>
    <w:p w14:paraId="2320109A">
      <w:pPr>
        <w:jc w:val="left"/>
        <w:rPr>
          <w:rFonts w:ascii="Times New Roman" w:hAnsi="Times New Roman" w:eastAsia="宋体"/>
          <w:b/>
          <w:szCs w:val="28"/>
        </w:rPr>
      </w:pPr>
    </w:p>
    <w:p w14:paraId="6059F0DE">
      <w:pPr>
        <w:jc w:val="left"/>
        <w:rPr>
          <w:rFonts w:ascii="Times New Roman" w:hAnsi="Times New Roman" w:eastAsia="宋体"/>
          <w:b/>
          <w:szCs w:val="28"/>
          <w:u w:val="single"/>
        </w:rPr>
      </w:pPr>
      <w:r>
        <w:rPr>
          <w:rFonts w:ascii="Times New Roman" w:hAnsi="Times New Roman" w:eastAsia="宋体"/>
          <w:b/>
          <w:spacing w:val="38"/>
          <w:szCs w:val="28"/>
        </w:rPr>
        <w:t xml:space="preserve">    签订地点</w:t>
      </w:r>
      <w:r>
        <w:rPr>
          <w:rFonts w:ascii="Times New Roman" w:hAnsi="Times New Roman" w:eastAsia="宋体"/>
          <w:b/>
          <w:szCs w:val="28"/>
        </w:rPr>
        <w:t>：</w:t>
      </w:r>
      <w:r>
        <w:rPr>
          <w:rFonts w:ascii="Times New Roman" w:hAnsi="Times New Roman" w:eastAsia="宋体"/>
          <w:b/>
          <w:szCs w:val="28"/>
          <w:u w:val="single"/>
        </w:rPr>
        <w:t xml:space="preserve">          海口市             </w:t>
      </w:r>
    </w:p>
    <w:p w14:paraId="2E9C8312">
      <w:pPr>
        <w:jc w:val="left"/>
        <w:rPr>
          <w:rFonts w:ascii="Times New Roman" w:hAnsi="Times New Roman" w:eastAsia="宋体"/>
          <w:szCs w:val="28"/>
        </w:rPr>
      </w:pPr>
      <w:r>
        <w:rPr>
          <w:rFonts w:ascii="Times New Roman" w:hAnsi="Times New Roman" w:eastAsia="宋体"/>
          <w:szCs w:val="28"/>
        </w:rPr>
        <w:t xml:space="preserve">  </w:t>
      </w:r>
    </w:p>
    <w:p w14:paraId="274ADD19">
      <w:pPr>
        <w:spacing w:line="600" w:lineRule="exact"/>
        <w:jc w:val="left"/>
        <w:rPr>
          <w:rFonts w:ascii="Times New Roman" w:hAnsi="Times New Roman" w:eastAsia="宋体"/>
          <w:b/>
          <w:sz w:val="30"/>
          <w:szCs w:val="30"/>
        </w:rPr>
      </w:pPr>
      <w:r>
        <w:rPr>
          <w:rFonts w:ascii="Times New Roman" w:hAnsi="Times New Roman" w:eastAsia="宋体"/>
          <w:b/>
          <w:sz w:val="30"/>
          <w:szCs w:val="30"/>
        </w:rPr>
        <w:br w:type="page"/>
      </w:r>
      <w:r>
        <w:rPr>
          <w:rFonts w:ascii="Times New Roman" w:hAnsi="Times New Roman" w:eastAsia="宋体"/>
          <w:b/>
          <w:sz w:val="30"/>
          <w:szCs w:val="30"/>
        </w:rPr>
        <w:t>甲方：海南省地质调查院</w:t>
      </w:r>
    </w:p>
    <w:p w14:paraId="7984C165">
      <w:pPr>
        <w:adjustRightInd w:val="0"/>
        <w:snapToGrid w:val="0"/>
        <w:spacing w:after="156" w:afterLines="50" w:line="600" w:lineRule="exact"/>
        <w:rPr>
          <w:rFonts w:ascii="Times New Roman" w:hAnsi="Times New Roman" w:eastAsia="宋体"/>
          <w:b/>
          <w:sz w:val="30"/>
          <w:szCs w:val="30"/>
        </w:rPr>
      </w:pPr>
      <w:r>
        <w:rPr>
          <w:rFonts w:ascii="Times New Roman" w:hAnsi="Times New Roman" w:eastAsia="宋体"/>
          <w:b/>
          <w:sz w:val="30"/>
          <w:szCs w:val="30"/>
        </w:rPr>
        <w:t>乙方：</w:t>
      </w:r>
    </w:p>
    <w:p w14:paraId="0373D85A">
      <w:pPr>
        <w:jc w:val="left"/>
        <w:rPr>
          <w:rFonts w:ascii="Times New Roman" w:hAnsi="Times New Roman" w:eastAsia="宋体"/>
          <w:sz w:val="28"/>
          <w:szCs w:val="28"/>
        </w:rPr>
      </w:pPr>
      <w:r>
        <w:rPr>
          <w:rFonts w:hint="eastAsia" w:ascii="Times New Roman" w:hAnsi="Times New Roman" w:eastAsia="宋体"/>
          <w:sz w:val="28"/>
          <w:szCs w:val="28"/>
        </w:rPr>
        <w:t xml:space="preserve"> </w:t>
      </w:r>
      <w:r>
        <w:rPr>
          <w:rFonts w:ascii="Times New Roman" w:hAnsi="Times New Roman" w:eastAsia="宋体"/>
          <w:sz w:val="28"/>
          <w:szCs w:val="28"/>
        </w:rPr>
        <w:t xml:space="preserve">   </w:t>
      </w:r>
      <w:r>
        <w:rPr>
          <w:rFonts w:hint="eastAsia" w:ascii="Times New Roman" w:hAnsi="Times New Roman" w:eastAsia="宋体"/>
          <w:sz w:val="28"/>
          <w:szCs w:val="28"/>
        </w:rPr>
        <w:t>依据《中华人民共和国政府采购法》《中华人民共和国民法典》等法律、法规的规定，海南省地质调查院(委托方，以下简称甲方)通过</w:t>
      </w:r>
      <w:r>
        <w:rPr>
          <w:rFonts w:hint="eastAsia" w:ascii="Times New Roman" w:hAnsi="Times New Roman" w:eastAsia="宋体"/>
          <w:sz w:val="28"/>
          <w:szCs w:val="28"/>
          <w:u w:val="single"/>
        </w:rPr>
        <w:t>竞争性磋商</w:t>
      </w:r>
      <w:r>
        <w:rPr>
          <w:rFonts w:hint="eastAsia" w:ascii="Times New Roman" w:hAnsi="Times New Roman" w:eastAsia="宋体"/>
          <w:sz w:val="28"/>
          <w:szCs w:val="28"/>
        </w:rPr>
        <w:t>方式，确定</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(受托方，以下简称乙方)承担</w:t>
      </w:r>
      <w:r>
        <w:rPr>
          <w:rFonts w:hint="eastAsia" w:ascii="Times New Roman" w:hAnsi="Times New Roman" w:eastAsia="宋体"/>
          <w:sz w:val="28"/>
          <w:szCs w:val="28"/>
          <w:u w:val="single"/>
        </w:rPr>
        <w:t>“ 海南陆域锆铪矿调查评价</w:t>
      </w:r>
      <w:r>
        <w:rPr>
          <w:rFonts w:hint="eastAsia" w:ascii="宋体" w:hAnsi="宋体" w:eastAsia="宋体"/>
          <w:sz w:val="28"/>
          <w:szCs w:val="28"/>
          <w:u w:val="single"/>
        </w:rPr>
        <w:t>（省地质局项目编号：    ）</w:t>
      </w:r>
      <w:r>
        <w:rPr>
          <w:rFonts w:hint="eastAsia" w:ascii="Times New Roman" w:hAnsi="Times New Roman" w:eastAsia="宋体"/>
          <w:sz w:val="28"/>
          <w:szCs w:val="28"/>
          <w:u w:val="single"/>
        </w:rPr>
        <w:t>钻探施工”</w:t>
      </w:r>
      <w:r>
        <w:rPr>
          <w:rFonts w:hint="eastAsia" w:ascii="Times New Roman" w:hAnsi="Times New Roman" w:eastAsia="宋体"/>
          <w:sz w:val="28"/>
          <w:szCs w:val="28"/>
        </w:rPr>
        <w:t>工作(附件：中标通知书)。按照招标文件规定条款和成交乙方响应文件及其承诺，甲乙双方自愿就上述合作内容达成一致，签订本合同，并由双方共同遵照执行。</w:t>
      </w:r>
    </w:p>
    <w:p w14:paraId="4293BAD9">
      <w:pPr>
        <w:spacing w:line="600" w:lineRule="exact"/>
        <w:ind w:firstLine="590" w:firstLineChars="196"/>
        <w:rPr>
          <w:rFonts w:ascii="Times New Roman" w:hAnsi="Times New Roman" w:eastAsia="宋体"/>
          <w:sz w:val="28"/>
          <w:szCs w:val="28"/>
        </w:rPr>
      </w:pPr>
      <w:r>
        <w:rPr>
          <w:rFonts w:ascii="Times New Roman" w:hAnsi="Times New Roman" w:eastAsia="宋体"/>
          <w:b/>
          <w:sz w:val="30"/>
          <w:szCs w:val="30"/>
        </w:rPr>
        <w:t xml:space="preserve">第一条  </w:t>
      </w:r>
      <w:r>
        <w:rPr>
          <w:rFonts w:ascii="Times New Roman" w:hAnsi="Times New Roman" w:eastAsia="宋体"/>
          <w:b/>
          <w:bCs/>
          <w:sz w:val="30"/>
          <w:szCs w:val="30"/>
        </w:rPr>
        <w:t>项目名称：</w:t>
      </w:r>
      <w:r>
        <w:rPr>
          <w:rFonts w:hint="eastAsia" w:ascii="Times New Roman" w:hAnsi="Times New Roman" w:eastAsia="宋体"/>
          <w:b/>
          <w:sz w:val="28"/>
          <w:szCs w:val="28"/>
          <w:u w:val="single"/>
        </w:rPr>
        <w:t xml:space="preserve"> 海南陆域锆铪矿调查评价</w:t>
      </w:r>
      <w:r>
        <w:rPr>
          <w:rFonts w:ascii="Times New Roman" w:hAnsi="Times New Roman" w:eastAsia="宋体"/>
          <w:b/>
          <w:sz w:val="28"/>
          <w:szCs w:val="28"/>
          <w:u w:val="single"/>
        </w:rPr>
        <w:t>钻探施工（项目编号：</w:t>
      </w:r>
      <w:r>
        <w:rPr>
          <w:rFonts w:hint="eastAsia" w:ascii="Times New Roman" w:hAnsi="Times New Roman" w:eastAsia="宋体"/>
          <w:b/>
          <w:sz w:val="28"/>
          <w:szCs w:val="28"/>
          <w:u w:val="single"/>
        </w:rPr>
        <w:t>[HNHXY]20250400002[CS]</w:t>
      </w:r>
      <w:r>
        <w:rPr>
          <w:rFonts w:ascii="Times New Roman" w:hAnsi="Times New Roman" w:eastAsia="宋体"/>
          <w:b/>
          <w:sz w:val="28"/>
          <w:szCs w:val="28"/>
          <w:u w:val="single"/>
        </w:rPr>
        <w:t>）</w:t>
      </w:r>
      <w:r>
        <w:rPr>
          <w:rFonts w:ascii="Times New Roman" w:hAnsi="Times New Roman" w:eastAsia="宋体"/>
          <w:sz w:val="28"/>
          <w:szCs w:val="28"/>
        </w:rPr>
        <w:t>。</w:t>
      </w:r>
    </w:p>
    <w:p w14:paraId="1F306C38">
      <w:pPr>
        <w:spacing w:line="600" w:lineRule="exact"/>
        <w:ind w:firstLine="596" w:firstLineChars="198"/>
        <w:rPr>
          <w:rFonts w:ascii="Times New Roman" w:hAnsi="Times New Roman" w:eastAsia="宋体"/>
          <w:b/>
          <w:bCs/>
          <w:sz w:val="28"/>
          <w:szCs w:val="28"/>
        </w:rPr>
      </w:pPr>
      <w:r>
        <w:rPr>
          <w:rFonts w:ascii="Times New Roman" w:hAnsi="Times New Roman" w:eastAsia="宋体"/>
          <w:b/>
          <w:sz w:val="30"/>
          <w:szCs w:val="30"/>
        </w:rPr>
        <w:t xml:space="preserve">第二条  </w:t>
      </w:r>
      <w:r>
        <w:rPr>
          <w:rFonts w:ascii="Times New Roman" w:hAnsi="Times New Roman" w:eastAsia="宋体"/>
          <w:b/>
          <w:bCs/>
          <w:sz w:val="30"/>
          <w:szCs w:val="30"/>
        </w:rPr>
        <w:t>任务来源：</w:t>
      </w:r>
      <w:r>
        <w:rPr>
          <w:rFonts w:ascii="Times New Roman" w:hAnsi="Times New Roman" w:eastAsia="宋体"/>
          <w:b/>
          <w:bCs/>
          <w:sz w:val="30"/>
          <w:szCs w:val="30"/>
          <w:u w:val="single"/>
        </w:rPr>
        <w:t xml:space="preserve"> </w:t>
      </w:r>
      <w:r>
        <w:rPr>
          <w:rFonts w:ascii="Times New Roman" w:hAnsi="Times New Roman" w:eastAsia="宋体"/>
          <w:b/>
          <w:sz w:val="28"/>
          <w:szCs w:val="28"/>
          <w:u w:val="single"/>
        </w:rPr>
        <w:t xml:space="preserve">政府采购 </w:t>
      </w:r>
      <w:r>
        <w:rPr>
          <w:rFonts w:ascii="Times New Roman" w:hAnsi="Times New Roman" w:eastAsia="宋体"/>
          <w:b/>
          <w:sz w:val="28"/>
          <w:szCs w:val="28"/>
        </w:rPr>
        <w:t>。</w:t>
      </w:r>
    </w:p>
    <w:p w14:paraId="5DCEB90E">
      <w:pPr>
        <w:spacing w:line="600" w:lineRule="exact"/>
        <w:ind w:firstLine="602" w:firstLineChars="200"/>
        <w:rPr>
          <w:rFonts w:ascii="Times New Roman" w:hAnsi="Times New Roman" w:eastAsia="宋体"/>
          <w:b/>
          <w:bCs/>
          <w:sz w:val="30"/>
          <w:szCs w:val="30"/>
        </w:rPr>
      </w:pPr>
      <w:r>
        <w:rPr>
          <w:rFonts w:ascii="Times New Roman" w:hAnsi="Times New Roman" w:eastAsia="宋体"/>
          <w:b/>
          <w:bCs/>
          <w:sz w:val="30"/>
          <w:szCs w:val="30"/>
        </w:rPr>
        <w:t>第三条  工作任务及技术要求</w:t>
      </w:r>
    </w:p>
    <w:tbl>
      <w:tblPr>
        <w:tblStyle w:val="6"/>
        <w:tblW w:w="492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650"/>
        <w:gridCol w:w="1785"/>
        <w:gridCol w:w="3957"/>
      </w:tblGrid>
      <w:tr w14:paraId="6DB34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9" w:hRule="atLeast"/>
        </w:trPr>
        <w:tc>
          <w:tcPr>
            <w:tcW w:w="1579" w:type="pct"/>
            <w:tcBorders>
              <w:top w:val="single" w:color="auto" w:sz="4" w:space="0"/>
              <w:left w:val="single" w:color="auto" w:sz="4" w:space="0"/>
              <w:bottom w:val="single" w:color="auto" w:sz="4" w:space="0"/>
              <w:right w:val="single" w:color="auto" w:sz="4" w:space="0"/>
            </w:tcBorders>
            <w:vAlign w:val="center"/>
          </w:tcPr>
          <w:p w14:paraId="7FB1238A">
            <w:pPr>
              <w:spacing w:line="276" w:lineRule="auto"/>
              <w:contextualSpacing/>
              <w:jc w:val="center"/>
              <w:rPr>
                <w:rFonts w:ascii="Times New Roman" w:hAnsi="Times New Roman"/>
                <w:sz w:val="22"/>
              </w:rPr>
            </w:pPr>
            <w:r>
              <w:rPr>
                <w:rFonts w:ascii="Times New Roman" w:hAnsi="Times New Roman"/>
                <w:sz w:val="22"/>
              </w:rPr>
              <w:t>工作量</w:t>
            </w:r>
          </w:p>
        </w:tc>
        <w:tc>
          <w:tcPr>
            <w:tcW w:w="1063" w:type="pct"/>
            <w:tcBorders>
              <w:top w:val="single" w:color="auto" w:sz="4" w:space="0"/>
              <w:left w:val="single" w:color="auto" w:sz="4" w:space="0"/>
              <w:bottom w:val="single" w:color="auto" w:sz="4" w:space="0"/>
              <w:right w:val="single" w:color="auto" w:sz="4" w:space="0"/>
            </w:tcBorders>
            <w:vAlign w:val="center"/>
          </w:tcPr>
          <w:p w14:paraId="3FE488EF">
            <w:pPr>
              <w:spacing w:line="276" w:lineRule="auto"/>
              <w:jc w:val="center"/>
              <w:rPr>
                <w:rFonts w:ascii="Times New Roman" w:hAnsi="Times New Roman"/>
                <w:sz w:val="22"/>
              </w:rPr>
            </w:pPr>
            <w:r>
              <w:rPr>
                <w:rFonts w:ascii="Times New Roman" w:hAnsi="Times New Roman"/>
                <w:sz w:val="22"/>
              </w:rPr>
              <w:t>取样钻</w:t>
            </w:r>
          </w:p>
        </w:tc>
        <w:tc>
          <w:tcPr>
            <w:tcW w:w="2357" w:type="pct"/>
            <w:tcBorders>
              <w:top w:val="single" w:color="auto" w:sz="4" w:space="0"/>
              <w:left w:val="single" w:color="auto" w:sz="4" w:space="0"/>
              <w:bottom w:val="single" w:color="auto" w:sz="4" w:space="0"/>
              <w:right w:val="single" w:color="auto" w:sz="4" w:space="0"/>
            </w:tcBorders>
            <w:vAlign w:val="center"/>
          </w:tcPr>
          <w:p w14:paraId="4EE875B1">
            <w:pPr>
              <w:spacing w:line="276" w:lineRule="auto"/>
              <w:jc w:val="center"/>
              <w:rPr>
                <w:rFonts w:ascii="Times New Roman" w:hAnsi="Times New Roman"/>
                <w:sz w:val="22"/>
              </w:rPr>
            </w:pPr>
            <w:r>
              <w:rPr>
                <w:rFonts w:ascii="Times New Roman" w:hAnsi="Times New Roman"/>
                <w:sz w:val="22"/>
              </w:rPr>
              <w:t>成井管材</w:t>
            </w:r>
          </w:p>
        </w:tc>
      </w:tr>
      <w:tr w14:paraId="5729D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579" w:type="pct"/>
            <w:tcBorders>
              <w:top w:val="single" w:color="auto" w:sz="4" w:space="0"/>
              <w:left w:val="single" w:color="auto" w:sz="4" w:space="0"/>
              <w:bottom w:val="single" w:color="auto" w:sz="4" w:space="0"/>
              <w:right w:val="single" w:color="auto" w:sz="4" w:space="0"/>
            </w:tcBorders>
            <w:vAlign w:val="center"/>
          </w:tcPr>
          <w:p w14:paraId="04728F3B">
            <w:pPr>
              <w:spacing w:line="276" w:lineRule="auto"/>
              <w:contextualSpacing/>
              <w:jc w:val="center"/>
              <w:rPr>
                <w:rFonts w:ascii="Times New Roman" w:hAnsi="Times New Roman"/>
                <w:sz w:val="22"/>
              </w:rPr>
            </w:pPr>
            <w:r>
              <w:rPr>
                <w:rFonts w:ascii="Times New Roman" w:hAnsi="Times New Roman"/>
                <w:sz w:val="22"/>
              </w:rPr>
              <w:t>孔数</w:t>
            </w:r>
          </w:p>
        </w:tc>
        <w:tc>
          <w:tcPr>
            <w:tcW w:w="1063" w:type="pct"/>
            <w:tcBorders>
              <w:top w:val="single" w:color="auto" w:sz="4" w:space="0"/>
              <w:left w:val="single" w:color="auto" w:sz="4" w:space="0"/>
              <w:bottom w:val="single" w:color="auto" w:sz="4" w:space="0"/>
              <w:right w:val="single" w:color="auto" w:sz="4" w:space="0"/>
            </w:tcBorders>
            <w:vAlign w:val="center"/>
          </w:tcPr>
          <w:p w14:paraId="67AF11C9">
            <w:pPr>
              <w:spacing w:line="276" w:lineRule="auto"/>
              <w:jc w:val="center"/>
              <w:rPr>
                <w:rFonts w:ascii="Times New Roman" w:hAnsi="Times New Roman"/>
                <w:sz w:val="22"/>
              </w:rPr>
            </w:pPr>
          </w:p>
        </w:tc>
        <w:tc>
          <w:tcPr>
            <w:tcW w:w="2357" w:type="pct"/>
            <w:vMerge w:val="restart"/>
            <w:tcBorders>
              <w:top w:val="single" w:color="auto" w:sz="4" w:space="0"/>
              <w:left w:val="single" w:color="auto" w:sz="4" w:space="0"/>
              <w:right w:val="single" w:color="auto" w:sz="4" w:space="0"/>
            </w:tcBorders>
            <w:vAlign w:val="center"/>
          </w:tcPr>
          <w:p w14:paraId="67BF1B54">
            <w:pPr>
              <w:spacing w:line="276" w:lineRule="auto"/>
              <w:jc w:val="center"/>
              <w:rPr>
                <w:rFonts w:ascii="Times New Roman" w:hAnsi="Times New Roman"/>
                <w:sz w:val="22"/>
              </w:rPr>
            </w:pPr>
          </w:p>
        </w:tc>
      </w:tr>
      <w:tr w14:paraId="65EFA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579" w:type="pct"/>
            <w:tcBorders>
              <w:top w:val="single" w:color="auto" w:sz="4" w:space="0"/>
              <w:left w:val="single" w:color="auto" w:sz="4" w:space="0"/>
              <w:bottom w:val="single" w:color="auto" w:sz="4" w:space="0"/>
              <w:right w:val="single" w:color="auto" w:sz="4" w:space="0"/>
            </w:tcBorders>
            <w:vAlign w:val="center"/>
          </w:tcPr>
          <w:p w14:paraId="282C8649">
            <w:pPr>
              <w:spacing w:line="276" w:lineRule="auto"/>
              <w:contextualSpacing/>
              <w:jc w:val="center"/>
              <w:rPr>
                <w:rFonts w:ascii="Times New Roman" w:hAnsi="Times New Roman"/>
                <w:sz w:val="22"/>
              </w:rPr>
            </w:pPr>
            <w:r>
              <w:rPr>
                <w:rFonts w:ascii="Times New Roman" w:hAnsi="Times New Roman"/>
                <w:sz w:val="22"/>
              </w:rPr>
              <w:t>孔深</w:t>
            </w:r>
          </w:p>
        </w:tc>
        <w:tc>
          <w:tcPr>
            <w:tcW w:w="1063" w:type="pct"/>
            <w:tcBorders>
              <w:top w:val="single" w:color="auto" w:sz="4" w:space="0"/>
              <w:left w:val="single" w:color="auto" w:sz="4" w:space="0"/>
              <w:bottom w:val="single" w:color="auto" w:sz="4" w:space="0"/>
              <w:right w:val="single" w:color="auto" w:sz="4" w:space="0"/>
            </w:tcBorders>
            <w:vAlign w:val="center"/>
          </w:tcPr>
          <w:p w14:paraId="2D31437A">
            <w:pPr>
              <w:spacing w:line="276" w:lineRule="auto"/>
              <w:jc w:val="center"/>
              <w:rPr>
                <w:rFonts w:ascii="Times New Roman" w:hAnsi="Times New Roman"/>
                <w:sz w:val="22"/>
              </w:rPr>
            </w:pPr>
          </w:p>
        </w:tc>
        <w:tc>
          <w:tcPr>
            <w:tcW w:w="2357" w:type="pct"/>
            <w:vMerge w:val="continue"/>
            <w:tcBorders>
              <w:left w:val="single" w:color="auto" w:sz="4" w:space="0"/>
              <w:right w:val="single" w:color="auto" w:sz="4" w:space="0"/>
            </w:tcBorders>
            <w:vAlign w:val="center"/>
          </w:tcPr>
          <w:p w14:paraId="527F5998">
            <w:pPr>
              <w:spacing w:line="276" w:lineRule="auto"/>
              <w:jc w:val="center"/>
              <w:rPr>
                <w:rFonts w:ascii="Times New Roman" w:hAnsi="Times New Roman"/>
                <w:sz w:val="22"/>
              </w:rPr>
            </w:pPr>
          </w:p>
        </w:tc>
      </w:tr>
      <w:tr w14:paraId="4E81A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579" w:type="pct"/>
            <w:tcBorders>
              <w:top w:val="single" w:color="auto" w:sz="4" w:space="0"/>
              <w:left w:val="single" w:color="auto" w:sz="4" w:space="0"/>
              <w:bottom w:val="single" w:color="auto" w:sz="4" w:space="0"/>
              <w:right w:val="single" w:color="auto" w:sz="4" w:space="0"/>
            </w:tcBorders>
            <w:vAlign w:val="center"/>
          </w:tcPr>
          <w:p w14:paraId="1F9DB4E5">
            <w:pPr>
              <w:spacing w:line="276" w:lineRule="auto"/>
              <w:contextualSpacing/>
              <w:jc w:val="center"/>
              <w:rPr>
                <w:rFonts w:ascii="Times New Roman" w:hAnsi="Times New Roman"/>
                <w:sz w:val="22"/>
              </w:rPr>
            </w:pPr>
            <w:r>
              <w:rPr>
                <w:rFonts w:ascii="Times New Roman" w:hAnsi="Times New Roman"/>
                <w:sz w:val="22"/>
              </w:rPr>
              <w:t>总进尺</w:t>
            </w:r>
          </w:p>
        </w:tc>
        <w:tc>
          <w:tcPr>
            <w:tcW w:w="1063" w:type="pct"/>
            <w:tcBorders>
              <w:top w:val="single" w:color="auto" w:sz="4" w:space="0"/>
              <w:left w:val="single" w:color="auto" w:sz="4" w:space="0"/>
              <w:bottom w:val="single" w:color="auto" w:sz="4" w:space="0"/>
              <w:right w:val="single" w:color="auto" w:sz="4" w:space="0"/>
            </w:tcBorders>
            <w:vAlign w:val="center"/>
          </w:tcPr>
          <w:p w14:paraId="76A30039">
            <w:pPr>
              <w:spacing w:line="276" w:lineRule="auto"/>
              <w:jc w:val="center"/>
              <w:rPr>
                <w:rFonts w:ascii="Times New Roman" w:hAnsi="Times New Roman"/>
                <w:sz w:val="22"/>
              </w:rPr>
            </w:pPr>
          </w:p>
        </w:tc>
        <w:tc>
          <w:tcPr>
            <w:tcW w:w="2357" w:type="pct"/>
            <w:vMerge w:val="continue"/>
            <w:tcBorders>
              <w:left w:val="single" w:color="auto" w:sz="4" w:space="0"/>
              <w:right w:val="single" w:color="auto" w:sz="4" w:space="0"/>
            </w:tcBorders>
            <w:vAlign w:val="center"/>
          </w:tcPr>
          <w:p w14:paraId="36A34BC4">
            <w:pPr>
              <w:spacing w:line="276" w:lineRule="auto"/>
              <w:jc w:val="center"/>
              <w:rPr>
                <w:rFonts w:ascii="Times New Roman" w:hAnsi="Times New Roman"/>
                <w:sz w:val="22"/>
              </w:rPr>
            </w:pPr>
          </w:p>
        </w:tc>
      </w:tr>
    </w:tbl>
    <w:p w14:paraId="5CE2D388">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乙方负责根据</w:t>
      </w:r>
      <w:r>
        <w:rPr>
          <w:rFonts w:hint="eastAsia" w:ascii="Times New Roman" w:hAnsi="Times New Roman" w:eastAsia="宋体"/>
          <w:sz w:val="28"/>
          <w:szCs w:val="28"/>
        </w:rPr>
        <w:t>严格按照《地质岩芯钻探规程》（DZ/T 0227-2010）、《固体矿产勘查钻孔质量要求》（DZT0486-2024）等执行</w:t>
      </w:r>
      <w:r>
        <w:rPr>
          <w:rFonts w:ascii="Times New Roman" w:hAnsi="Times New Roman" w:eastAsia="宋体"/>
          <w:sz w:val="28"/>
          <w:szCs w:val="28"/>
        </w:rPr>
        <w:t>等规范要求完成甲方项目所需</w:t>
      </w:r>
      <w:r>
        <w:rPr>
          <w:rFonts w:hint="eastAsia" w:ascii="Times New Roman" w:hAnsi="Times New Roman" w:eastAsia="宋体"/>
          <w:sz w:val="28"/>
          <w:szCs w:val="28"/>
        </w:rPr>
        <w:t>岩芯</w:t>
      </w:r>
      <w:r>
        <w:rPr>
          <w:rFonts w:ascii="Times New Roman" w:hAnsi="Times New Roman" w:eastAsia="宋体"/>
          <w:sz w:val="28"/>
          <w:szCs w:val="28"/>
        </w:rPr>
        <w:t>样品和做好</w:t>
      </w:r>
      <w:r>
        <w:rPr>
          <w:rFonts w:hint="eastAsia" w:ascii="Times New Roman" w:hAnsi="Times New Roman" w:eastAsia="宋体"/>
          <w:sz w:val="28"/>
          <w:szCs w:val="28"/>
        </w:rPr>
        <w:t>岩芯</w:t>
      </w:r>
      <w:r>
        <w:rPr>
          <w:rFonts w:ascii="Times New Roman" w:hAnsi="Times New Roman" w:eastAsia="宋体"/>
          <w:sz w:val="28"/>
          <w:szCs w:val="28"/>
        </w:rPr>
        <w:t>现场临时保存工作。</w:t>
      </w:r>
    </w:p>
    <w:p w14:paraId="5F2CC758">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（一）钻探技术要求</w:t>
      </w:r>
    </w:p>
    <w:p w14:paraId="4791F524">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a、孔位：由</w:t>
      </w:r>
      <w:r>
        <w:rPr>
          <w:rFonts w:hint="eastAsia" w:ascii="Times New Roman" w:hAnsi="Times New Roman" w:eastAsia="宋体"/>
          <w:sz w:val="28"/>
          <w:szCs w:val="28"/>
          <w:highlight w:val="yellow"/>
        </w:rPr>
        <w:t>甲方</w:t>
      </w:r>
      <w:r>
        <w:rPr>
          <w:rFonts w:hint="eastAsia" w:ascii="Times New Roman" w:hAnsi="Times New Roman" w:eastAsia="宋体"/>
          <w:sz w:val="28"/>
          <w:szCs w:val="28"/>
        </w:rPr>
        <w:t>技术人员现场确认。</w:t>
      </w:r>
    </w:p>
    <w:p w14:paraId="5414FE37">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b、孔径：必须达到地质目的且保障采集的样品能满足测试要求，且钻孔终孔直径不小于76mm。钻探方式为冲击跟管钻进。全程跟进套管,套管根据实际情况选择合适的管径。</w:t>
      </w:r>
    </w:p>
    <w:p w14:paraId="6C18B8B9">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c、设计工作量总进尺1200m。钻孔深度：以揭穿砂（矿）层为主，原则上穿过砂（矿）层后1～2米终孔。</w:t>
      </w:r>
    </w:p>
    <w:p w14:paraId="3F966A21">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d、岩芯采取率：岩矿芯采取率要求在80%～130%之间。</w:t>
      </w:r>
    </w:p>
    <w:p w14:paraId="6ACA3CCA">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e、回次进尺：每回次进尺不超过</w:t>
      </w:r>
      <w:r>
        <w:rPr>
          <w:rFonts w:hint="eastAsia" w:ascii="Times New Roman" w:hAnsi="Times New Roman" w:eastAsia="宋体"/>
          <w:sz w:val="28"/>
          <w:szCs w:val="28"/>
          <w:highlight w:val="yellow"/>
        </w:rPr>
        <w:t>1m</w:t>
      </w:r>
      <w:r>
        <w:rPr>
          <w:rFonts w:hint="eastAsia" w:ascii="Times New Roman" w:hAnsi="Times New Roman" w:eastAsia="宋体"/>
          <w:sz w:val="28"/>
          <w:szCs w:val="28"/>
        </w:rPr>
        <w:t>，严禁超管钻进。</w:t>
      </w:r>
    </w:p>
    <w:p w14:paraId="55628494">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f、岩芯摆放：首先岩芯箱中先铺上薄膜，其次取出的岩矿芯，须自上而下按次序装箱，不得颠倒或任意拉长，岩芯应按规定编号，每回次应填放岩芯牌（包括没有岩芯的回次），岩芯箱应进行编号，岩芯箱规格要符合要求。其他具体要求按《固体矿产勘查钻孔质量要求》（DZT0486-2024）执行。</w:t>
      </w:r>
    </w:p>
    <w:p w14:paraId="787E6318">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g、终孔：终孔后按相关要求，采用绿色环保材料进行封孔，并标注孔号、孔深、日期等相关信息；清理、修复钻机机台。其他具体要求按《固体矿产勘查钻孔质量要求》（DZT0486-2024）执行。</w:t>
      </w:r>
    </w:p>
    <w:p w14:paraId="70EB1A18">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h、岩芯保管：钻取的岩芯在编录、照相、采样后进行集中保管，并配备岩芯架、彩条布等设备，避免岩芯箱倒塌、雨水冲失等。钻探工作全部结束后，岩芯运输至</w:t>
      </w:r>
      <w:r>
        <w:rPr>
          <w:rFonts w:hint="eastAsia" w:ascii="Times New Roman" w:hAnsi="Times New Roman" w:eastAsia="宋体"/>
          <w:sz w:val="28"/>
          <w:szCs w:val="28"/>
          <w:highlight w:val="yellow"/>
        </w:rPr>
        <w:t>甲方</w:t>
      </w:r>
      <w:r>
        <w:rPr>
          <w:rFonts w:hint="eastAsia" w:ascii="Times New Roman" w:hAnsi="Times New Roman" w:eastAsia="宋体"/>
          <w:sz w:val="28"/>
          <w:szCs w:val="28"/>
        </w:rPr>
        <w:t>指定地点，并移交入库。</w:t>
      </w:r>
    </w:p>
    <w:p w14:paraId="01AEA9C1">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w:t>
      </w:r>
      <w:r>
        <w:rPr>
          <w:rFonts w:hint="eastAsia" w:ascii="Times New Roman" w:hAnsi="Times New Roman" w:eastAsia="宋体"/>
          <w:sz w:val="28"/>
          <w:szCs w:val="28"/>
        </w:rPr>
        <w:t>二</w:t>
      </w:r>
      <w:r>
        <w:rPr>
          <w:rFonts w:ascii="Times New Roman" w:hAnsi="Times New Roman" w:eastAsia="宋体"/>
          <w:sz w:val="28"/>
          <w:szCs w:val="28"/>
        </w:rPr>
        <w:t>）其他要求</w:t>
      </w:r>
    </w:p>
    <w:p w14:paraId="76ADACB2">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A</w:t>
      </w:r>
      <w:r>
        <w:rPr>
          <w:rFonts w:hint="eastAsia" w:ascii="Times New Roman" w:hAnsi="Times New Roman" w:eastAsia="宋体"/>
          <w:sz w:val="28"/>
          <w:szCs w:val="28"/>
        </w:rPr>
        <w:t>、钻孔施工孔位和孔深由</w:t>
      </w:r>
      <w:r>
        <w:rPr>
          <w:rFonts w:hint="eastAsia" w:ascii="Times New Roman" w:hAnsi="Times New Roman" w:eastAsia="宋体"/>
          <w:sz w:val="28"/>
          <w:szCs w:val="28"/>
          <w:highlight w:val="yellow"/>
        </w:rPr>
        <w:t>甲方</w:t>
      </w:r>
      <w:r>
        <w:rPr>
          <w:rFonts w:hint="eastAsia" w:ascii="Times New Roman" w:hAnsi="Times New Roman" w:eastAsia="宋体"/>
          <w:sz w:val="28"/>
          <w:szCs w:val="28"/>
        </w:rPr>
        <w:t>技术人员根据实施方案的总体部署要求进行现场确定。施工场地涉及的青苗赔偿、临时占用土地以及其他协调费用由钻探施工方承担。</w:t>
      </w:r>
    </w:p>
    <w:p w14:paraId="78CD34D1">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b、钻探施工严格按照《绿色地质勘查工作规范》（DZ/T 0374-2021）执行，实现绿色、和谐勘查目的。</w:t>
      </w:r>
    </w:p>
    <w:p w14:paraId="08AE058F">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c.</w:t>
      </w:r>
      <w:r>
        <w:rPr>
          <w:rFonts w:hint="eastAsia" w:ascii="Times New Roman" w:hAnsi="Times New Roman" w:eastAsia="宋体"/>
          <w:sz w:val="28"/>
          <w:szCs w:val="28"/>
          <w:highlight w:val="yellow"/>
        </w:rPr>
        <w:t>乙方</w:t>
      </w:r>
      <w:r>
        <w:rPr>
          <w:rFonts w:hint="eastAsia" w:ascii="Times New Roman" w:hAnsi="Times New Roman" w:eastAsia="宋体"/>
          <w:sz w:val="28"/>
          <w:szCs w:val="28"/>
        </w:rPr>
        <w:t>须能同时提供不少于2台性能完好的钻机，同时每台钻机配备至少2名钻探专业技术人员。当</w:t>
      </w:r>
      <w:r>
        <w:rPr>
          <w:rFonts w:hint="eastAsia" w:ascii="Times New Roman" w:hAnsi="Times New Roman" w:eastAsia="宋体"/>
          <w:sz w:val="28"/>
          <w:szCs w:val="28"/>
          <w:highlight w:val="yellow"/>
        </w:rPr>
        <w:t>乙方</w:t>
      </w:r>
      <w:r>
        <w:rPr>
          <w:rFonts w:hint="eastAsia" w:ascii="Times New Roman" w:hAnsi="Times New Roman" w:eastAsia="宋体"/>
          <w:sz w:val="28"/>
          <w:szCs w:val="28"/>
        </w:rPr>
        <w:t>提供的人员及设备不能满足项目质量以及进度要求时，</w:t>
      </w:r>
      <w:r>
        <w:rPr>
          <w:rFonts w:hint="eastAsia" w:ascii="Times New Roman" w:hAnsi="Times New Roman" w:eastAsia="宋体"/>
          <w:sz w:val="28"/>
          <w:szCs w:val="28"/>
          <w:highlight w:val="yellow"/>
        </w:rPr>
        <w:t>甲方</w:t>
      </w:r>
      <w:r>
        <w:rPr>
          <w:rFonts w:hint="eastAsia" w:ascii="Times New Roman" w:hAnsi="Times New Roman" w:eastAsia="宋体"/>
          <w:sz w:val="28"/>
          <w:szCs w:val="28"/>
        </w:rPr>
        <w:t>有权利根据实际情况终止合作，并将工作任务顺延至第二预中标人承担或重新招标确认新中标人。</w:t>
      </w:r>
    </w:p>
    <w:p w14:paraId="21C837DF">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d.</w:t>
      </w:r>
      <w:r>
        <w:rPr>
          <w:rFonts w:hint="eastAsia" w:ascii="Times New Roman" w:hAnsi="Times New Roman" w:eastAsia="宋体"/>
          <w:sz w:val="28"/>
          <w:szCs w:val="28"/>
          <w:highlight w:val="yellow"/>
        </w:rPr>
        <w:t>甲方</w:t>
      </w:r>
      <w:r>
        <w:rPr>
          <w:rFonts w:hint="eastAsia" w:ascii="Times New Roman" w:hAnsi="Times New Roman" w:eastAsia="宋体"/>
          <w:sz w:val="28"/>
          <w:szCs w:val="28"/>
        </w:rPr>
        <w:t>技术人员确定好场地后通知</w:t>
      </w:r>
      <w:r>
        <w:rPr>
          <w:rFonts w:hint="eastAsia" w:ascii="Times New Roman" w:hAnsi="Times New Roman" w:eastAsia="宋体"/>
          <w:sz w:val="28"/>
          <w:szCs w:val="28"/>
          <w:highlight w:val="yellow"/>
        </w:rPr>
        <w:t>乙方</w:t>
      </w:r>
      <w:r>
        <w:rPr>
          <w:rFonts w:hint="eastAsia" w:ascii="Times New Roman" w:hAnsi="Times New Roman" w:eastAsia="宋体"/>
          <w:sz w:val="28"/>
          <w:szCs w:val="28"/>
        </w:rPr>
        <w:t>，由</w:t>
      </w:r>
      <w:r>
        <w:rPr>
          <w:rFonts w:hint="eastAsia" w:ascii="Times New Roman" w:hAnsi="Times New Roman" w:eastAsia="宋体"/>
          <w:sz w:val="28"/>
          <w:szCs w:val="28"/>
          <w:highlight w:val="yellow"/>
        </w:rPr>
        <w:t>乙方</w:t>
      </w:r>
      <w:r>
        <w:rPr>
          <w:rFonts w:hint="eastAsia" w:ascii="Times New Roman" w:hAnsi="Times New Roman" w:eastAsia="宋体"/>
          <w:sz w:val="28"/>
          <w:szCs w:val="28"/>
        </w:rPr>
        <w:t>协调好场地。</w:t>
      </w:r>
      <w:r>
        <w:rPr>
          <w:rFonts w:hint="eastAsia" w:ascii="Times New Roman" w:hAnsi="Times New Roman" w:eastAsia="宋体"/>
          <w:sz w:val="28"/>
          <w:szCs w:val="28"/>
          <w:highlight w:val="yellow"/>
        </w:rPr>
        <w:t>甲方</w:t>
      </w:r>
      <w:r>
        <w:rPr>
          <w:rFonts w:hint="eastAsia" w:ascii="Times New Roman" w:hAnsi="Times New Roman" w:eastAsia="宋体"/>
          <w:sz w:val="28"/>
          <w:szCs w:val="28"/>
        </w:rPr>
        <w:t>技术人员确定进场设备数量以及进场时间，</w:t>
      </w:r>
      <w:r>
        <w:rPr>
          <w:rFonts w:hint="eastAsia" w:ascii="Times New Roman" w:hAnsi="Times New Roman" w:eastAsia="宋体"/>
          <w:sz w:val="28"/>
          <w:szCs w:val="28"/>
          <w:highlight w:val="yellow"/>
        </w:rPr>
        <w:t>乙方</w:t>
      </w:r>
      <w:r>
        <w:rPr>
          <w:rFonts w:hint="eastAsia" w:ascii="Times New Roman" w:hAnsi="Times New Roman" w:eastAsia="宋体"/>
          <w:sz w:val="28"/>
          <w:szCs w:val="28"/>
        </w:rPr>
        <w:t>应按技术人员的要求进场施工。</w:t>
      </w:r>
    </w:p>
    <w:p w14:paraId="46DDB1F8">
      <w:pPr>
        <w:spacing w:line="600" w:lineRule="exact"/>
        <w:ind w:left="660"/>
        <w:outlineLvl w:val="0"/>
        <w:rPr>
          <w:rFonts w:ascii="Times New Roman" w:hAnsi="Times New Roman" w:eastAsia="宋体"/>
          <w:b/>
          <w:sz w:val="30"/>
          <w:szCs w:val="30"/>
        </w:rPr>
      </w:pPr>
      <w:r>
        <w:rPr>
          <w:rFonts w:ascii="Times New Roman" w:hAnsi="Times New Roman" w:eastAsia="宋体"/>
          <w:b/>
          <w:bCs/>
          <w:sz w:val="30"/>
          <w:szCs w:val="30"/>
        </w:rPr>
        <w:t xml:space="preserve">第四条  </w:t>
      </w:r>
      <w:r>
        <w:rPr>
          <w:rFonts w:ascii="Times New Roman" w:hAnsi="Times New Roman" w:eastAsia="宋体"/>
          <w:b/>
          <w:sz w:val="30"/>
          <w:szCs w:val="30"/>
        </w:rPr>
        <w:t>工作期限</w:t>
      </w:r>
    </w:p>
    <w:p w14:paraId="60B43085">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highlight w:val="yellow"/>
        </w:rPr>
        <w:t>项目工作期限：202</w:t>
      </w:r>
      <w:r>
        <w:rPr>
          <w:rFonts w:hint="eastAsia" w:ascii="Times New Roman" w:hAnsi="Times New Roman" w:eastAsia="宋体"/>
          <w:sz w:val="28"/>
          <w:szCs w:val="28"/>
          <w:highlight w:val="yellow"/>
        </w:rPr>
        <w:t>5</w:t>
      </w:r>
      <w:r>
        <w:rPr>
          <w:rFonts w:ascii="Times New Roman" w:hAnsi="Times New Roman" w:eastAsia="宋体"/>
          <w:sz w:val="28"/>
          <w:szCs w:val="28"/>
          <w:highlight w:val="yellow"/>
        </w:rPr>
        <w:t>年5月-</w:t>
      </w:r>
      <w:r>
        <w:rPr>
          <w:rFonts w:hint="eastAsia" w:ascii="Times New Roman" w:hAnsi="Times New Roman" w:eastAsia="宋体"/>
          <w:sz w:val="28"/>
          <w:szCs w:val="28"/>
          <w:highlight w:val="yellow"/>
        </w:rPr>
        <w:t>9</w:t>
      </w:r>
      <w:r>
        <w:rPr>
          <w:rFonts w:ascii="Times New Roman" w:hAnsi="Times New Roman" w:eastAsia="宋体"/>
          <w:sz w:val="28"/>
          <w:szCs w:val="28"/>
          <w:highlight w:val="yellow"/>
        </w:rPr>
        <w:t>月。</w:t>
      </w:r>
    </w:p>
    <w:p w14:paraId="005AC1DD">
      <w:pPr>
        <w:spacing w:line="600" w:lineRule="exact"/>
        <w:ind w:left="660"/>
        <w:outlineLvl w:val="0"/>
        <w:rPr>
          <w:rFonts w:ascii="Times New Roman" w:hAnsi="Times New Roman" w:eastAsia="宋体"/>
          <w:b/>
          <w:sz w:val="30"/>
          <w:szCs w:val="30"/>
        </w:rPr>
      </w:pPr>
      <w:r>
        <w:rPr>
          <w:rFonts w:ascii="Times New Roman" w:hAnsi="Times New Roman" w:eastAsia="宋体"/>
          <w:b/>
          <w:bCs/>
          <w:sz w:val="30"/>
          <w:szCs w:val="30"/>
        </w:rPr>
        <w:t xml:space="preserve">第五条  </w:t>
      </w:r>
      <w:r>
        <w:rPr>
          <w:rFonts w:hint="eastAsia" w:ascii="Times New Roman" w:hAnsi="Times New Roman" w:eastAsia="宋体"/>
          <w:b/>
          <w:sz w:val="30"/>
          <w:szCs w:val="30"/>
        </w:rPr>
        <w:t>成果</w:t>
      </w:r>
      <w:r>
        <w:rPr>
          <w:rFonts w:ascii="Times New Roman" w:hAnsi="Times New Roman" w:eastAsia="宋体"/>
          <w:b/>
          <w:sz w:val="30"/>
          <w:szCs w:val="30"/>
        </w:rPr>
        <w:t>要求</w:t>
      </w:r>
    </w:p>
    <w:p w14:paraId="333C05D5">
      <w:pPr>
        <w:spacing w:line="600" w:lineRule="exact"/>
        <w:ind w:firstLine="560" w:firstLineChars="200"/>
        <w:outlineLvl w:val="0"/>
        <w:rPr>
          <w:rFonts w:ascii="Times New Roman" w:hAnsi="Times New Roman" w:eastAsia="宋体"/>
          <w:sz w:val="28"/>
          <w:szCs w:val="28"/>
        </w:rPr>
      </w:pPr>
      <w:r>
        <w:rPr>
          <w:rFonts w:hint="eastAsia" w:ascii="Times New Roman" w:hAnsi="Times New Roman" w:eastAsia="宋体"/>
          <w:sz w:val="28"/>
          <w:szCs w:val="28"/>
        </w:rPr>
        <w:t>乙方要编制工作方案并评审备案，乙方钻探施工的质量控制要严格遵照《地质岩芯钻探规程》（DZ/T 0227-2010）、《固体矿产勘查钻孔质量要求》（DZT0486-2024）、《绿色地质勘查工作规范》（DZ/T 0374-2021）等技术规范要求执行，完成全部野外工作后，</w:t>
      </w:r>
      <w:r>
        <w:rPr>
          <w:rFonts w:hint="eastAsia" w:ascii="Times New Roman" w:hAnsi="Times New Roman" w:eastAsia="宋体"/>
          <w:bCs/>
          <w:sz w:val="28"/>
          <w:szCs w:val="28"/>
        </w:rPr>
        <w:t>提交钻探施工报告</w:t>
      </w:r>
      <w:r>
        <w:rPr>
          <w:rFonts w:hint="eastAsia" w:ascii="Times New Roman" w:hAnsi="Times New Roman" w:eastAsia="宋体"/>
          <w:bCs/>
          <w:sz w:val="28"/>
          <w:szCs w:val="28"/>
          <w:highlight w:val="yellow"/>
        </w:rPr>
        <w:t>纸质</w:t>
      </w:r>
      <w:r>
        <w:rPr>
          <w:rFonts w:ascii="Times New Roman" w:hAnsi="Times New Roman" w:eastAsia="宋体"/>
          <w:bCs/>
          <w:sz w:val="28"/>
          <w:szCs w:val="28"/>
          <w:highlight w:val="yellow"/>
        </w:rPr>
        <w:t>及电子版</w:t>
      </w:r>
      <w:r>
        <w:rPr>
          <w:rFonts w:ascii="Times New Roman" w:hAnsi="Times New Roman" w:eastAsia="宋体"/>
          <w:bCs/>
          <w:sz w:val="28"/>
          <w:szCs w:val="28"/>
        </w:rPr>
        <w:t>。</w:t>
      </w:r>
    </w:p>
    <w:p w14:paraId="3697C1C3">
      <w:pPr>
        <w:spacing w:line="600" w:lineRule="exact"/>
        <w:ind w:firstLine="602" w:firstLineChars="200"/>
        <w:outlineLvl w:val="0"/>
        <w:rPr>
          <w:rFonts w:ascii="Times New Roman" w:hAnsi="Times New Roman" w:eastAsia="宋体"/>
          <w:b/>
          <w:sz w:val="30"/>
          <w:szCs w:val="30"/>
        </w:rPr>
      </w:pPr>
      <w:r>
        <w:rPr>
          <w:rFonts w:ascii="Times New Roman" w:hAnsi="Times New Roman" w:eastAsia="宋体"/>
          <w:b/>
          <w:sz w:val="30"/>
          <w:szCs w:val="30"/>
        </w:rPr>
        <w:t>第</w:t>
      </w:r>
      <w:r>
        <w:rPr>
          <w:rFonts w:hint="eastAsia" w:ascii="Times New Roman" w:hAnsi="Times New Roman" w:eastAsia="宋体"/>
          <w:b/>
          <w:sz w:val="30"/>
          <w:szCs w:val="30"/>
        </w:rPr>
        <w:t>六</w:t>
      </w:r>
      <w:r>
        <w:rPr>
          <w:rFonts w:ascii="Times New Roman" w:hAnsi="Times New Roman" w:eastAsia="宋体"/>
          <w:b/>
          <w:sz w:val="30"/>
          <w:szCs w:val="30"/>
        </w:rPr>
        <w:t>条  项目工作经费及支付方式</w:t>
      </w:r>
    </w:p>
    <w:p w14:paraId="1DB09974">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（一）本项目中标价格为：</w:t>
      </w:r>
      <w:r>
        <w:rPr>
          <w:rFonts w:ascii="Times New Roman" w:hAnsi="Times New Roman" w:eastAsia="宋体"/>
          <w:b/>
          <w:bCs/>
          <w:sz w:val="28"/>
          <w:szCs w:val="28"/>
          <w:u w:val="single"/>
        </w:rPr>
        <w:t>￥</w:t>
      </w:r>
      <w:r>
        <w:rPr>
          <w:rFonts w:hint="eastAsia" w:ascii="Times New Roman" w:hAnsi="Times New Roman" w:eastAsia="宋体"/>
          <w:b/>
          <w:bCs/>
          <w:sz w:val="28"/>
          <w:szCs w:val="28"/>
          <w:u w:val="single"/>
        </w:rPr>
        <w:t xml:space="preserve">  </w:t>
      </w:r>
      <w:r>
        <w:rPr>
          <w:rFonts w:ascii="Times New Roman" w:hAnsi="Times New Roman" w:eastAsia="宋体"/>
          <w:b/>
          <w:bCs/>
          <w:sz w:val="28"/>
          <w:szCs w:val="28"/>
          <w:u w:val="single"/>
        </w:rPr>
        <w:t>万元</w:t>
      </w:r>
      <w:r>
        <w:rPr>
          <w:rFonts w:ascii="Times New Roman" w:hAnsi="Times New Roman" w:eastAsia="宋体"/>
          <w:sz w:val="28"/>
          <w:szCs w:val="28"/>
        </w:rPr>
        <w:t>（大写：</w:t>
      </w:r>
      <w:r>
        <w:rPr>
          <w:rFonts w:hint="eastAsia" w:ascii="Times New Roman" w:hAnsi="Times New Roman" w:eastAsia="宋体"/>
          <w:sz w:val="28"/>
          <w:szCs w:val="28"/>
        </w:rPr>
        <w:t xml:space="preserve">   </w:t>
      </w:r>
      <w:r>
        <w:rPr>
          <w:rFonts w:ascii="Times New Roman" w:hAnsi="Times New Roman" w:eastAsia="宋体"/>
          <w:b/>
          <w:bCs/>
          <w:sz w:val="28"/>
          <w:szCs w:val="28"/>
          <w:u w:val="single"/>
        </w:rPr>
        <w:t>元整</w:t>
      </w:r>
      <w:r>
        <w:rPr>
          <w:rFonts w:ascii="Times New Roman" w:hAnsi="Times New Roman" w:eastAsia="宋体"/>
          <w:sz w:val="28"/>
          <w:szCs w:val="28"/>
        </w:rPr>
        <w:t>）。</w:t>
      </w:r>
    </w:p>
    <w:p w14:paraId="79C63B60">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（二）工作经费支付方式。</w:t>
      </w:r>
    </w:p>
    <w:p w14:paraId="03551171">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1、双方签订本协议后10个工作日内，甲方根据乙方开具的</w:t>
      </w:r>
      <w:r>
        <w:rPr>
          <w:rFonts w:hint="eastAsia" w:ascii="Times New Roman" w:hAnsi="Times New Roman" w:eastAsia="宋体"/>
          <w:sz w:val="28"/>
          <w:szCs w:val="28"/>
        </w:rPr>
        <w:t>增值税</w:t>
      </w:r>
      <w:r>
        <w:rPr>
          <w:rFonts w:ascii="Times New Roman" w:hAnsi="Times New Roman" w:eastAsia="宋体"/>
          <w:sz w:val="28"/>
          <w:szCs w:val="28"/>
        </w:rPr>
        <w:t>普通发票，向乙方拨付项目工作经费的</w:t>
      </w:r>
      <w:r>
        <w:rPr>
          <w:rFonts w:hint="eastAsia" w:ascii="Times New Roman" w:hAnsi="Times New Roman" w:eastAsia="宋体"/>
          <w:sz w:val="28"/>
          <w:szCs w:val="28"/>
          <w:lang w:val="en-US" w:eastAsia="zh-CN"/>
        </w:rPr>
        <w:t>5</w:t>
      </w:r>
      <w:r>
        <w:rPr>
          <w:rFonts w:ascii="Times New Roman" w:hAnsi="Times New Roman" w:eastAsia="宋体"/>
          <w:sz w:val="28"/>
          <w:szCs w:val="28"/>
        </w:rPr>
        <w:t>0%作为预付款，即</w:t>
      </w:r>
      <w:r>
        <w:rPr>
          <w:rFonts w:ascii="Times New Roman" w:hAnsi="Times New Roman" w:eastAsia="宋体"/>
          <w:b/>
          <w:bCs/>
          <w:sz w:val="28"/>
          <w:szCs w:val="28"/>
          <w:u w:val="single"/>
        </w:rPr>
        <w:t>￥</w:t>
      </w:r>
      <w:r>
        <w:rPr>
          <w:rFonts w:hint="eastAsia" w:ascii="Times New Roman" w:hAnsi="Times New Roman" w:eastAsia="宋体"/>
          <w:b/>
          <w:bCs/>
          <w:sz w:val="28"/>
          <w:szCs w:val="28"/>
          <w:u w:val="single"/>
        </w:rPr>
        <w:t xml:space="preserve"> </w:t>
      </w:r>
      <w:r>
        <w:rPr>
          <w:rFonts w:ascii="Times New Roman" w:hAnsi="Times New Roman" w:eastAsia="宋体"/>
          <w:b/>
          <w:bCs/>
          <w:sz w:val="28"/>
          <w:szCs w:val="28"/>
          <w:u w:val="single"/>
        </w:rPr>
        <w:t>万元</w:t>
      </w:r>
      <w:r>
        <w:rPr>
          <w:rFonts w:ascii="Times New Roman" w:hAnsi="Times New Roman" w:eastAsia="宋体"/>
          <w:sz w:val="28"/>
          <w:szCs w:val="28"/>
        </w:rPr>
        <w:t>（大写：</w:t>
      </w:r>
      <w:r>
        <w:rPr>
          <w:rFonts w:hint="eastAsia" w:ascii="Times New Roman" w:hAnsi="Times New Roman" w:eastAsia="宋体"/>
          <w:sz w:val="28"/>
          <w:szCs w:val="28"/>
        </w:rPr>
        <w:t xml:space="preserve">    </w:t>
      </w:r>
      <w:r>
        <w:rPr>
          <w:rFonts w:ascii="Times New Roman" w:hAnsi="Times New Roman" w:eastAsia="宋体"/>
          <w:b/>
          <w:bCs/>
          <w:sz w:val="28"/>
          <w:szCs w:val="28"/>
          <w:u w:val="single"/>
        </w:rPr>
        <w:t>元整</w:t>
      </w:r>
      <w:r>
        <w:rPr>
          <w:rFonts w:ascii="Times New Roman" w:hAnsi="Times New Roman" w:eastAsia="宋体"/>
          <w:sz w:val="28"/>
          <w:szCs w:val="28"/>
        </w:rPr>
        <w:t>）；乙方通过野外验收后，甲方根据乙方开具的</w:t>
      </w:r>
      <w:r>
        <w:rPr>
          <w:rFonts w:hint="eastAsia" w:ascii="Times New Roman" w:hAnsi="Times New Roman" w:eastAsia="宋体"/>
          <w:sz w:val="28"/>
          <w:szCs w:val="28"/>
        </w:rPr>
        <w:t>增值税</w:t>
      </w:r>
      <w:r>
        <w:rPr>
          <w:rFonts w:ascii="Times New Roman" w:hAnsi="Times New Roman" w:eastAsia="宋体"/>
          <w:sz w:val="28"/>
          <w:szCs w:val="28"/>
        </w:rPr>
        <w:t>普通发票</w:t>
      </w:r>
      <w:r>
        <w:rPr>
          <w:rFonts w:hint="eastAsia" w:ascii="Times New Roman" w:hAnsi="Times New Roman" w:eastAsia="宋体"/>
          <w:sz w:val="28"/>
          <w:szCs w:val="28"/>
        </w:rPr>
        <w:t>在1</w:t>
      </w:r>
      <w:r>
        <w:rPr>
          <w:rFonts w:ascii="Times New Roman" w:hAnsi="Times New Roman" w:eastAsia="宋体"/>
          <w:sz w:val="28"/>
          <w:szCs w:val="28"/>
        </w:rPr>
        <w:t>0个工作日之内向乙方拨付工作经费的</w:t>
      </w:r>
      <w:r>
        <w:rPr>
          <w:rFonts w:hint="eastAsia" w:ascii="Times New Roman" w:hAnsi="Times New Roman" w:eastAsia="宋体"/>
          <w:sz w:val="28"/>
          <w:szCs w:val="28"/>
          <w:lang w:val="en-US" w:eastAsia="zh-CN"/>
        </w:rPr>
        <w:t>4</w:t>
      </w:r>
      <w:r>
        <w:rPr>
          <w:rFonts w:ascii="Times New Roman" w:hAnsi="Times New Roman" w:eastAsia="宋体"/>
          <w:sz w:val="28"/>
          <w:szCs w:val="28"/>
        </w:rPr>
        <w:t>0%，即</w:t>
      </w:r>
      <w:r>
        <w:rPr>
          <w:rFonts w:ascii="Times New Roman" w:hAnsi="Times New Roman" w:eastAsia="宋体"/>
          <w:b/>
          <w:bCs/>
          <w:sz w:val="28"/>
          <w:szCs w:val="28"/>
          <w:u w:val="single"/>
        </w:rPr>
        <w:t>￥</w:t>
      </w:r>
      <w:r>
        <w:rPr>
          <w:rFonts w:hint="eastAsia" w:ascii="Times New Roman" w:hAnsi="Times New Roman" w:eastAsia="宋体"/>
          <w:b/>
          <w:bCs/>
          <w:sz w:val="28"/>
          <w:szCs w:val="28"/>
          <w:u w:val="single"/>
        </w:rPr>
        <w:t xml:space="preserve">    </w:t>
      </w:r>
      <w:r>
        <w:rPr>
          <w:rFonts w:ascii="Times New Roman" w:hAnsi="Times New Roman" w:eastAsia="宋体"/>
          <w:b/>
          <w:bCs/>
          <w:sz w:val="28"/>
          <w:szCs w:val="28"/>
          <w:u w:val="single"/>
        </w:rPr>
        <w:t>万元</w:t>
      </w:r>
      <w:r>
        <w:rPr>
          <w:rFonts w:ascii="Times New Roman" w:hAnsi="Times New Roman" w:eastAsia="宋体"/>
          <w:sz w:val="28"/>
          <w:szCs w:val="28"/>
        </w:rPr>
        <w:t>（大写：</w:t>
      </w:r>
      <w:r>
        <w:rPr>
          <w:rFonts w:hint="eastAsia" w:ascii="Times New Roman" w:hAnsi="Times New Roman" w:eastAsia="宋体"/>
          <w:sz w:val="28"/>
          <w:szCs w:val="28"/>
        </w:rPr>
        <w:t xml:space="preserve">      </w:t>
      </w:r>
      <w:r>
        <w:rPr>
          <w:rFonts w:ascii="Times New Roman" w:hAnsi="Times New Roman" w:eastAsia="宋体"/>
          <w:b/>
          <w:bCs/>
          <w:sz w:val="28"/>
          <w:szCs w:val="28"/>
          <w:u w:val="single"/>
        </w:rPr>
        <w:t>元整</w:t>
      </w:r>
      <w:r>
        <w:rPr>
          <w:rFonts w:ascii="Times New Roman" w:hAnsi="Times New Roman" w:eastAsia="宋体"/>
          <w:sz w:val="28"/>
          <w:szCs w:val="28"/>
        </w:rPr>
        <w:t>）。</w:t>
      </w:r>
      <w:r>
        <w:rPr>
          <w:rFonts w:hint="eastAsia" w:ascii="Times New Roman" w:hAnsi="Times New Roman" w:eastAsia="宋体"/>
          <w:sz w:val="28"/>
          <w:szCs w:val="28"/>
          <w:highlight w:val="yellow"/>
        </w:rPr>
        <w:t>乙方提交钻探施工报告，并汇交所有资料后，甲方根据乙方开具的增值税普通发票在10个工作日之内向乙方拨付工作经费的10%，</w:t>
      </w:r>
      <w:r>
        <w:rPr>
          <w:rFonts w:hint="eastAsia" w:ascii="Times New Roman" w:hAnsi="Times New Roman" w:eastAsia="宋体"/>
          <w:b/>
          <w:sz w:val="28"/>
          <w:szCs w:val="28"/>
          <w:highlight w:val="yellow"/>
        </w:rPr>
        <w:t>即￥    万元（</w:t>
      </w:r>
      <w:r>
        <w:rPr>
          <w:rFonts w:hint="eastAsia" w:ascii="Times New Roman" w:hAnsi="Times New Roman" w:eastAsia="宋体"/>
          <w:sz w:val="28"/>
          <w:szCs w:val="28"/>
          <w:highlight w:val="yellow"/>
        </w:rPr>
        <w:t>大写：</w:t>
      </w:r>
      <w:r>
        <w:rPr>
          <w:rFonts w:hint="eastAsia" w:ascii="Times New Roman" w:hAnsi="Times New Roman" w:eastAsia="宋体"/>
          <w:b/>
          <w:sz w:val="28"/>
          <w:szCs w:val="28"/>
          <w:highlight w:val="yellow"/>
        </w:rPr>
        <w:t xml:space="preserve">      元整）</w:t>
      </w:r>
      <w:r>
        <w:rPr>
          <w:rFonts w:hint="eastAsia" w:ascii="Times New Roman" w:hAnsi="Times New Roman" w:eastAsia="宋体"/>
          <w:sz w:val="28"/>
          <w:szCs w:val="28"/>
          <w:highlight w:val="yellow"/>
        </w:rPr>
        <w:t>。</w:t>
      </w:r>
    </w:p>
    <w:p w14:paraId="05C064EF">
      <w:pPr>
        <w:spacing w:line="600" w:lineRule="exact"/>
        <w:ind w:firstLine="602" w:firstLineChars="200"/>
        <w:outlineLvl w:val="0"/>
        <w:rPr>
          <w:rFonts w:ascii="Times New Roman" w:hAnsi="Times New Roman" w:eastAsia="宋体"/>
          <w:b/>
          <w:sz w:val="30"/>
          <w:szCs w:val="30"/>
        </w:rPr>
      </w:pPr>
      <w:r>
        <w:rPr>
          <w:rFonts w:ascii="Times New Roman" w:hAnsi="Times New Roman" w:eastAsia="宋体"/>
          <w:b/>
          <w:sz w:val="30"/>
          <w:szCs w:val="30"/>
        </w:rPr>
        <w:t>第七条  甲方责任</w:t>
      </w:r>
    </w:p>
    <w:p w14:paraId="7CC647FF">
      <w:pPr>
        <w:spacing w:line="600" w:lineRule="exact"/>
        <w:ind w:firstLine="560" w:firstLineChars="200"/>
        <w:rPr>
          <w:rFonts w:ascii="Times New Roman" w:hAnsi="Times New Roman" w:eastAsia="宋体"/>
          <w:sz w:val="28"/>
          <w:szCs w:val="28"/>
        </w:rPr>
      </w:pPr>
      <w:r>
        <w:rPr>
          <w:rFonts w:ascii="Times New Roman" w:hAnsi="Times New Roman" w:eastAsia="宋体"/>
          <w:sz w:val="28"/>
          <w:szCs w:val="28"/>
        </w:rPr>
        <w:t>（一）按照协议约定向乙方拨付工作经费。</w:t>
      </w:r>
    </w:p>
    <w:p w14:paraId="2DA8C6E6">
      <w:pPr>
        <w:spacing w:line="600" w:lineRule="exact"/>
        <w:ind w:firstLine="560" w:firstLineChars="200"/>
        <w:rPr>
          <w:rFonts w:ascii="Times New Roman" w:hAnsi="Times New Roman" w:eastAsia="宋体"/>
          <w:sz w:val="28"/>
          <w:szCs w:val="28"/>
        </w:rPr>
      </w:pPr>
      <w:r>
        <w:rPr>
          <w:rFonts w:ascii="Times New Roman" w:hAnsi="Times New Roman" w:eastAsia="宋体"/>
          <w:sz w:val="28"/>
          <w:szCs w:val="28"/>
        </w:rPr>
        <w:t>（二）组织专家进行现场检查、野外验收和成果报告评审等。</w:t>
      </w:r>
    </w:p>
    <w:p w14:paraId="6632141D">
      <w:pPr>
        <w:spacing w:line="600" w:lineRule="exact"/>
        <w:ind w:firstLine="560" w:firstLineChars="200"/>
        <w:rPr>
          <w:rFonts w:ascii="Times New Roman" w:hAnsi="Times New Roman" w:eastAsia="宋体"/>
          <w:sz w:val="28"/>
          <w:szCs w:val="28"/>
        </w:rPr>
      </w:pPr>
      <w:r>
        <w:rPr>
          <w:rFonts w:ascii="Times New Roman" w:hAnsi="Times New Roman" w:eastAsia="宋体"/>
          <w:sz w:val="28"/>
          <w:szCs w:val="28"/>
        </w:rPr>
        <w:t>（三）负责对项目工作质量、安全生产、资金使用、保密等进行监督管理，并协调项目实施过程中有关技术问题的统一。</w:t>
      </w:r>
    </w:p>
    <w:p w14:paraId="71FF9504">
      <w:pPr>
        <w:spacing w:line="600" w:lineRule="exact"/>
        <w:ind w:firstLine="560" w:firstLineChars="200"/>
        <w:rPr>
          <w:rFonts w:ascii="Times New Roman" w:hAnsi="Times New Roman" w:eastAsia="宋体"/>
          <w:sz w:val="28"/>
          <w:szCs w:val="28"/>
        </w:rPr>
      </w:pPr>
      <w:r>
        <w:rPr>
          <w:rFonts w:ascii="Times New Roman" w:hAnsi="Times New Roman" w:eastAsia="宋体"/>
          <w:sz w:val="28"/>
          <w:szCs w:val="28"/>
        </w:rPr>
        <w:t>（四）</w:t>
      </w:r>
      <w:r>
        <w:rPr>
          <w:rFonts w:hint="eastAsia" w:ascii="Times New Roman" w:hAnsi="Times New Roman" w:eastAsia="宋体"/>
          <w:sz w:val="28"/>
          <w:szCs w:val="28"/>
        </w:rPr>
        <w:t>甲方依据相关技术规范提供实施方案及成果报告提纲。</w:t>
      </w:r>
    </w:p>
    <w:p w14:paraId="0A8AC682">
      <w:pPr>
        <w:spacing w:line="600" w:lineRule="exact"/>
        <w:ind w:firstLine="560" w:firstLineChars="200"/>
        <w:rPr>
          <w:rFonts w:ascii="Times New Roman" w:hAnsi="Times New Roman" w:eastAsia="宋体"/>
          <w:sz w:val="28"/>
          <w:szCs w:val="28"/>
        </w:rPr>
      </w:pPr>
      <w:r>
        <w:rPr>
          <w:rFonts w:hint="eastAsia" w:ascii="Times New Roman" w:hAnsi="Times New Roman" w:eastAsia="宋体"/>
          <w:sz w:val="28"/>
          <w:szCs w:val="28"/>
        </w:rPr>
        <w:t>（五）甲方</w:t>
      </w:r>
      <w:r>
        <w:rPr>
          <w:rFonts w:ascii="Times New Roman" w:hAnsi="Times New Roman" w:eastAsia="宋体"/>
          <w:sz w:val="28"/>
          <w:szCs w:val="28"/>
        </w:rPr>
        <w:t>负责提供钻孔的坐标，监督现场质量与进度，开展地质编录及采样工作。</w:t>
      </w:r>
    </w:p>
    <w:p w14:paraId="37B2EAD2">
      <w:pPr>
        <w:spacing w:line="600" w:lineRule="exact"/>
        <w:ind w:firstLine="602" w:firstLineChars="200"/>
        <w:outlineLvl w:val="0"/>
        <w:rPr>
          <w:rFonts w:ascii="Times New Roman" w:hAnsi="Times New Roman" w:eastAsia="宋体"/>
          <w:b/>
          <w:sz w:val="30"/>
          <w:szCs w:val="30"/>
        </w:rPr>
      </w:pPr>
      <w:r>
        <w:rPr>
          <w:rFonts w:ascii="Times New Roman" w:hAnsi="Times New Roman" w:eastAsia="宋体"/>
          <w:b/>
          <w:sz w:val="30"/>
          <w:szCs w:val="30"/>
        </w:rPr>
        <w:t>第八条  乙方责任</w:t>
      </w:r>
    </w:p>
    <w:p w14:paraId="63D7707D">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（一）</w:t>
      </w:r>
      <w:r>
        <w:rPr>
          <w:rFonts w:hint="eastAsia" w:ascii="Times New Roman" w:hAnsi="Times New Roman" w:eastAsia="宋体"/>
          <w:sz w:val="28"/>
          <w:szCs w:val="28"/>
        </w:rPr>
        <w:t>乙方至少提供不少于2台性能完好的钻机同时进场，并提供到位承诺书。</w:t>
      </w:r>
    </w:p>
    <w:p w14:paraId="43EFA741">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w:t>
      </w:r>
      <w:r>
        <w:rPr>
          <w:rFonts w:hint="eastAsia" w:ascii="Times New Roman" w:hAnsi="Times New Roman" w:eastAsia="宋体"/>
          <w:sz w:val="28"/>
          <w:szCs w:val="28"/>
        </w:rPr>
        <w:t>二</w:t>
      </w:r>
      <w:r>
        <w:rPr>
          <w:rFonts w:ascii="Times New Roman" w:hAnsi="Times New Roman" w:eastAsia="宋体"/>
          <w:sz w:val="28"/>
          <w:szCs w:val="28"/>
        </w:rPr>
        <w:t>）</w:t>
      </w:r>
      <w:r>
        <w:rPr>
          <w:rFonts w:hint="eastAsia" w:ascii="Times New Roman" w:hAnsi="Times New Roman" w:eastAsia="宋体"/>
          <w:sz w:val="28"/>
          <w:szCs w:val="28"/>
        </w:rPr>
        <w:t>乙方每台钻机安排2名钻探技术人员负责钻探施工和填录相应的班报表，同时做好与甲方项目野外工作组现场对接。</w:t>
      </w:r>
    </w:p>
    <w:p w14:paraId="523E1569">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w:t>
      </w:r>
      <w:r>
        <w:rPr>
          <w:rFonts w:hint="eastAsia" w:ascii="Times New Roman" w:hAnsi="Times New Roman" w:eastAsia="宋体"/>
          <w:sz w:val="28"/>
          <w:szCs w:val="28"/>
        </w:rPr>
        <w:t>三</w:t>
      </w:r>
      <w:r>
        <w:rPr>
          <w:rFonts w:ascii="Times New Roman" w:hAnsi="Times New Roman" w:eastAsia="宋体"/>
          <w:sz w:val="28"/>
          <w:szCs w:val="28"/>
        </w:rPr>
        <w:t>）</w:t>
      </w:r>
      <w:r>
        <w:rPr>
          <w:rFonts w:hint="eastAsia" w:ascii="Times New Roman" w:hAnsi="Times New Roman" w:eastAsia="宋体"/>
          <w:sz w:val="28"/>
          <w:szCs w:val="28"/>
        </w:rPr>
        <w:t>乙方负责承担与钻探相关的雇员、场地租用、青苗补偿、岩芯箱及岩芯运输入库等费用。</w:t>
      </w:r>
    </w:p>
    <w:p w14:paraId="7EB1D061">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w:t>
      </w:r>
      <w:r>
        <w:rPr>
          <w:rFonts w:hint="eastAsia" w:ascii="Times New Roman" w:hAnsi="Times New Roman" w:eastAsia="宋体"/>
          <w:sz w:val="28"/>
          <w:szCs w:val="28"/>
        </w:rPr>
        <w:t>四</w:t>
      </w:r>
      <w:r>
        <w:rPr>
          <w:rFonts w:ascii="Times New Roman" w:hAnsi="Times New Roman" w:eastAsia="宋体"/>
          <w:sz w:val="28"/>
          <w:szCs w:val="28"/>
        </w:rPr>
        <w:t>）</w:t>
      </w:r>
      <w:r>
        <w:rPr>
          <w:rFonts w:hint="eastAsia" w:ascii="Times New Roman" w:hAnsi="Times New Roman" w:eastAsia="宋体"/>
          <w:sz w:val="28"/>
          <w:szCs w:val="28"/>
        </w:rPr>
        <w:t>乙方必须完全执行甲方安全生产方面的规定，与甲方签订安全生产责任书，随时接受其安全管理部门的安全检查，并及时全面整改到位。若发生安全事故，乙方需积极配合甲方安全管理部门的安全调查，并完全承担鉴定得出的安全事故责任。</w:t>
      </w:r>
    </w:p>
    <w:p w14:paraId="09C00C4D">
      <w:pPr>
        <w:spacing w:line="600" w:lineRule="exact"/>
        <w:ind w:firstLine="560" w:firstLineChars="200"/>
        <w:outlineLvl w:val="0"/>
        <w:rPr>
          <w:rFonts w:ascii="Times New Roman" w:hAnsi="Times New Roman" w:eastAsia="宋体"/>
          <w:sz w:val="28"/>
          <w:szCs w:val="28"/>
        </w:rPr>
      </w:pPr>
      <w:r>
        <w:rPr>
          <w:rFonts w:ascii="Times New Roman" w:hAnsi="Times New Roman" w:eastAsia="宋体"/>
          <w:sz w:val="28"/>
          <w:szCs w:val="28"/>
        </w:rPr>
        <w:t>（</w:t>
      </w:r>
      <w:r>
        <w:rPr>
          <w:rFonts w:hint="eastAsia" w:ascii="Times New Roman" w:hAnsi="Times New Roman" w:eastAsia="宋体"/>
          <w:sz w:val="28"/>
          <w:szCs w:val="28"/>
        </w:rPr>
        <w:t>五</w:t>
      </w:r>
      <w:r>
        <w:rPr>
          <w:rFonts w:ascii="Times New Roman" w:hAnsi="Times New Roman" w:eastAsia="宋体"/>
          <w:sz w:val="28"/>
          <w:szCs w:val="28"/>
        </w:rPr>
        <w:t>）</w:t>
      </w:r>
      <w:r>
        <w:rPr>
          <w:rFonts w:hint="eastAsia" w:ascii="Times New Roman" w:hAnsi="Times New Roman" w:eastAsia="宋体"/>
          <w:sz w:val="28"/>
          <w:szCs w:val="28"/>
        </w:rPr>
        <w:t>乙方必须在工作内容、进度要求、成果要求、技术要求等方面达到合同规定要求。</w:t>
      </w:r>
    </w:p>
    <w:p w14:paraId="67616975">
      <w:pPr>
        <w:spacing w:line="600" w:lineRule="exact"/>
        <w:ind w:firstLine="602" w:firstLineChars="200"/>
        <w:outlineLvl w:val="0"/>
        <w:rPr>
          <w:rFonts w:ascii="Times New Roman" w:hAnsi="Times New Roman" w:eastAsia="宋体"/>
          <w:b/>
          <w:bCs/>
          <w:sz w:val="30"/>
          <w:szCs w:val="30"/>
        </w:rPr>
      </w:pPr>
      <w:r>
        <w:rPr>
          <w:rFonts w:ascii="Times New Roman" w:hAnsi="Times New Roman" w:eastAsia="宋体"/>
          <w:b/>
          <w:sz w:val="30"/>
          <w:szCs w:val="30"/>
        </w:rPr>
        <w:t xml:space="preserve">第九条  </w:t>
      </w:r>
      <w:r>
        <w:rPr>
          <w:rFonts w:ascii="Times New Roman" w:hAnsi="Times New Roman" w:eastAsia="宋体"/>
          <w:b/>
          <w:bCs/>
          <w:sz w:val="30"/>
          <w:szCs w:val="30"/>
        </w:rPr>
        <w:t>其他事项</w:t>
      </w:r>
    </w:p>
    <w:p w14:paraId="11BDF739">
      <w:pPr>
        <w:spacing w:line="600" w:lineRule="exact"/>
        <w:ind w:firstLine="560" w:firstLineChars="200"/>
        <w:rPr>
          <w:rFonts w:ascii="Times New Roman" w:hAnsi="Times New Roman" w:eastAsia="宋体"/>
          <w:sz w:val="28"/>
          <w:szCs w:val="28"/>
        </w:rPr>
      </w:pPr>
      <w:r>
        <w:rPr>
          <w:rFonts w:ascii="Times New Roman" w:hAnsi="Times New Roman" w:eastAsia="宋体"/>
          <w:bCs/>
          <w:sz w:val="28"/>
          <w:szCs w:val="28"/>
        </w:rPr>
        <w:t>（一）</w:t>
      </w:r>
      <w:r>
        <w:rPr>
          <w:rFonts w:ascii="Times New Roman" w:hAnsi="Times New Roman" w:eastAsia="宋体"/>
          <w:sz w:val="28"/>
          <w:szCs w:val="28"/>
        </w:rPr>
        <w:t>调查工作中，甲方有权根据项目需要适当调整工作量内容；乙方如需对外业施工方案主要工作内容或工作量进行调整，应及时向甲方提出书面请示，经甲方同意，并组织专家审查批准后，方可按批准后的方案实施。</w:t>
      </w:r>
    </w:p>
    <w:p w14:paraId="5EF7A3AF">
      <w:pPr>
        <w:spacing w:line="600" w:lineRule="exact"/>
        <w:ind w:firstLine="560" w:firstLineChars="200"/>
        <w:rPr>
          <w:rFonts w:ascii="Times New Roman" w:hAnsi="Times New Roman" w:eastAsia="宋体"/>
          <w:sz w:val="28"/>
          <w:szCs w:val="28"/>
        </w:rPr>
      </w:pPr>
      <w:r>
        <w:rPr>
          <w:rFonts w:ascii="Times New Roman" w:hAnsi="Times New Roman" w:eastAsia="宋体"/>
          <w:sz w:val="28"/>
          <w:szCs w:val="28"/>
        </w:rPr>
        <w:t>（二）未经甲方同意，乙方不得将本项目再委托第三人。</w:t>
      </w:r>
    </w:p>
    <w:p w14:paraId="7F9E3C2F">
      <w:pPr>
        <w:spacing w:line="600" w:lineRule="exact"/>
        <w:ind w:firstLine="560" w:firstLineChars="200"/>
        <w:rPr>
          <w:rFonts w:ascii="Times New Roman" w:hAnsi="Times New Roman" w:eastAsia="宋体"/>
          <w:sz w:val="28"/>
          <w:szCs w:val="28"/>
        </w:rPr>
      </w:pPr>
      <w:r>
        <w:rPr>
          <w:rFonts w:ascii="Times New Roman" w:hAnsi="Times New Roman" w:eastAsia="宋体"/>
          <w:sz w:val="28"/>
          <w:szCs w:val="28"/>
        </w:rPr>
        <w:t>（三）在有效期内，如需修订或补充本协议，应由双方共同商定，并签订补充协议。补充协议与本协议具有同等法律效力。</w:t>
      </w:r>
    </w:p>
    <w:p w14:paraId="2B84354F">
      <w:pPr>
        <w:spacing w:line="600" w:lineRule="exact"/>
        <w:ind w:firstLine="560" w:firstLineChars="200"/>
        <w:rPr>
          <w:rFonts w:ascii="Times New Roman" w:hAnsi="Times New Roman" w:eastAsia="宋体"/>
          <w:sz w:val="28"/>
          <w:szCs w:val="28"/>
        </w:rPr>
      </w:pPr>
      <w:r>
        <w:rPr>
          <w:rFonts w:ascii="Times New Roman" w:hAnsi="Times New Roman" w:eastAsia="宋体"/>
          <w:bCs/>
          <w:sz w:val="28"/>
          <w:szCs w:val="28"/>
        </w:rPr>
        <w:t>（四）</w:t>
      </w:r>
      <w:r>
        <w:rPr>
          <w:rFonts w:ascii="Times New Roman" w:hAnsi="Times New Roman" w:eastAsia="宋体"/>
          <w:sz w:val="28"/>
          <w:szCs w:val="28"/>
        </w:rPr>
        <w:t>本协议经甲乙双方签章后生效；甲乙双方履行完本协议规定的义务后，本协议即行终止。</w:t>
      </w:r>
    </w:p>
    <w:p w14:paraId="7A490A60">
      <w:pPr>
        <w:spacing w:line="600" w:lineRule="exact"/>
        <w:ind w:firstLine="560" w:firstLineChars="200"/>
        <w:rPr>
          <w:rFonts w:ascii="Times New Roman" w:hAnsi="Times New Roman" w:eastAsia="宋体"/>
          <w:sz w:val="28"/>
          <w:szCs w:val="28"/>
        </w:rPr>
      </w:pPr>
      <w:r>
        <w:rPr>
          <w:rFonts w:ascii="Times New Roman" w:hAnsi="Times New Roman" w:eastAsia="宋体"/>
          <w:bCs/>
          <w:sz w:val="28"/>
          <w:szCs w:val="28"/>
        </w:rPr>
        <w:t>（</w:t>
      </w:r>
      <w:r>
        <w:rPr>
          <w:rFonts w:hint="eastAsia" w:ascii="Times New Roman" w:hAnsi="Times New Roman" w:eastAsia="宋体"/>
          <w:bCs/>
          <w:sz w:val="28"/>
          <w:szCs w:val="28"/>
        </w:rPr>
        <w:t>五</w:t>
      </w:r>
      <w:r>
        <w:rPr>
          <w:rFonts w:ascii="Times New Roman" w:hAnsi="Times New Roman" w:eastAsia="宋体"/>
          <w:bCs/>
          <w:sz w:val="28"/>
          <w:szCs w:val="28"/>
        </w:rPr>
        <w:t>）</w:t>
      </w:r>
      <w:r>
        <w:rPr>
          <w:rFonts w:hint="eastAsia" w:ascii="Times New Roman" w:hAnsi="Times New Roman" w:eastAsia="宋体"/>
          <w:sz w:val="28"/>
          <w:szCs w:val="28"/>
        </w:rPr>
        <w:t>附件</w:t>
      </w:r>
      <w:r>
        <w:rPr>
          <w:rFonts w:ascii="Times New Roman" w:hAnsi="Times New Roman" w:eastAsia="宋体"/>
          <w:sz w:val="28"/>
          <w:szCs w:val="28"/>
        </w:rPr>
        <w:t>：中标通知书。</w:t>
      </w:r>
    </w:p>
    <w:p w14:paraId="31FDE05B">
      <w:pPr>
        <w:spacing w:line="600" w:lineRule="exact"/>
        <w:rPr>
          <w:rFonts w:ascii="Times New Roman" w:hAnsi="Times New Roman" w:eastAsia="宋体"/>
          <w:szCs w:val="32"/>
        </w:rPr>
      </w:pPr>
    </w:p>
    <w:p w14:paraId="0E42B39D">
      <w:pPr>
        <w:snapToGrid w:val="0"/>
        <w:spacing w:line="600" w:lineRule="exact"/>
        <w:ind w:firstLine="560" w:firstLineChars="200"/>
        <w:rPr>
          <w:rFonts w:ascii="Times New Roman" w:hAnsi="Times New Roman" w:eastAsia="宋体"/>
          <w:bCs/>
          <w:sz w:val="28"/>
          <w:szCs w:val="28"/>
        </w:rPr>
      </w:pPr>
      <w:r>
        <w:rPr>
          <w:rFonts w:ascii="Times New Roman" w:hAnsi="Times New Roman" w:eastAsia="宋体"/>
          <w:bCs/>
          <w:sz w:val="28"/>
          <w:szCs w:val="28"/>
        </w:rPr>
        <w:t>本协议一式</w:t>
      </w:r>
      <w:r>
        <w:rPr>
          <w:rFonts w:hint="eastAsia" w:ascii="Times New Roman" w:hAnsi="Times New Roman" w:eastAsia="宋体"/>
          <w:bCs/>
          <w:sz w:val="28"/>
          <w:szCs w:val="28"/>
          <w:lang w:val="en-US" w:eastAsia="zh-CN"/>
        </w:rPr>
        <w:t>柒</w:t>
      </w:r>
      <w:r>
        <w:rPr>
          <w:rFonts w:ascii="Times New Roman" w:hAnsi="Times New Roman" w:eastAsia="宋体"/>
          <w:bCs/>
          <w:sz w:val="28"/>
          <w:szCs w:val="28"/>
        </w:rPr>
        <w:t>份，中文书写。甲方执</w:t>
      </w:r>
      <w:r>
        <w:rPr>
          <w:rFonts w:hint="eastAsia" w:ascii="Times New Roman" w:hAnsi="Times New Roman" w:eastAsia="宋体"/>
          <w:bCs/>
          <w:sz w:val="28"/>
          <w:szCs w:val="28"/>
          <w:lang w:val="en-US" w:eastAsia="zh-CN"/>
        </w:rPr>
        <w:t>肆</w:t>
      </w:r>
      <w:r>
        <w:rPr>
          <w:rFonts w:ascii="Times New Roman" w:hAnsi="Times New Roman" w:eastAsia="宋体"/>
          <w:bCs/>
          <w:sz w:val="28"/>
          <w:szCs w:val="28"/>
        </w:rPr>
        <w:t>份、乙方执</w:t>
      </w:r>
      <w:r>
        <w:rPr>
          <w:rFonts w:hint="eastAsia" w:ascii="Times New Roman" w:hAnsi="Times New Roman" w:eastAsia="宋体"/>
          <w:bCs/>
          <w:sz w:val="28"/>
          <w:szCs w:val="28"/>
          <w:lang w:val="en-US" w:eastAsia="zh-CN"/>
        </w:rPr>
        <w:t>贰</w:t>
      </w:r>
      <w:r>
        <w:rPr>
          <w:rFonts w:ascii="Times New Roman" w:hAnsi="Times New Roman" w:eastAsia="宋体"/>
          <w:bCs/>
          <w:sz w:val="28"/>
          <w:szCs w:val="28"/>
        </w:rPr>
        <w:t>份，招投标代理公司</w:t>
      </w:r>
      <w:bookmarkStart w:id="1" w:name="_Hlk165901741"/>
      <w:r>
        <w:rPr>
          <w:rFonts w:ascii="Times New Roman" w:hAnsi="Times New Roman" w:eastAsia="宋体"/>
          <w:bCs/>
          <w:sz w:val="28"/>
          <w:szCs w:val="28"/>
        </w:rPr>
        <w:t>执</w:t>
      </w:r>
      <w:bookmarkEnd w:id="1"/>
      <w:r>
        <w:rPr>
          <w:rFonts w:hint="eastAsia" w:ascii="Times New Roman" w:hAnsi="Times New Roman" w:eastAsia="宋体"/>
          <w:bCs/>
          <w:sz w:val="28"/>
          <w:szCs w:val="28"/>
          <w:lang w:val="en-US" w:eastAsia="zh-CN"/>
        </w:rPr>
        <w:t>壹</w:t>
      </w:r>
      <w:r>
        <w:rPr>
          <w:rFonts w:ascii="Times New Roman" w:hAnsi="Times New Roman" w:eastAsia="宋体"/>
          <w:bCs/>
          <w:sz w:val="28"/>
          <w:szCs w:val="28"/>
        </w:rPr>
        <w:t>份。</w:t>
      </w:r>
    </w:p>
    <w:p w14:paraId="2F7FAA85">
      <w:pPr>
        <w:snapToGrid w:val="0"/>
        <w:spacing w:line="600" w:lineRule="exact"/>
        <w:ind w:right="-403" w:rightChars="-126"/>
        <w:rPr>
          <w:rFonts w:ascii="Times New Roman" w:hAnsi="Times New Roman" w:eastAsia="宋体"/>
          <w:sz w:val="28"/>
          <w:szCs w:val="28"/>
        </w:rPr>
      </w:pPr>
      <w:r>
        <w:rPr>
          <w:rFonts w:ascii="Times New Roman" w:hAnsi="Times New Roman" w:eastAsia="宋体"/>
          <w:sz w:val="28"/>
          <w:szCs w:val="28"/>
        </w:rPr>
        <w:t>甲方：</w:t>
      </w:r>
      <w:r>
        <w:rPr>
          <w:rFonts w:ascii="Times New Roman" w:hAnsi="Times New Roman" w:eastAsia="宋体"/>
          <w:sz w:val="28"/>
          <w:szCs w:val="28"/>
          <w:u w:val="single"/>
        </w:rPr>
        <w:t xml:space="preserve">        </w:t>
      </w:r>
      <w:r>
        <w:rPr>
          <w:rFonts w:ascii="Times New Roman" w:hAnsi="Times New Roman" w:eastAsia="宋体"/>
          <w:b/>
          <w:sz w:val="28"/>
          <w:szCs w:val="28"/>
          <w:u w:val="single"/>
        </w:rPr>
        <w:t>海南省地质调查院</w:t>
      </w:r>
      <w:r>
        <w:rPr>
          <w:rFonts w:ascii="Times New Roman" w:hAnsi="Times New Roman" w:eastAsia="宋体"/>
          <w:sz w:val="28"/>
          <w:szCs w:val="28"/>
          <w:u w:val="single"/>
        </w:rPr>
        <w:t xml:space="preserve">      </w:t>
      </w:r>
      <w:r>
        <w:rPr>
          <w:rFonts w:ascii="Times New Roman" w:hAnsi="Times New Roman" w:eastAsia="宋体"/>
          <w:sz w:val="28"/>
          <w:szCs w:val="28"/>
        </w:rPr>
        <w:t xml:space="preserve">   </w:t>
      </w:r>
    </w:p>
    <w:p w14:paraId="44518535">
      <w:pPr>
        <w:snapToGrid w:val="0"/>
        <w:spacing w:line="600" w:lineRule="exact"/>
        <w:ind w:right="-403" w:rightChars="-126"/>
        <w:rPr>
          <w:rFonts w:ascii="Times New Roman" w:hAnsi="Times New Roman" w:eastAsia="宋体"/>
          <w:sz w:val="28"/>
          <w:szCs w:val="28"/>
        </w:rPr>
      </w:pPr>
      <w:r>
        <w:rPr>
          <w:rFonts w:ascii="Times New Roman" w:hAnsi="Times New Roman" w:eastAsia="宋体"/>
          <w:sz w:val="28"/>
          <w:szCs w:val="28"/>
        </w:rPr>
        <w:t>法定（或授权）代表人：</w:t>
      </w:r>
      <w:r>
        <w:rPr>
          <w:rFonts w:ascii="Times New Roman" w:hAnsi="Times New Roman" w:eastAsia="宋体"/>
          <w:sz w:val="28"/>
          <w:szCs w:val="28"/>
          <w:u w:val="single"/>
        </w:rPr>
        <w:t xml:space="preserve">          </w:t>
      </w:r>
      <w:r>
        <w:rPr>
          <w:rFonts w:ascii="Times New Roman" w:hAnsi="Times New Roman" w:eastAsia="宋体"/>
          <w:sz w:val="28"/>
          <w:szCs w:val="28"/>
        </w:rPr>
        <w:t xml:space="preserve"> </w:t>
      </w:r>
    </w:p>
    <w:p w14:paraId="317ADE33">
      <w:pPr>
        <w:snapToGrid w:val="0"/>
        <w:spacing w:line="600" w:lineRule="exact"/>
        <w:ind w:right="-403" w:rightChars="-126"/>
        <w:rPr>
          <w:rFonts w:ascii="Times New Roman" w:hAnsi="Times New Roman" w:eastAsia="宋体"/>
          <w:sz w:val="28"/>
          <w:szCs w:val="28"/>
        </w:rPr>
      </w:pPr>
      <w:r>
        <w:rPr>
          <w:rFonts w:ascii="Times New Roman" w:hAnsi="Times New Roman" w:eastAsia="宋体"/>
          <w:sz w:val="28"/>
          <w:szCs w:val="28"/>
        </w:rPr>
        <w:t>开户银行：</w:t>
      </w:r>
      <w:r>
        <w:rPr>
          <w:rFonts w:hint="eastAsia" w:ascii="Times New Roman" w:hAnsi="Times New Roman" w:eastAsia="宋体"/>
          <w:sz w:val="28"/>
          <w:szCs w:val="28"/>
        </w:rPr>
        <w:t>中行</w:t>
      </w:r>
      <w:r>
        <w:rPr>
          <w:rFonts w:ascii="Times New Roman" w:hAnsi="Times New Roman" w:eastAsia="宋体"/>
          <w:sz w:val="28"/>
          <w:szCs w:val="28"/>
        </w:rPr>
        <w:t>海口秀英支行</w:t>
      </w:r>
    </w:p>
    <w:p w14:paraId="3E90D950">
      <w:pPr>
        <w:snapToGrid w:val="0"/>
        <w:spacing w:line="600" w:lineRule="exact"/>
        <w:rPr>
          <w:rFonts w:ascii="Times New Roman" w:hAnsi="Times New Roman" w:eastAsia="宋体"/>
          <w:sz w:val="28"/>
          <w:szCs w:val="28"/>
        </w:rPr>
      </w:pPr>
      <w:r>
        <w:rPr>
          <w:rFonts w:ascii="Times New Roman" w:hAnsi="Times New Roman" w:eastAsia="宋体"/>
          <w:sz w:val="28"/>
          <w:szCs w:val="28"/>
        </w:rPr>
        <w:t>银行账户：2650 1575 0229</w:t>
      </w:r>
    </w:p>
    <w:p w14:paraId="03A03E32">
      <w:pPr>
        <w:snapToGrid w:val="0"/>
        <w:spacing w:line="600" w:lineRule="exact"/>
        <w:ind w:right="-403" w:rightChars="-126"/>
        <w:rPr>
          <w:rFonts w:ascii="Times New Roman" w:hAnsi="Times New Roman" w:eastAsia="宋体"/>
          <w:sz w:val="28"/>
          <w:szCs w:val="28"/>
        </w:rPr>
      </w:pPr>
      <w:r>
        <w:rPr>
          <w:rFonts w:ascii="Times New Roman" w:hAnsi="Times New Roman" w:eastAsia="宋体"/>
          <w:sz w:val="28"/>
          <w:szCs w:val="28"/>
        </w:rPr>
        <w:t>签订日期：</w:t>
      </w:r>
      <w:r>
        <w:rPr>
          <w:rFonts w:ascii="Times New Roman" w:hAnsi="Times New Roman" w:eastAsia="宋体"/>
          <w:sz w:val="28"/>
          <w:szCs w:val="28"/>
          <w:u w:val="single"/>
        </w:rPr>
        <w:t xml:space="preserve">       </w:t>
      </w:r>
      <w:r>
        <w:rPr>
          <w:rFonts w:ascii="Times New Roman" w:hAnsi="Times New Roman" w:eastAsia="宋体"/>
          <w:sz w:val="28"/>
          <w:szCs w:val="28"/>
        </w:rPr>
        <w:t>年</w:t>
      </w:r>
      <w:r>
        <w:rPr>
          <w:rFonts w:ascii="Times New Roman" w:hAnsi="Times New Roman" w:eastAsia="宋体"/>
          <w:sz w:val="28"/>
          <w:szCs w:val="28"/>
          <w:u w:val="single"/>
        </w:rPr>
        <w:t xml:space="preserve">     </w:t>
      </w:r>
      <w:r>
        <w:rPr>
          <w:rFonts w:ascii="Times New Roman" w:hAnsi="Times New Roman" w:eastAsia="宋体"/>
          <w:sz w:val="28"/>
          <w:szCs w:val="28"/>
        </w:rPr>
        <w:t>月</w:t>
      </w:r>
      <w:r>
        <w:rPr>
          <w:rFonts w:ascii="Times New Roman" w:hAnsi="Times New Roman" w:eastAsia="宋体"/>
          <w:sz w:val="28"/>
          <w:szCs w:val="28"/>
          <w:u w:val="single"/>
        </w:rPr>
        <w:t xml:space="preserve">    </w:t>
      </w:r>
      <w:r>
        <w:rPr>
          <w:rFonts w:ascii="Times New Roman" w:hAnsi="Times New Roman" w:eastAsia="宋体"/>
          <w:sz w:val="28"/>
          <w:szCs w:val="28"/>
        </w:rPr>
        <w:t xml:space="preserve">日   </w:t>
      </w:r>
    </w:p>
    <w:p w14:paraId="1C9601D9">
      <w:pPr>
        <w:snapToGrid w:val="0"/>
        <w:spacing w:line="600" w:lineRule="exact"/>
        <w:ind w:right="-403" w:rightChars="-126"/>
        <w:rPr>
          <w:rFonts w:ascii="Times New Roman" w:hAnsi="Times New Roman" w:eastAsia="宋体"/>
          <w:sz w:val="28"/>
          <w:szCs w:val="28"/>
        </w:rPr>
      </w:pPr>
    </w:p>
    <w:p w14:paraId="2B2F8834">
      <w:pPr>
        <w:snapToGrid w:val="0"/>
        <w:spacing w:line="600" w:lineRule="exact"/>
        <w:ind w:right="-403" w:rightChars="-126"/>
        <w:rPr>
          <w:rFonts w:ascii="Times New Roman" w:hAnsi="Times New Roman" w:eastAsia="宋体"/>
          <w:sz w:val="28"/>
          <w:szCs w:val="28"/>
        </w:rPr>
      </w:pPr>
      <w:r>
        <w:rPr>
          <w:rFonts w:ascii="Times New Roman" w:hAnsi="Times New Roman" w:eastAsia="宋体"/>
          <w:sz w:val="28"/>
          <w:szCs w:val="28"/>
        </w:rPr>
        <w:t>乙方：</w:t>
      </w:r>
      <w:r>
        <w:rPr>
          <w:rFonts w:ascii="Times New Roman" w:hAnsi="Times New Roman" w:eastAsia="宋体"/>
          <w:sz w:val="28"/>
          <w:szCs w:val="28"/>
          <w:u w:val="single"/>
        </w:rPr>
        <w:t xml:space="preserve">  </w:t>
      </w:r>
      <w:r>
        <w:rPr>
          <w:rFonts w:hint="eastAsia" w:ascii="Times New Roman" w:hAnsi="Times New Roman" w:eastAsia="宋体"/>
          <w:sz w:val="28"/>
          <w:szCs w:val="28"/>
          <w:u w:val="single"/>
        </w:rPr>
        <w:t xml:space="preserve">       </w:t>
      </w:r>
      <w:r>
        <w:rPr>
          <w:rFonts w:ascii="Times New Roman" w:hAnsi="Times New Roman" w:eastAsia="宋体"/>
          <w:b/>
          <w:sz w:val="28"/>
          <w:szCs w:val="28"/>
          <w:u w:val="single"/>
        </w:rPr>
        <w:t xml:space="preserve">  </w:t>
      </w:r>
    </w:p>
    <w:p w14:paraId="3002DCDE">
      <w:pPr>
        <w:snapToGrid w:val="0"/>
        <w:spacing w:line="600" w:lineRule="exact"/>
        <w:rPr>
          <w:rFonts w:ascii="Times New Roman" w:hAnsi="Times New Roman" w:eastAsia="宋体"/>
          <w:sz w:val="28"/>
          <w:szCs w:val="28"/>
          <w:u w:val="single"/>
        </w:rPr>
      </w:pPr>
      <w:r>
        <w:rPr>
          <w:rFonts w:ascii="Times New Roman" w:hAnsi="Times New Roman" w:eastAsia="宋体"/>
          <w:sz w:val="28"/>
          <w:szCs w:val="28"/>
        </w:rPr>
        <w:t>法定（或授权）代表人：</w:t>
      </w:r>
      <w:r>
        <w:rPr>
          <w:rFonts w:ascii="Times New Roman" w:hAnsi="Times New Roman" w:eastAsia="宋体"/>
          <w:sz w:val="28"/>
          <w:szCs w:val="28"/>
          <w:u w:val="single"/>
        </w:rPr>
        <w:t xml:space="preserve">          </w:t>
      </w:r>
    </w:p>
    <w:p w14:paraId="4936D6A7">
      <w:pPr>
        <w:snapToGrid w:val="0"/>
        <w:spacing w:line="600" w:lineRule="exact"/>
        <w:rPr>
          <w:rFonts w:ascii="Times New Roman" w:hAnsi="Times New Roman" w:eastAsia="宋体"/>
          <w:sz w:val="28"/>
          <w:szCs w:val="28"/>
        </w:rPr>
      </w:pPr>
      <w:r>
        <w:rPr>
          <w:rFonts w:ascii="Times New Roman" w:hAnsi="Times New Roman" w:eastAsia="宋体"/>
          <w:sz w:val="28"/>
          <w:szCs w:val="28"/>
        </w:rPr>
        <w:t>开户银行：</w:t>
      </w:r>
    </w:p>
    <w:p w14:paraId="341BF143">
      <w:pPr>
        <w:snapToGrid w:val="0"/>
        <w:spacing w:line="600" w:lineRule="exact"/>
        <w:rPr>
          <w:rFonts w:ascii="Times New Roman" w:hAnsi="Times New Roman" w:eastAsia="宋体"/>
          <w:sz w:val="28"/>
          <w:szCs w:val="28"/>
        </w:rPr>
      </w:pPr>
      <w:r>
        <w:rPr>
          <w:rFonts w:ascii="Times New Roman" w:hAnsi="Times New Roman" w:eastAsia="宋体"/>
          <w:sz w:val="28"/>
          <w:szCs w:val="28"/>
        </w:rPr>
        <w:t>银行账户：</w:t>
      </w:r>
    </w:p>
    <w:p w14:paraId="6612A53B">
      <w:pPr>
        <w:snapToGrid w:val="0"/>
        <w:spacing w:line="600" w:lineRule="exact"/>
        <w:rPr>
          <w:rFonts w:ascii="Times New Roman" w:hAnsi="Times New Roman" w:eastAsia="宋体"/>
          <w:sz w:val="28"/>
          <w:szCs w:val="28"/>
        </w:rPr>
      </w:pPr>
      <w:r>
        <w:rPr>
          <w:rFonts w:ascii="Times New Roman" w:hAnsi="Times New Roman" w:eastAsia="宋体"/>
          <w:sz w:val="28"/>
          <w:szCs w:val="28"/>
        </w:rPr>
        <w:t xml:space="preserve">签订日期： </w:t>
      </w:r>
      <w:r>
        <w:rPr>
          <w:rFonts w:ascii="Times New Roman" w:hAnsi="Times New Roman" w:eastAsia="宋体"/>
          <w:sz w:val="28"/>
          <w:szCs w:val="28"/>
          <w:u w:val="single"/>
        </w:rPr>
        <w:t xml:space="preserve">       </w:t>
      </w:r>
      <w:r>
        <w:rPr>
          <w:rFonts w:ascii="Times New Roman" w:hAnsi="Times New Roman" w:eastAsia="宋体"/>
          <w:sz w:val="28"/>
          <w:szCs w:val="28"/>
        </w:rPr>
        <w:t>年</w:t>
      </w:r>
      <w:r>
        <w:rPr>
          <w:rFonts w:ascii="Times New Roman" w:hAnsi="Times New Roman" w:eastAsia="宋体"/>
          <w:sz w:val="28"/>
          <w:szCs w:val="28"/>
          <w:u w:val="single"/>
        </w:rPr>
        <w:t xml:space="preserve">    </w:t>
      </w:r>
      <w:r>
        <w:rPr>
          <w:rFonts w:ascii="Times New Roman" w:hAnsi="Times New Roman" w:eastAsia="宋体"/>
          <w:sz w:val="28"/>
          <w:szCs w:val="28"/>
        </w:rPr>
        <w:t>月</w:t>
      </w:r>
      <w:r>
        <w:rPr>
          <w:rFonts w:ascii="Times New Roman" w:hAnsi="Times New Roman" w:eastAsia="宋体"/>
          <w:sz w:val="28"/>
          <w:szCs w:val="28"/>
          <w:u w:val="single"/>
        </w:rPr>
        <w:t xml:space="preserve">    </w:t>
      </w:r>
      <w:r>
        <w:rPr>
          <w:rFonts w:ascii="Times New Roman" w:hAnsi="Times New Roman" w:eastAsia="宋体"/>
          <w:sz w:val="28"/>
          <w:szCs w:val="28"/>
        </w:rPr>
        <w:t>日</w:t>
      </w:r>
    </w:p>
    <w:p w14:paraId="25B3E8D6">
      <w:pPr>
        <w:snapToGrid w:val="0"/>
        <w:spacing w:line="600" w:lineRule="exact"/>
        <w:jc w:val="right"/>
        <w:rPr>
          <w:rFonts w:ascii="Times New Roman" w:hAnsi="Times New Roman" w:eastAsia="宋体"/>
          <w:sz w:val="28"/>
          <w:szCs w:val="28"/>
        </w:rPr>
      </w:pPr>
    </w:p>
    <w:p w14:paraId="481C2ECB">
      <w:pPr>
        <w:snapToGrid w:val="0"/>
        <w:spacing w:line="600" w:lineRule="exact"/>
        <w:rPr>
          <w:rFonts w:ascii="Times New Roman" w:hAnsi="Times New Roman" w:eastAsia="宋体"/>
          <w:sz w:val="28"/>
          <w:szCs w:val="28"/>
          <w:u w:val="single"/>
        </w:rPr>
      </w:pPr>
      <w:r>
        <w:rPr>
          <w:rFonts w:ascii="Times New Roman" w:hAnsi="Times New Roman" w:eastAsia="宋体"/>
          <w:sz w:val="28"/>
          <w:szCs w:val="28"/>
        </w:rPr>
        <w:t>招投标代理公司：</w:t>
      </w:r>
      <w:r>
        <w:rPr>
          <w:rFonts w:ascii="Times New Roman" w:hAnsi="Times New Roman" w:eastAsia="宋体"/>
          <w:b/>
          <w:bCs/>
          <w:sz w:val="28"/>
          <w:szCs w:val="28"/>
          <w:u w:val="single"/>
        </w:rPr>
        <w:t>海南和信源招标代理有限公司</w:t>
      </w:r>
    </w:p>
    <w:p w14:paraId="3333924E">
      <w:pPr>
        <w:snapToGrid w:val="0"/>
        <w:spacing w:line="600" w:lineRule="exact"/>
        <w:rPr>
          <w:rFonts w:ascii="Times New Roman" w:hAnsi="Times New Roman" w:eastAsia="宋体"/>
          <w:sz w:val="28"/>
          <w:szCs w:val="28"/>
          <w:u w:val="single"/>
        </w:rPr>
      </w:pPr>
      <w:r>
        <w:rPr>
          <w:rFonts w:ascii="Times New Roman" w:hAnsi="Times New Roman" w:eastAsia="宋体"/>
          <w:sz w:val="28"/>
          <w:szCs w:val="28"/>
        </w:rPr>
        <w:t>法定（或授权）代表人：</w:t>
      </w:r>
      <w:r>
        <w:rPr>
          <w:rFonts w:ascii="Times New Roman" w:hAnsi="Times New Roman" w:eastAsia="宋体"/>
          <w:sz w:val="28"/>
          <w:szCs w:val="28"/>
          <w:u w:val="single"/>
        </w:rPr>
        <w:t xml:space="preserve">          </w:t>
      </w:r>
      <w:r>
        <w:rPr>
          <w:rFonts w:ascii="Times New Roman" w:hAnsi="Times New Roman" w:eastAsia="宋体"/>
          <w:sz w:val="28"/>
          <w:szCs w:val="28"/>
        </w:rPr>
        <w:t xml:space="preserve">   </w:t>
      </w:r>
    </w:p>
    <w:p w14:paraId="76E9311F">
      <w:pPr>
        <w:snapToGrid w:val="0"/>
        <w:spacing w:line="600" w:lineRule="exact"/>
        <w:rPr>
          <w:rFonts w:ascii="Times New Roman" w:hAnsi="Times New Roman" w:eastAsia="宋体"/>
          <w:sz w:val="28"/>
          <w:szCs w:val="28"/>
        </w:rPr>
      </w:pPr>
      <w:r>
        <w:rPr>
          <w:rFonts w:ascii="Times New Roman" w:hAnsi="Times New Roman" w:eastAsia="宋体"/>
          <w:sz w:val="28"/>
          <w:szCs w:val="28"/>
        </w:rPr>
        <w:t>签订日期：</w:t>
      </w:r>
      <w:r>
        <w:rPr>
          <w:rFonts w:ascii="Times New Roman" w:hAnsi="Times New Roman" w:eastAsia="宋体"/>
          <w:sz w:val="28"/>
          <w:szCs w:val="28"/>
          <w:u w:val="single"/>
        </w:rPr>
        <w:t xml:space="preserve">       </w:t>
      </w:r>
      <w:r>
        <w:rPr>
          <w:rFonts w:ascii="Times New Roman" w:hAnsi="Times New Roman" w:eastAsia="宋体"/>
          <w:sz w:val="28"/>
          <w:szCs w:val="28"/>
        </w:rPr>
        <w:t>年</w:t>
      </w:r>
      <w:r>
        <w:rPr>
          <w:rFonts w:ascii="Times New Roman" w:hAnsi="Times New Roman" w:eastAsia="宋体"/>
          <w:sz w:val="28"/>
          <w:szCs w:val="28"/>
          <w:u w:val="single"/>
        </w:rPr>
        <w:t xml:space="preserve">     </w:t>
      </w:r>
      <w:r>
        <w:rPr>
          <w:rFonts w:ascii="Times New Roman" w:hAnsi="Times New Roman" w:eastAsia="宋体"/>
          <w:sz w:val="28"/>
          <w:szCs w:val="28"/>
        </w:rPr>
        <w:t>月</w:t>
      </w:r>
      <w:r>
        <w:rPr>
          <w:rFonts w:ascii="Times New Roman" w:hAnsi="Times New Roman" w:eastAsia="宋体"/>
          <w:sz w:val="28"/>
          <w:szCs w:val="28"/>
          <w:u w:val="single"/>
        </w:rPr>
        <w:t xml:space="preserve">    </w:t>
      </w:r>
      <w:r>
        <w:rPr>
          <w:rFonts w:ascii="Times New Roman" w:hAnsi="Times New Roman" w:eastAsia="宋体"/>
          <w:sz w:val="28"/>
          <w:szCs w:val="28"/>
        </w:rPr>
        <w:t>日</w:t>
      </w:r>
    </w:p>
    <w:p w14:paraId="57290522">
      <w:pPr>
        <w:snapToGrid w:val="0"/>
        <w:spacing w:line="600" w:lineRule="exact"/>
        <w:rPr>
          <w:rFonts w:ascii="Times New Roman" w:hAnsi="Times New Roman" w:eastAsia="宋体"/>
          <w:sz w:val="28"/>
          <w:szCs w:val="28"/>
        </w:rPr>
      </w:pPr>
      <w:r>
        <w:rPr>
          <w:rFonts w:ascii="Times New Roman" w:hAnsi="Times New Roman" w:eastAsia="宋体"/>
          <w:sz w:val="28"/>
          <w:szCs w:val="28"/>
        </w:rPr>
        <w:br w:type="page"/>
      </w:r>
      <w:r>
        <w:rPr>
          <w:rFonts w:ascii="Times New Roman" w:hAnsi="Times New Roman" w:eastAsia="宋体"/>
          <w:sz w:val="28"/>
          <w:szCs w:val="28"/>
        </w:rPr>
        <w:t>附件：中标通知书</w:t>
      </w:r>
    </w:p>
    <w:p w14:paraId="63FF0361"/>
    <w:p w14:paraId="078FF9A6"/>
    <w:p w14:paraId="19A6DA32"/>
    <w:p w14:paraId="40811F4D">
      <w:pPr>
        <w:sectPr>
          <w:pgSz w:w="11906" w:h="16838"/>
          <w:pgMar w:top="1440" w:right="1800" w:bottom="1440" w:left="1800" w:header="851" w:footer="992" w:gutter="0"/>
          <w:cols w:space="425" w:num="1"/>
          <w:docGrid w:type="lines" w:linePitch="312" w:charSpace="0"/>
        </w:sectPr>
      </w:pPr>
    </w:p>
    <w:p w14:paraId="48861DA3">
      <w:pPr>
        <w:ind w:right="-1"/>
        <w:jc w:val="center"/>
        <w:outlineLvl w:val="0"/>
        <w:rPr>
          <w:rFonts w:ascii="宋体" w:hAnsi="宋体" w:cs="宋体"/>
          <w:b/>
          <w:spacing w:val="10"/>
          <w:sz w:val="44"/>
          <w:szCs w:val="44"/>
        </w:rPr>
      </w:pPr>
      <w:bookmarkStart w:id="2" w:name="_Toc11030"/>
      <w:bookmarkStart w:id="3" w:name="_Toc10878"/>
    </w:p>
    <w:p w14:paraId="2FB6209E">
      <w:pPr>
        <w:ind w:right="-1"/>
        <w:jc w:val="center"/>
        <w:outlineLvl w:val="0"/>
        <w:rPr>
          <w:rFonts w:ascii="宋体" w:hAnsi="宋体" w:cs="宋体"/>
          <w:b/>
          <w:spacing w:val="10"/>
          <w:sz w:val="44"/>
          <w:szCs w:val="44"/>
        </w:rPr>
      </w:pPr>
      <w:r>
        <w:rPr>
          <w:rFonts w:hint="eastAsia" w:ascii="宋体" w:hAnsi="宋体" w:cs="宋体"/>
          <w:b/>
          <w:spacing w:val="10"/>
          <w:sz w:val="44"/>
          <w:szCs w:val="44"/>
        </w:rPr>
        <w:t xml:space="preserve"> 海南陆域锆铪矿调查评价-岩（矿）石鉴定与试验</w:t>
      </w:r>
      <w:bookmarkEnd w:id="2"/>
      <w:bookmarkEnd w:id="3"/>
    </w:p>
    <w:p w14:paraId="2114B798">
      <w:pPr>
        <w:jc w:val="center"/>
        <w:rPr>
          <w:rFonts w:eastAsia="宋体"/>
          <w:b/>
          <w:sz w:val="48"/>
          <w:szCs w:val="48"/>
        </w:rPr>
      </w:pPr>
    </w:p>
    <w:p w14:paraId="30046B90">
      <w:pPr>
        <w:pStyle w:val="2"/>
        <w:jc w:val="center"/>
      </w:pPr>
      <w:r>
        <w:t>（</w:t>
      </w:r>
      <w:r>
        <w:rPr>
          <w:rFonts w:hint="eastAsia"/>
        </w:rPr>
        <w:t>项目</w:t>
      </w:r>
      <w:r>
        <w:t>编号：</w:t>
      </w:r>
      <w:r>
        <w:rPr>
          <w:rFonts w:hint="eastAsia"/>
        </w:rPr>
        <w:t xml:space="preserve"> [HNHXY]20250400002[CS]</w:t>
      </w:r>
      <w:r>
        <w:t>）</w:t>
      </w:r>
    </w:p>
    <w:p w14:paraId="6B76429F">
      <w:pPr>
        <w:pStyle w:val="2"/>
        <w:jc w:val="center"/>
      </w:pPr>
      <w:r>
        <w:rPr>
          <w:rFonts w:hint="eastAsia"/>
        </w:rPr>
        <w:t>(省地质局项目编号：      )</w:t>
      </w:r>
    </w:p>
    <w:p w14:paraId="43BC8468">
      <w:pPr>
        <w:jc w:val="center"/>
        <w:rPr>
          <w:rFonts w:eastAsia="宋体"/>
          <w:b/>
          <w:sz w:val="44"/>
          <w:szCs w:val="44"/>
        </w:rPr>
      </w:pPr>
    </w:p>
    <w:p w14:paraId="1C25F340">
      <w:pPr>
        <w:jc w:val="center"/>
        <w:rPr>
          <w:rFonts w:hAnsi="宋体" w:eastAsia="宋体"/>
          <w:b/>
          <w:sz w:val="80"/>
          <w:szCs w:val="80"/>
        </w:rPr>
      </w:pPr>
      <w:r>
        <w:rPr>
          <w:rFonts w:hint="eastAsia" w:hAnsi="宋体" w:eastAsia="宋体"/>
          <w:b/>
          <w:sz w:val="80"/>
          <w:szCs w:val="80"/>
        </w:rPr>
        <w:t>合    同    书</w:t>
      </w:r>
    </w:p>
    <w:p w14:paraId="21BD5B21">
      <w:pPr>
        <w:jc w:val="left"/>
        <w:rPr>
          <w:rFonts w:eastAsia="宋体"/>
          <w:szCs w:val="28"/>
        </w:rPr>
      </w:pPr>
    </w:p>
    <w:p w14:paraId="3DBF1CAE">
      <w:pPr>
        <w:ind w:firstLine="800" w:firstLineChars="250"/>
        <w:jc w:val="left"/>
        <w:rPr>
          <w:rFonts w:eastAsia="宋体"/>
          <w:b/>
          <w:szCs w:val="28"/>
        </w:rPr>
      </w:pPr>
      <w:r>
        <w:rPr>
          <w:rFonts w:eastAsia="宋体"/>
          <w:szCs w:val="28"/>
        </w:rPr>
        <w:t xml:space="preserve"> </w:t>
      </w:r>
      <w:r>
        <w:rPr>
          <w:rFonts w:hAnsi="宋体" w:eastAsia="宋体"/>
          <w:b/>
          <w:szCs w:val="28"/>
        </w:rPr>
        <w:t>甲</w:t>
      </w:r>
      <w:r>
        <w:rPr>
          <w:rFonts w:eastAsia="宋体"/>
          <w:b/>
          <w:szCs w:val="28"/>
        </w:rPr>
        <w:t xml:space="preserve">      </w:t>
      </w:r>
      <w:r>
        <w:rPr>
          <w:rFonts w:hAnsi="宋体" w:eastAsia="宋体"/>
          <w:b/>
          <w:szCs w:val="28"/>
        </w:rPr>
        <w:t>方：</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p>
    <w:p w14:paraId="43C3851E">
      <w:pPr>
        <w:jc w:val="left"/>
        <w:rPr>
          <w:rFonts w:eastAsia="宋体"/>
          <w:b/>
          <w:szCs w:val="28"/>
          <w:u w:val="single"/>
        </w:rPr>
      </w:pPr>
      <w:r>
        <w:rPr>
          <w:rFonts w:eastAsia="宋体"/>
          <w:b/>
          <w:szCs w:val="28"/>
        </w:rPr>
        <w:t xml:space="preserve">      </w:t>
      </w:r>
      <w:r>
        <w:rPr>
          <w:rFonts w:hAnsi="宋体" w:eastAsia="宋体"/>
          <w:b/>
          <w:szCs w:val="28"/>
        </w:rPr>
        <w:t>联</w:t>
      </w:r>
      <w:r>
        <w:rPr>
          <w:rFonts w:eastAsia="宋体"/>
          <w:b/>
          <w:szCs w:val="28"/>
        </w:rPr>
        <w:t xml:space="preserve">  </w:t>
      </w:r>
      <w:r>
        <w:rPr>
          <w:rFonts w:hAnsi="宋体" w:eastAsia="宋体"/>
          <w:b/>
          <w:szCs w:val="28"/>
        </w:rPr>
        <w:t>系</w:t>
      </w:r>
      <w:r>
        <w:rPr>
          <w:rFonts w:eastAsia="宋体"/>
          <w:b/>
          <w:szCs w:val="28"/>
        </w:rPr>
        <w:t xml:space="preserve">  </w:t>
      </w:r>
      <w:r>
        <w:rPr>
          <w:rFonts w:hAnsi="宋体" w:eastAsia="宋体"/>
          <w:b/>
          <w:szCs w:val="28"/>
        </w:rPr>
        <w:t>人：</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p>
    <w:p w14:paraId="271F9632">
      <w:pPr>
        <w:jc w:val="left"/>
        <w:rPr>
          <w:rFonts w:eastAsia="宋体"/>
          <w:b/>
          <w:szCs w:val="28"/>
          <w:u w:val="single"/>
        </w:rPr>
      </w:pPr>
      <w:r>
        <w:rPr>
          <w:rFonts w:eastAsia="宋体"/>
          <w:b/>
          <w:spacing w:val="38"/>
          <w:szCs w:val="28"/>
        </w:rPr>
        <w:t xml:space="preserve">    </w:t>
      </w:r>
      <w:r>
        <w:rPr>
          <w:rFonts w:hAnsi="宋体" w:eastAsia="宋体"/>
          <w:b/>
          <w:spacing w:val="38"/>
          <w:szCs w:val="28"/>
        </w:rPr>
        <w:t>联系电话</w:t>
      </w:r>
      <w:r>
        <w:rPr>
          <w:rFonts w:hAnsi="宋体" w:eastAsia="宋体"/>
          <w:b/>
          <w:szCs w:val="28"/>
        </w:rPr>
        <w:t>：</w:t>
      </w:r>
      <w:r>
        <w:rPr>
          <w:rFonts w:ascii="宋体" w:hAnsi="宋体" w:eastAsia="宋体"/>
          <w:b/>
          <w:szCs w:val="28"/>
          <w:u w:val="single"/>
        </w:rPr>
        <w:t xml:space="preserve">                   </w:t>
      </w:r>
      <w:r>
        <w:rPr>
          <w:rFonts w:hint="eastAsia" w:ascii="宋体" w:hAnsi="宋体" w:eastAsia="宋体"/>
          <w:b/>
          <w:szCs w:val="28"/>
          <w:u w:val="single"/>
        </w:rPr>
        <w:t xml:space="preserve">          </w:t>
      </w:r>
    </w:p>
    <w:p w14:paraId="3C7C70A4">
      <w:pPr>
        <w:jc w:val="left"/>
        <w:rPr>
          <w:rFonts w:eastAsia="宋体"/>
          <w:b/>
          <w:szCs w:val="28"/>
        </w:rPr>
      </w:pPr>
    </w:p>
    <w:p w14:paraId="269C86B2">
      <w:pPr>
        <w:jc w:val="left"/>
        <w:rPr>
          <w:rFonts w:ascii="宋体" w:hAnsi="宋体" w:eastAsia="宋体"/>
          <w:b/>
          <w:szCs w:val="28"/>
          <w:u w:val="single"/>
        </w:rPr>
      </w:pPr>
      <w:r>
        <w:rPr>
          <w:rFonts w:ascii="宋体" w:hAnsi="宋体" w:eastAsia="宋体"/>
          <w:b/>
          <w:szCs w:val="28"/>
        </w:rPr>
        <w:t xml:space="preserve">      乙      方：</w:t>
      </w:r>
      <w:r>
        <w:rPr>
          <w:rFonts w:hint="eastAsia" w:ascii="宋体" w:hAnsi="宋体" w:eastAsia="宋体"/>
          <w:b/>
          <w:szCs w:val="28"/>
          <w:u w:val="single"/>
        </w:rPr>
        <w:t xml:space="preserve"> </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r>
        <w:rPr>
          <w:rFonts w:hint="eastAsia" w:ascii="宋体" w:hAnsi="宋体" w:eastAsia="宋体"/>
          <w:b/>
          <w:szCs w:val="28"/>
          <w:u w:val="single"/>
        </w:rPr>
        <w:t xml:space="preserve"> </w:t>
      </w:r>
    </w:p>
    <w:p w14:paraId="24710623">
      <w:pPr>
        <w:jc w:val="left"/>
        <w:rPr>
          <w:rFonts w:ascii="宋体" w:hAnsi="宋体" w:eastAsia="宋体"/>
          <w:b/>
          <w:szCs w:val="28"/>
          <w:u w:val="single"/>
        </w:rPr>
      </w:pPr>
      <w:r>
        <w:rPr>
          <w:rFonts w:ascii="宋体" w:hAnsi="宋体" w:eastAsia="宋体"/>
          <w:b/>
          <w:szCs w:val="28"/>
        </w:rPr>
        <w:t xml:space="preserve">      联  系  人：</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p>
    <w:p w14:paraId="55472453">
      <w:pPr>
        <w:jc w:val="left"/>
        <w:rPr>
          <w:rFonts w:ascii="宋体" w:hAnsi="宋体" w:eastAsia="宋体"/>
          <w:b/>
          <w:szCs w:val="28"/>
          <w:u w:val="single"/>
        </w:rPr>
      </w:pPr>
      <w:r>
        <w:rPr>
          <w:rFonts w:ascii="宋体" w:hAnsi="宋体" w:eastAsia="宋体"/>
          <w:b/>
          <w:spacing w:val="38"/>
          <w:szCs w:val="28"/>
        </w:rPr>
        <w:t xml:space="preserve">    联系电话</w:t>
      </w:r>
      <w:r>
        <w:rPr>
          <w:rFonts w:ascii="宋体" w:hAnsi="宋体" w:eastAsia="宋体"/>
          <w:b/>
          <w:szCs w:val="28"/>
        </w:rPr>
        <w:t>：</w:t>
      </w:r>
      <w:r>
        <w:rPr>
          <w:rFonts w:ascii="宋体" w:hAnsi="宋体" w:eastAsia="宋体"/>
          <w:b/>
          <w:szCs w:val="28"/>
          <w:u w:val="single"/>
        </w:rPr>
        <w:t xml:space="preserve">                   </w:t>
      </w:r>
      <w:r>
        <w:rPr>
          <w:rFonts w:hint="eastAsia" w:ascii="宋体" w:hAnsi="宋体" w:eastAsia="宋体"/>
          <w:b/>
          <w:szCs w:val="28"/>
          <w:u w:val="single"/>
        </w:rPr>
        <w:t xml:space="preserve"> </w:t>
      </w:r>
      <w:r>
        <w:rPr>
          <w:rFonts w:ascii="宋体" w:hAnsi="宋体" w:eastAsia="宋体"/>
          <w:b/>
          <w:szCs w:val="28"/>
          <w:u w:val="single"/>
        </w:rPr>
        <w:t xml:space="preserve">         </w:t>
      </w:r>
    </w:p>
    <w:p w14:paraId="5FD0B5E0">
      <w:pPr>
        <w:jc w:val="left"/>
        <w:rPr>
          <w:rFonts w:ascii="宋体" w:hAnsi="宋体" w:eastAsia="宋体"/>
          <w:b/>
          <w:szCs w:val="28"/>
        </w:rPr>
      </w:pPr>
    </w:p>
    <w:p w14:paraId="29CFB581">
      <w:pPr>
        <w:ind w:firstLine="946"/>
        <w:rPr>
          <w:rFonts w:ascii="宋体" w:hAnsi="宋体" w:eastAsia="宋体"/>
          <w:b/>
          <w:szCs w:val="28"/>
          <w:u w:val="single"/>
        </w:rPr>
      </w:pPr>
      <w:r>
        <w:rPr>
          <w:rFonts w:ascii="宋体" w:hAnsi="宋体" w:eastAsia="宋体"/>
          <w:b/>
          <w:spacing w:val="38"/>
          <w:szCs w:val="28"/>
        </w:rPr>
        <w:t>签订地点</w:t>
      </w:r>
      <w:r>
        <w:rPr>
          <w:rFonts w:ascii="宋体" w:hAnsi="宋体" w:eastAsia="宋体"/>
          <w:b/>
          <w:szCs w:val="28"/>
        </w:rPr>
        <w:t>：</w:t>
      </w:r>
      <w:r>
        <w:rPr>
          <w:rFonts w:ascii="宋体" w:hAnsi="宋体" w:eastAsia="宋体"/>
          <w:b/>
          <w:szCs w:val="28"/>
          <w:u w:val="single"/>
        </w:rPr>
        <w:t xml:space="preserve">          海口市   </w:t>
      </w:r>
      <w:r>
        <w:rPr>
          <w:rFonts w:hint="eastAsia" w:ascii="宋体" w:hAnsi="宋体" w:eastAsia="宋体"/>
          <w:b/>
          <w:szCs w:val="28"/>
          <w:u w:val="single"/>
        </w:rPr>
        <w:t xml:space="preserve">  </w:t>
      </w:r>
      <w:r>
        <w:rPr>
          <w:rFonts w:ascii="宋体" w:hAnsi="宋体" w:eastAsia="宋体"/>
          <w:b/>
          <w:szCs w:val="28"/>
          <w:u w:val="single"/>
        </w:rPr>
        <w:t xml:space="preserve">       </w:t>
      </w:r>
    </w:p>
    <w:p w14:paraId="2DA9B2D5">
      <w:pPr>
        <w:ind w:firstLine="946"/>
        <w:rPr>
          <w:rFonts w:ascii="宋体" w:hAnsi="宋体" w:eastAsia="宋体"/>
          <w:b/>
          <w:szCs w:val="28"/>
          <w:u w:val="single"/>
        </w:rPr>
      </w:pPr>
      <w:r>
        <w:rPr>
          <w:rFonts w:ascii="宋体" w:hAnsi="宋体" w:eastAsia="宋体"/>
          <w:b/>
          <w:spacing w:val="38"/>
          <w:szCs w:val="28"/>
        </w:rPr>
        <w:t>签订</w:t>
      </w:r>
      <w:r>
        <w:rPr>
          <w:rFonts w:hint="eastAsia" w:ascii="宋体" w:hAnsi="宋体" w:eastAsia="宋体"/>
          <w:b/>
          <w:spacing w:val="38"/>
          <w:szCs w:val="28"/>
        </w:rPr>
        <w:t>时间</w:t>
      </w:r>
      <w:r>
        <w:rPr>
          <w:rFonts w:ascii="宋体" w:hAnsi="宋体" w:eastAsia="宋体"/>
          <w:b/>
          <w:szCs w:val="28"/>
        </w:rPr>
        <w:t>：</w:t>
      </w:r>
      <w:r>
        <w:rPr>
          <w:rFonts w:ascii="宋体" w:hAnsi="宋体" w:eastAsia="宋体"/>
          <w:b/>
          <w:szCs w:val="28"/>
          <w:u w:val="single"/>
        </w:rPr>
        <w:t xml:space="preserve">    </w:t>
      </w:r>
      <w:r>
        <w:rPr>
          <w:rFonts w:hint="eastAsia" w:ascii="宋体" w:hAnsi="宋体" w:eastAsia="宋体"/>
          <w:b/>
          <w:szCs w:val="28"/>
          <w:u w:val="single"/>
        </w:rPr>
        <w:t>2025年      月      日</w:t>
      </w:r>
      <w:r>
        <w:rPr>
          <w:rFonts w:ascii="宋体" w:hAnsi="宋体" w:eastAsia="宋体"/>
          <w:b/>
          <w:szCs w:val="28"/>
          <w:u w:val="single"/>
        </w:rPr>
        <w:t xml:space="preserve"> </w:t>
      </w:r>
    </w:p>
    <w:p w14:paraId="21F65966">
      <w:pPr>
        <w:sectPr>
          <w:pgSz w:w="11906" w:h="16838"/>
          <w:pgMar w:top="1440" w:right="1123" w:bottom="1440" w:left="1746" w:header="851" w:footer="992" w:gutter="0"/>
          <w:cols w:space="720" w:num="1"/>
          <w:docGrid w:type="lines" w:linePitch="312" w:charSpace="0"/>
        </w:sectPr>
      </w:pPr>
    </w:p>
    <w:p w14:paraId="3495C4A6">
      <w:pPr>
        <w:ind w:firstLine="640" w:firstLineChars="200"/>
      </w:pPr>
      <w:r>
        <w:rPr>
          <w:rFonts w:hint="eastAsia"/>
        </w:rPr>
        <w:t>依据《中华人民共和国政府采购法》、《中华人民共和国民法典》等法律、法规的规定，</w:t>
      </w:r>
      <w:r>
        <w:rPr>
          <w:rFonts w:hint="eastAsia"/>
          <w:u w:val="single"/>
        </w:rPr>
        <w:t>海南省地质调查院</w:t>
      </w:r>
      <w:r>
        <w:rPr>
          <w:rFonts w:hint="eastAsia"/>
        </w:rPr>
        <w:t>（委托方，以下简称甲方）通过</w:t>
      </w:r>
      <w:r>
        <w:rPr>
          <w:rFonts w:hint="eastAsia"/>
          <w:u w:val="single"/>
        </w:rPr>
        <w:t>竞争性磋商</w:t>
      </w:r>
      <w:r>
        <w:rPr>
          <w:rFonts w:hint="eastAsia"/>
        </w:rPr>
        <w:t>方式，确定</w:t>
      </w:r>
      <w:r>
        <w:rPr>
          <w:rFonts w:hint="eastAsia"/>
          <w:u w:val="single"/>
        </w:rPr>
        <w:t>海南省地质测试研究中心</w:t>
      </w:r>
      <w:r>
        <w:rPr>
          <w:rFonts w:hint="eastAsia"/>
        </w:rPr>
        <w:t>（受托方，以下简称乙方）承担</w:t>
      </w:r>
      <w:r>
        <w:rPr>
          <w:rFonts w:hint="eastAsia"/>
          <w:u w:val="single"/>
        </w:rPr>
        <w:t>“ 海南陆域锆铪矿调查评价（省地质局项目编号：*</w:t>
      </w:r>
      <w:r>
        <w:rPr>
          <w:u w:val="single"/>
        </w:rPr>
        <w:t>*</w:t>
      </w:r>
      <w:r>
        <w:rPr>
          <w:rFonts w:hint="eastAsia"/>
          <w:u w:val="single"/>
        </w:rPr>
        <w:t>）-岩（矿）石鉴定与试验”</w:t>
      </w:r>
      <w:r>
        <w:rPr>
          <w:rFonts w:hint="eastAsia"/>
        </w:rPr>
        <w:t>工作（附件：中标通知书）。按照招标文件规定条款和成交乙方响应文件及其承诺，甲乙双方自愿就上述合作内容达成一致，签订本合同，并由双方共同遵照执行。</w:t>
      </w:r>
    </w:p>
    <w:p w14:paraId="7FC26900">
      <w:pPr>
        <w:pStyle w:val="2"/>
        <w:numPr>
          <w:ilvl w:val="0"/>
          <w:numId w:val="1"/>
        </w:numPr>
        <w:ind w:firstLine="643" w:firstLineChars="200"/>
      </w:pPr>
      <w:r>
        <w:rPr>
          <w:rFonts w:hint="eastAsia"/>
        </w:rPr>
        <w:t>甲方委托乙方承担的工作内容</w:t>
      </w:r>
    </w:p>
    <w:p w14:paraId="2C75056D">
      <w:pPr>
        <w:ind w:firstLine="640" w:firstLineChars="200"/>
      </w:pPr>
      <w:r>
        <w:rPr>
          <w:rFonts w:hint="eastAsia"/>
        </w:rPr>
        <w:t>1.项目执行标准：</w:t>
      </w:r>
      <w:r>
        <w:rPr>
          <w:rFonts w:hint="eastAsia"/>
          <w:u w:val="single"/>
        </w:rPr>
        <w:t>乙方严格遵照《地质矿产实验室测试质量管理规范》（DZ/T0130－2006）等技术标准执行；岩（矿）石鉴定与试验样品分析测试严格按照《锆矿石化学分析方法 第1部分：锆铪合量测定》（GB/T 17416.1-2010）、《锆矿石化学分析方法 第2部分：锆量和铪量测定》（GB/T 17416.2-2010）、《硅酸盐岩石化学分析方法 第30部分：44个元素量测定》（GB/T 14506.30–2010）、《区域地球化学样品分析方法 第32部分：镧、铈等15个稀土元素量测定 封闭酸熔–电感耦合等离子体质谱法》（DZ/T 0279.32–2016）等相关规范与标准要求对样品进行加工和分析测试，对分析数据进行质量控制，在规定期限内完成全部分析测试任务，最终提供分析数据（包括纸质报告和电子版数据）、质量评述报告等资料</w:t>
      </w:r>
      <w:r>
        <w:rPr>
          <w:rFonts w:hint="eastAsia"/>
        </w:rPr>
        <w:t>。当规范或标准有2个以上时，样品加工、分析测试等要求从严。</w:t>
      </w:r>
    </w:p>
    <w:p w14:paraId="1BF506A6">
      <w:pPr>
        <w:ind w:firstLine="640" w:firstLineChars="200"/>
        <w:rPr>
          <w:u w:val="single"/>
        </w:rPr>
      </w:pPr>
      <w:r>
        <w:rPr>
          <w:rFonts w:hint="eastAsia"/>
        </w:rPr>
        <w:t>2.项目工作内容与工作量：</w:t>
      </w:r>
      <w:r>
        <w:rPr>
          <w:rFonts w:hint="eastAsia"/>
          <w:u w:val="single"/>
        </w:rPr>
        <w:t>完成“ 海南陆域锆铪矿调查评价（省地质局项目编号：*</w:t>
      </w:r>
      <w:r>
        <w:rPr>
          <w:u w:val="single"/>
        </w:rPr>
        <w:t>*</w:t>
      </w:r>
      <w:r>
        <w:rPr>
          <w:rFonts w:hint="eastAsia"/>
          <w:u w:val="single"/>
        </w:rPr>
        <w:t>）”项目所有岩（矿）石鉴定与试验样品加工。具体样品分析项目、工作量内容见下表：</w:t>
      </w:r>
    </w:p>
    <w:tbl>
      <w:tblPr>
        <w:tblStyle w:val="6"/>
        <w:tblW w:w="5058" w:type="pct"/>
        <w:tblInd w:w="-1" w:type="dxa"/>
        <w:tblLayout w:type="fixed"/>
        <w:tblCellMar>
          <w:top w:w="0" w:type="dxa"/>
          <w:left w:w="0" w:type="dxa"/>
          <w:bottom w:w="0" w:type="dxa"/>
          <w:right w:w="0" w:type="dxa"/>
        </w:tblCellMar>
      </w:tblPr>
      <w:tblGrid>
        <w:gridCol w:w="531"/>
        <w:gridCol w:w="3627"/>
        <w:gridCol w:w="1672"/>
        <w:gridCol w:w="861"/>
        <w:gridCol w:w="1721"/>
      </w:tblGrid>
      <w:tr w14:paraId="1D285B25">
        <w:tblPrEx>
          <w:tblCellMar>
            <w:top w:w="0" w:type="dxa"/>
            <w:left w:w="0" w:type="dxa"/>
            <w:bottom w:w="0" w:type="dxa"/>
            <w:right w:w="0" w:type="dxa"/>
          </w:tblCellMar>
        </w:tblPrEx>
        <w:trPr>
          <w:trHeight w:val="284" w:hRule="atLeast"/>
        </w:trPr>
        <w:tc>
          <w:tcPr>
            <w:tcW w:w="31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097790">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2155" w:type="pct"/>
            <w:tcBorders>
              <w:top w:val="single" w:color="auto" w:sz="4" w:space="0"/>
              <w:left w:val="nil"/>
              <w:bottom w:val="single" w:color="auto" w:sz="4" w:space="0"/>
              <w:right w:val="single" w:color="auto" w:sz="4" w:space="0"/>
            </w:tcBorders>
            <w:shd w:val="clear" w:color="auto" w:fill="auto"/>
            <w:noWrap/>
            <w:vAlign w:val="center"/>
          </w:tcPr>
          <w:p w14:paraId="53583FC9">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分析项目</w:t>
            </w:r>
          </w:p>
        </w:tc>
        <w:tc>
          <w:tcPr>
            <w:tcW w:w="993" w:type="pct"/>
            <w:tcBorders>
              <w:top w:val="single" w:color="auto" w:sz="4" w:space="0"/>
              <w:left w:val="nil"/>
              <w:bottom w:val="single" w:color="auto" w:sz="4" w:space="0"/>
              <w:right w:val="single" w:color="auto" w:sz="4" w:space="0"/>
            </w:tcBorders>
            <w:shd w:val="clear" w:color="auto" w:fill="auto"/>
            <w:noWrap/>
            <w:vAlign w:val="center"/>
          </w:tcPr>
          <w:p w14:paraId="3991A595">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计量单位</w:t>
            </w:r>
          </w:p>
        </w:tc>
        <w:tc>
          <w:tcPr>
            <w:tcW w:w="512" w:type="pct"/>
            <w:tcBorders>
              <w:top w:val="single" w:color="auto" w:sz="4" w:space="0"/>
              <w:left w:val="nil"/>
              <w:bottom w:val="single" w:color="auto" w:sz="4" w:space="0"/>
              <w:right w:val="single" w:color="auto" w:sz="4" w:space="0"/>
            </w:tcBorders>
            <w:shd w:val="clear" w:color="auto" w:fill="auto"/>
            <w:noWrap/>
            <w:vAlign w:val="center"/>
          </w:tcPr>
          <w:p w14:paraId="03B5CBEF">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设计工作量</w:t>
            </w:r>
          </w:p>
        </w:tc>
        <w:tc>
          <w:tcPr>
            <w:tcW w:w="1022" w:type="pct"/>
            <w:tcBorders>
              <w:top w:val="single" w:color="auto" w:sz="4" w:space="0"/>
              <w:left w:val="nil"/>
              <w:bottom w:val="single" w:color="auto" w:sz="4" w:space="0"/>
              <w:right w:val="single" w:color="auto" w:sz="4" w:space="0"/>
            </w:tcBorders>
            <w:shd w:val="clear" w:color="000000" w:fill="FFFFFF"/>
            <w:noWrap/>
            <w:vAlign w:val="center"/>
          </w:tcPr>
          <w:p w14:paraId="52885116">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378F2FF9">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2EFF620B">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w:t>
            </w:r>
          </w:p>
        </w:tc>
        <w:tc>
          <w:tcPr>
            <w:tcW w:w="2155" w:type="pct"/>
            <w:tcBorders>
              <w:top w:val="nil"/>
              <w:left w:val="nil"/>
              <w:bottom w:val="single" w:color="auto" w:sz="4" w:space="0"/>
              <w:right w:val="single" w:color="auto" w:sz="4" w:space="0"/>
            </w:tcBorders>
            <w:shd w:val="clear" w:color="auto" w:fill="auto"/>
            <w:noWrap/>
            <w:vAlign w:val="center"/>
          </w:tcPr>
          <w:p w14:paraId="1F842C53">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基本分析（</w:t>
            </w:r>
            <w:r>
              <w:rPr>
                <w:rFonts w:ascii="Times New Roman" w:hAnsi="Times New Roman" w:eastAsia="宋体"/>
                <w:color w:val="000000"/>
                <w:kern w:val="0"/>
                <w:sz w:val="24"/>
              </w:rPr>
              <w:t>Zr</w:t>
            </w:r>
            <w:r>
              <w:rPr>
                <w:rFonts w:hint="eastAsia" w:ascii="宋体" w:hAnsi="宋体" w:eastAsia="宋体" w:cs="宋体"/>
                <w:color w:val="000000"/>
                <w:kern w:val="0"/>
                <w:sz w:val="24"/>
              </w:rPr>
              <w:t>、</w:t>
            </w:r>
            <w:r>
              <w:rPr>
                <w:rFonts w:ascii="Times New Roman" w:hAnsi="Times New Roman" w:eastAsia="宋体"/>
                <w:color w:val="000000"/>
                <w:kern w:val="0"/>
                <w:sz w:val="24"/>
              </w:rPr>
              <w:t>TiO</w:t>
            </w:r>
            <w:r>
              <w:rPr>
                <w:rFonts w:ascii="Times New Roman" w:hAnsi="Times New Roman" w:eastAsia="宋体"/>
                <w:color w:val="000000"/>
                <w:kern w:val="0"/>
                <w:sz w:val="24"/>
                <w:vertAlign w:val="subscript"/>
              </w:rPr>
              <w:t>2</w:t>
            </w:r>
            <w:r>
              <w:rPr>
                <w:rFonts w:hint="eastAsia" w:ascii="宋体" w:hAnsi="宋体" w:eastAsia="宋体" w:cs="宋体"/>
                <w:color w:val="000000"/>
                <w:kern w:val="0"/>
                <w:sz w:val="24"/>
              </w:rPr>
              <w:t>、</w:t>
            </w:r>
            <w:r>
              <w:rPr>
                <w:rFonts w:ascii="Times New Roman" w:hAnsi="Times New Roman" w:eastAsia="宋体"/>
                <w:color w:val="000000"/>
                <w:kern w:val="0"/>
                <w:sz w:val="24"/>
              </w:rPr>
              <w:t>Hf</w:t>
            </w:r>
            <w:r>
              <w:rPr>
                <w:rFonts w:hint="eastAsia" w:ascii="宋体" w:hAnsi="宋体" w:eastAsia="宋体" w:cs="宋体"/>
                <w:color w:val="000000"/>
                <w:kern w:val="0"/>
                <w:sz w:val="24"/>
              </w:rPr>
              <w:t>）</w:t>
            </w:r>
          </w:p>
        </w:tc>
        <w:tc>
          <w:tcPr>
            <w:tcW w:w="993" w:type="pct"/>
            <w:tcBorders>
              <w:top w:val="nil"/>
              <w:left w:val="nil"/>
              <w:bottom w:val="single" w:color="auto" w:sz="4" w:space="0"/>
              <w:right w:val="single" w:color="auto" w:sz="4" w:space="0"/>
            </w:tcBorders>
            <w:shd w:val="clear" w:color="auto" w:fill="auto"/>
            <w:noWrap/>
            <w:vAlign w:val="center"/>
          </w:tcPr>
          <w:p w14:paraId="683D7BDB">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1CB82273">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1000</w:t>
            </w:r>
          </w:p>
        </w:tc>
        <w:tc>
          <w:tcPr>
            <w:tcW w:w="1022" w:type="pct"/>
            <w:tcBorders>
              <w:top w:val="nil"/>
              <w:left w:val="nil"/>
              <w:bottom w:val="single" w:color="auto" w:sz="4" w:space="0"/>
              <w:right w:val="single" w:color="auto" w:sz="4" w:space="0"/>
            </w:tcBorders>
            <w:shd w:val="clear" w:color="000000" w:fill="FFFFFF"/>
            <w:noWrap/>
            <w:vAlign w:val="center"/>
          </w:tcPr>
          <w:p w14:paraId="6A1CB1E0">
            <w:pPr>
              <w:widowControl/>
              <w:spacing w:line="360" w:lineRule="auto"/>
              <w:jc w:val="center"/>
              <w:rPr>
                <w:rFonts w:ascii="Times New Roman" w:hAnsi="Times New Roman" w:eastAsia="宋体"/>
                <w:color w:val="000000"/>
                <w:kern w:val="0"/>
                <w:sz w:val="24"/>
              </w:rPr>
            </w:pPr>
          </w:p>
        </w:tc>
      </w:tr>
      <w:tr w14:paraId="0FA549BB">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7C57464B">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2</w:t>
            </w:r>
          </w:p>
        </w:tc>
        <w:tc>
          <w:tcPr>
            <w:tcW w:w="2155" w:type="pct"/>
            <w:tcBorders>
              <w:top w:val="nil"/>
              <w:left w:val="nil"/>
              <w:bottom w:val="single" w:color="auto" w:sz="4" w:space="0"/>
              <w:right w:val="single" w:color="auto" w:sz="4" w:space="0"/>
            </w:tcBorders>
            <w:shd w:val="clear" w:color="auto" w:fill="auto"/>
            <w:noWrap/>
            <w:vAlign w:val="center"/>
          </w:tcPr>
          <w:p w14:paraId="0DD550C2">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内检分析样</w:t>
            </w:r>
          </w:p>
        </w:tc>
        <w:tc>
          <w:tcPr>
            <w:tcW w:w="993" w:type="pct"/>
            <w:tcBorders>
              <w:top w:val="nil"/>
              <w:left w:val="nil"/>
              <w:bottom w:val="single" w:color="auto" w:sz="4" w:space="0"/>
              <w:right w:val="single" w:color="auto" w:sz="4" w:space="0"/>
            </w:tcBorders>
            <w:shd w:val="clear" w:color="auto" w:fill="auto"/>
            <w:noWrap/>
            <w:vAlign w:val="center"/>
          </w:tcPr>
          <w:p w14:paraId="3E1B5C64">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12F9CB4A">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100</w:t>
            </w:r>
          </w:p>
        </w:tc>
        <w:tc>
          <w:tcPr>
            <w:tcW w:w="1022" w:type="pct"/>
            <w:tcBorders>
              <w:top w:val="nil"/>
              <w:left w:val="nil"/>
              <w:bottom w:val="single" w:color="auto" w:sz="4" w:space="0"/>
              <w:right w:val="single" w:color="auto" w:sz="4" w:space="0"/>
            </w:tcBorders>
            <w:shd w:val="clear" w:color="000000" w:fill="FFFFFF"/>
            <w:noWrap/>
            <w:vAlign w:val="center"/>
          </w:tcPr>
          <w:p w14:paraId="2276E7CB">
            <w:pPr>
              <w:widowControl/>
              <w:spacing w:line="360" w:lineRule="auto"/>
              <w:jc w:val="center"/>
              <w:rPr>
                <w:rFonts w:ascii="Times New Roman" w:hAnsi="Times New Roman" w:eastAsia="宋体"/>
                <w:color w:val="000000"/>
                <w:kern w:val="0"/>
                <w:sz w:val="24"/>
              </w:rPr>
            </w:pPr>
          </w:p>
        </w:tc>
      </w:tr>
      <w:tr w14:paraId="74B754D9">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65BC118B">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3</w:t>
            </w:r>
          </w:p>
        </w:tc>
        <w:tc>
          <w:tcPr>
            <w:tcW w:w="2155" w:type="pct"/>
            <w:tcBorders>
              <w:top w:val="nil"/>
              <w:left w:val="nil"/>
              <w:bottom w:val="single" w:color="auto" w:sz="4" w:space="0"/>
              <w:right w:val="single" w:color="auto" w:sz="4" w:space="0"/>
            </w:tcBorders>
            <w:shd w:val="clear" w:color="auto" w:fill="auto"/>
            <w:noWrap/>
            <w:vAlign w:val="center"/>
          </w:tcPr>
          <w:p w14:paraId="2766928A">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外检分析样</w:t>
            </w:r>
          </w:p>
        </w:tc>
        <w:tc>
          <w:tcPr>
            <w:tcW w:w="993" w:type="pct"/>
            <w:tcBorders>
              <w:top w:val="nil"/>
              <w:left w:val="nil"/>
              <w:bottom w:val="single" w:color="auto" w:sz="4" w:space="0"/>
              <w:right w:val="single" w:color="auto" w:sz="4" w:space="0"/>
            </w:tcBorders>
            <w:shd w:val="clear" w:color="auto" w:fill="auto"/>
            <w:noWrap/>
            <w:vAlign w:val="center"/>
          </w:tcPr>
          <w:p w14:paraId="20B0EBFA">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60C818F5">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50</w:t>
            </w:r>
          </w:p>
        </w:tc>
        <w:tc>
          <w:tcPr>
            <w:tcW w:w="1022" w:type="pct"/>
            <w:tcBorders>
              <w:top w:val="nil"/>
              <w:left w:val="nil"/>
              <w:bottom w:val="single" w:color="auto" w:sz="4" w:space="0"/>
              <w:right w:val="single" w:color="auto" w:sz="4" w:space="0"/>
            </w:tcBorders>
            <w:shd w:val="clear" w:color="000000" w:fill="FFFFFF"/>
            <w:noWrap/>
            <w:vAlign w:val="center"/>
          </w:tcPr>
          <w:p w14:paraId="555AE765">
            <w:pPr>
              <w:widowControl/>
              <w:spacing w:line="360" w:lineRule="auto"/>
              <w:jc w:val="center"/>
              <w:rPr>
                <w:rFonts w:ascii="Times New Roman" w:hAnsi="Times New Roman" w:eastAsia="宋体"/>
                <w:color w:val="000000"/>
                <w:kern w:val="0"/>
                <w:sz w:val="24"/>
              </w:rPr>
            </w:pPr>
          </w:p>
        </w:tc>
      </w:tr>
      <w:tr w14:paraId="6E08BF11">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2B7DADEC">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4</w:t>
            </w:r>
          </w:p>
        </w:tc>
        <w:tc>
          <w:tcPr>
            <w:tcW w:w="2155" w:type="pct"/>
            <w:tcBorders>
              <w:top w:val="nil"/>
              <w:left w:val="nil"/>
              <w:bottom w:val="single" w:color="auto" w:sz="4" w:space="0"/>
              <w:right w:val="single" w:color="auto" w:sz="4" w:space="0"/>
            </w:tcBorders>
            <w:shd w:val="clear" w:color="auto" w:fill="auto"/>
            <w:vAlign w:val="center"/>
          </w:tcPr>
          <w:p w14:paraId="634812EF">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锆石测年</w:t>
            </w:r>
          </w:p>
        </w:tc>
        <w:tc>
          <w:tcPr>
            <w:tcW w:w="993" w:type="pct"/>
            <w:tcBorders>
              <w:top w:val="nil"/>
              <w:left w:val="nil"/>
              <w:bottom w:val="single" w:color="auto" w:sz="4" w:space="0"/>
              <w:right w:val="single" w:color="auto" w:sz="4" w:space="0"/>
            </w:tcBorders>
            <w:shd w:val="clear" w:color="auto" w:fill="auto"/>
            <w:noWrap/>
            <w:vAlign w:val="center"/>
          </w:tcPr>
          <w:p w14:paraId="0163A58D">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55B2F074">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42</w:t>
            </w:r>
          </w:p>
        </w:tc>
        <w:tc>
          <w:tcPr>
            <w:tcW w:w="1022" w:type="pct"/>
            <w:tcBorders>
              <w:top w:val="nil"/>
              <w:left w:val="nil"/>
              <w:bottom w:val="single" w:color="auto" w:sz="4" w:space="0"/>
              <w:right w:val="single" w:color="auto" w:sz="4" w:space="0"/>
            </w:tcBorders>
            <w:shd w:val="clear" w:color="000000" w:fill="FFFFFF"/>
            <w:noWrap/>
            <w:vAlign w:val="center"/>
          </w:tcPr>
          <w:p w14:paraId="0E2CA3DB">
            <w:pPr>
              <w:widowControl/>
              <w:spacing w:line="360" w:lineRule="auto"/>
              <w:jc w:val="center"/>
              <w:rPr>
                <w:rFonts w:ascii="Times New Roman" w:hAnsi="Times New Roman" w:eastAsia="宋体"/>
                <w:color w:val="000000"/>
                <w:kern w:val="0"/>
                <w:sz w:val="24"/>
              </w:rPr>
            </w:pPr>
          </w:p>
        </w:tc>
      </w:tr>
      <w:tr w14:paraId="6D72AFDE">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01B06276">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5</w:t>
            </w:r>
          </w:p>
        </w:tc>
        <w:tc>
          <w:tcPr>
            <w:tcW w:w="2155" w:type="pct"/>
            <w:tcBorders>
              <w:top w:val="nil"/>
              <w:left w:val="nil"/>
              <w:bottom w:val="single" w:color="auto" w:sz="4" w:space="0"/>
              <w:right w:val="single" w:color="auto" w:sz="4" w:space="0"/>
            </w:tcBorders>
            <w:shd w:val="clear" w:color="auto" w:fill="auto"/>
            <w:vAlign w:val="center"/>
          </w:tcPr>
          <w:p w14:paraId="27138E40">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全岩主量元素分析</w:t>
            </w:r>
          </w:p>
        </w:tc>
        <w:tc>
          <w:tcPr>
            <w:tcW w:w="993" w:type="pct"/>
            <w:tcBorders>
              <w:top w:val="nil"/>
              <w:left w:val="nil"/>
              <w:bottom w:val="single" w:color="auto" w:sz="4" w:space="0"/>
              <w:right w:val="single" w:color="auto" w:sz="4" w:space="0"/>
            </w:tcBorders>
            <w:shd w:val="clear" w:color="auto" w:fill="auto"/>
            <w:noWrap/>
            <w:vAlign w:val="center"/>
          </w:tcPr>
          <w:p w14:paraId="7D45AC37">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54D676A0">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60</w:t>
            </w:r>
          </w:p>
        </w:tc>
        <w:tc>
          <w:tcPr>
            <w:tcW w:w="1022" w:type="pct"/>
            <w:tcBorders>
              <w:top w:val="nil"/>
              <w:left w:val="nil"/>
              <w:bottom w:val="single" w:color="auto" w:sz="4" w:space="0"/>
              <w:right w:val="single" w:color="auto" w:sz="4" w:space="0"/>
            </w:tcBorders>
            <w:shd w:val="clear" w:color="000000" w:fill="FFFFFF"/>
            <w:noWrap/>
            <w:vAlign w:val="center"/>
          </w:tcPr>
          <w:p w14:paraId="4306E744">
            <w:pPr>
              <w:widowControl/>
              <w:spacing w:line="360" w:lineRule="auto"/>
              <w:jc w:val="center"/>
              <w:rPr>
                <w:rFonts w:ascii="Times New Roman" w:hAnsi="Times New Roman" w:eastAsia="宋体"/>
                <w:color w:val="000000"/>
                <w:kern w:val="0"/>
                <w:sz w:val="24"/>
              </w:rPr>
            </w:pPr>
          </w:p>
        </w:tc>
      </w:tr>
      <w:tr w14:paraId="06A13449">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56CBB401">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6</w:t>
            </w:r>
          </w:p>
        </w:tc>
        <w:tc>
          <w:tcPr>
            <w:tcW w:w="2155" w:type="pct"/>
            <w:tcBorders>
              <w:top w:val="nil"/>
              <w:left w:val="nil"/>
              <w:bottom w:val="single" w:color="auto" w:sz="4" w:space="0"/>
              <w:right w:val="single" w:color="auto" w:sz="4" w:space="0"/>
            </w:tcBorders>
            <w:shd w:val="clear" w:color="auto" w:fill="auto"/>
            <w:noWrap/>
            <w:vAlign w:val="center"/>
          </w:tcPr>
          <w:p w14:paraId="36485A0A">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全岩微量稀土元素分析</w:t>
            </w:r>
          </w:p>
        </w:tc>
        <w:tc>
          <w:tcPr>
            <w:tcW w:w="993" w:type="pct"/>
            <w:tcBorders>
              <w:top w:val="nil"/>
              <w:left w:val="nil"/>
              <w:bottom w:val="single" w:color="auto" w:sz="4" w:space="0"/>
              <w:right w:val="single" w:color="auto" w:sz="4" w:space="0"/>
            </w:tcBorders>
            <w:shd w:val="clear" w:color="auto" w:fill="auto"/>
            <w:noWrap/>
            <w:vAlign w:val="center"/>
          </w:tcPr>
          <w:p w14:paraId="216E0394">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2E545B1C">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60</w:t>
            </w:r>
          </w:p>
        </w:tc>
        <w:tc>
          <w:tcPr>
            <w:tcW w:w="1022" w:type="pct"/>
            <w:tcBorders>
              <w:top w:val="nil"/>
              <w:left w:val="nil"/>
              <w:bottom w:val="single" w:color="auto" w:sz="4" w:space="0"/>
              <w:right w:val="single" w:color="auto" w:sz="4" w:space="0"/>
            </w:tcBorders>
            <w:shd w:val="clear" w:color="000000" w:fill="FFFFFF"/>
            <w:noWrap/>
            <w:vAlign w:val="center"/>
          </w:tcPr>
          <w:p w14:paraId="0918063F">
            <w:pPr>
              <w:widowControl/>
              <w:spacing w:line="360" w:lineRule="auto"/>
              <w:jc w:val="center"/>
              <w:rPr>
                <w:rFonts w:ascii="Times New Roman" w:hAnsi="Times New Roman" w:eastAsia="宋体"/>
                <w:color w:val="000000"/>
                <w:kern w:val="0"/>
                <w:sz w:val="24"/>
              </w:rPr>
            </w:pPr>
          </w:p>
        </w:tc>
      </w:tr>
      <w:tr w14:paraId="7C694EF7">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31AE5F11">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7</w:t>
            </w:r>
          </w:p>
        </w:tc>
        <w:tc>
          <w:tcPr>
            <w:tcW w:w="2155" w:type="pct"/>
            <w:tcBorders>
              <w:top w:val="nil"/>
              <w:left w:val="nil"/>
              <w:bottom w:val="single" w:color="auto" w:sz="4" w:space="0"/>
              <w:right w:val="single" w:color="auto" w:sz="4" w:space="0"/>
            </w:tcBorders>
            <w:shd w:val="clear" w:color="auto" w:fill="auto"/>
            <w:noWrap/>
            <w:vAlign w:val="center"/>
          </w:tcPr>
          <w:p w14:paraId="3FA65BD5">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锆石微量稀土元素分析</w:t>
            </w:r>
          </w:p>
        </w:tc>
        <w:tc>
          <w:tcPr>
            <w:tcW w:w="993" w:type="pct"/>
            <w:tcBorders>
              <w:top w:val="nil"/>
              <w:left w:val="nil"/>
              <w:bottom w:val="single" w:color="auto" w:sz="4" w:space="0"/>
              <w:right w:val="single" w:color="auto" w:sz="4" w:space="0"/>
            </w:tcBorders>
            <w:shd w:val="clear" w:color="auto" w:fill="auto"/>
            <w:noWrap/>
            <w:vAlign w:val="center"/>
          </w:tcPr>
          <w:p w14:paraId="68D503CE">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13DBE57F">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48</w:t>
            </w:r>
          </w:p>
        </w:tc>
        <w:tc>
          <w:tcPr>
            <w:tcW w:w="1022" w:type="pct"/>
            <w:tcBorders>
              <w:top w:val="nil"/>
              <w:left w:val="nil"/>
              <w:bottom w:val="single" w:color="auto" w:sz="4" w:space="0"/>
              <w:right w:val="single" w:color="auto" w:sz="4" w:space="0"/>
            </w:tcBorders>
            <w:shd w:val="clear" w:color="000000" w:fill="FFFFFF"/>
            <w:noWrap/>
            <w:vAlign w:val="center"/>
          </w:tcPr>
          <w:p w14:paraId="5F44182E">
            <w:pPr>
              <w:widowControl/>
              <w:spacing w:line="360" w:lineRule="auto"/>
              <w:jc w:val="center"/>
              <w:rPr>
                <w:rFonts w:ascii="Times New Roman" w:hAnsi="Times New Roman" w:eastAsia="宋体"/>
                <w:color w:val="000000"/>
                <w:kern w:val="0"/>
                <w:sz w:val="24"/>
              </w:rPr>
            </w:pPr>
          </w:p>
        </w:tc>
      </w:tr>
      <w:tr w14:paraId="2CB65601">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4ED2EAEF">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8</w:t>
            </w:r>
          </w:p>
        </w:tc>
        <w:tc>
          <w:tcPr>
            <w:tcW w:w="2155" w:type="pct"/>
            <w:tcBorders>
              <w:top w:val="nil"/>
              <w:left w:val="nil"/>
              <w:bottom w:val="single" w:color="auto" w:sz="4" w:space="0"/>
              <w:right w:val="single" w:color="auto" w:sz="4" w:space="0"/>
            </w:tcBorders>
            <w:shd w:val="clear" w:color="auto" w:fill="auto"/>
            <w:noWrap/>
            <w:vAlign w:val="center"/>
          </w:tcPr>
          <w:p w14:paraId="4F873578">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薄片制片和鉴定</w:t>
            </w:r>
          </w:p>
        </w:tc>
        <w:tc>
          <w:tcPr>
            <w:tcW w:w="993" w:type="pct"/>
            <w:tcBorders>
              <w:top w:val="nil"/>
              <w:left w:val="nil"/>
              <w:bottom w:val="single" w:color="auto" w:sz="4" w:space="0"/>
              <w:right w:val="single" w:color="auto" w:sz="4" w:space="0"/>
            </w:tcBorders>
            <w:shd w:val="clear" w:color="auto" w:fill="auto"/>
            <w:noWrap/>
            <w:vAlign w:val="center"/>
          </w:tcPr>
          <w:p w14:paraId="4DBE14BA">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322B9E73">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10</w:t>
            </w:r>
          </w:p>
        </w:tc>
        <w:tc>
          <w:tcPr>
            <w:tcW w:w="1022" w:type="pct"/>
            <w:tcBorders>
              <w:top w:val="nil"/>
              <w:left w:val="nil"/>
              <w:bottom w:val="single" w:color="auto" w:sz="4" w:space="0"/>
              <w:right w:val="single" w:color="auto" w:sz="4" w:space="0"/>
            </w:tcBorders>
            <w:shd w:val="clear" w:color="000000" w:fill="FFFFFF"/>
            <w:noWrap/>
            <w:vAlign w:val="center"/>
          </w:tcPr>
          <w:p w14:paraId="6F18A731">
            <w:pPr>
              <w:widowControl/>
              <w:spacing w:line="360" w:lineRule="auto"/>
              <w:jc w:val="center"/>
              <w:rPr>
                <w:rFonts w:ascii="Times New Roman" w:hAnsi="Times New Roman" w:eastAsia="宋体"/>
                <w:color w:val="000000"/>
                <w:kern w:val="0"/>
                <w:sz w:val="24"/>
              </w:rPr>
            </w:pPr>
          </w:p>
        </w:tc>
      </w:tr>
      <w:tr w14:paraId="6D15E6C4">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7E3BBAB6">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9</w:t>
            </w:r>
          </w:p>
        </w:tc>
        <w:tc>
          <w:tcPr>
            <w:tcW w:w="2155" w:type="pct"/>
            <w:tcBorders>
              <w:top w:val="nil"/>
              <w:left w:val="nil"/>
              <w:bottom w:val="single" w:color="auto" w:sz="4" w:space="0"/>
              <w:right w:val="single" w:color="auto" w:sz="4" w:space="0"/>
            </w:tcBorders>
            <w:shd w:val="clear" w:color="auto" w:fill="auto"/>
            <w:noWrap/>
            <w:vAlign w:val="center"/>
          </w:tcPr>
          <w:p w14:paraId="2A4051B5">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光片制片和鉴定</w:t>
            </w:r>
          </w:p>
        </w:tc>
        <w:tc>
          <w:tcPr>
            <w:tcW w:w="993" w:type="pct"/>
            <w:tcBorders>
              <w:top w:val="nil"/>
              <w:left w:val="nil"/>
              <w:bottom w:val="single" w:color="auto" w:sz="4" w:space="0"/>
              <w:right w:val="single" w:color="auto" w:sz="4" w:space="0"/>
            </w:tcBorders>
            <w:shd w:val="clear" w:color="auto" w:fill="auto"/>
            <w:noWrap/>
            <w:vAlign w:val="center"/>
          </w:tcPr>
          <w:p w14:paraId="3C6321B3">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11C73DC3">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10</w:t>
            </w:r>
          </w:p>
        </w:tc>
        <w:tc>
          <w:tcPr>
            <w:tcW w:w="1022" w:type="pct"/>
            <w:tcBorders>
              <w:top w:val="nil"/>
              <w:left w:val="nil"/>
              <w:bottom w:val="single" w:color="auto" w:sz="4" w:space="0"/>
              <w:right w:val="single" w:color="auto" w:sz="4" w:space="0"/>
            </w:tcBorders>
            <w:shd w:val="clear" w:color="000000" w:fill="FFFFFF"/>
            <w:noWrap/>
            <w:vAlign w:val="center"/>
          </w:tcPr>
          <w:p w14:paraId="216545DC">
            <w:pPr>
              <w:widowControl/>
              <w:spacing w:line="360" w:lineRule="auto"/>
              <w:jc w:val="center"/>
              <w:rPr>
                <w:rFonts w:ascii="Times New Roman" w:hAnsi="Times New Roman" w:eastAsia="宋体"/>
                <w:color w:val="000000"/>
                <w:kern w:val="0"/>
                <w:sz w:val="24"/>
              </w:rPr>
            </w:pPr>
          </w:p>
        </w:tc>
      </w:tr>
      <w:tr w14:paraId="5C88E422">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421BEE6C">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10</w:t>
            </w:r>
          </w:p>
        </w:tc>
        <w:tc>
          <w:tcPr>
            <w:tcW w:w="2155" w:type="pct"/>
            <w:tcBorders>
              <w:top w:val="nil"/>
              <w:left w:val="nil"/>
              <w:bottom w:val="single" w:color="auto" w:sz="4" w:space="0"/>
              <w:right w:val="single" w:color="auto" w:sz="4" w:space="0"/>
            </w:tcBorders>
            <w:shd w:val="clear" w:color="auto" w:fill="auto"/>
            <w:noWrap/>
            <w:vAlign w:val="center"/>
          </w:tcPr>
          <w:p w14:paraId="3C04BBE9">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粒度分布</w:t>
            </w:r>
          </w:p>
        </w:tc>
        <w:tc>
          <w:tcPr>
            <w:tcW w:w="993" w:type="pct"/>
            <w:tcBorders>
              <w:top w:val="nil"/>
              <w:left w:val="nil"/>
              <w:bottom w:val="single" w:color="auto" w:sz="4" w:space="0"/>
              <w:right w:val="single" w:color="auto" w:sz="4" w:space="0"/>
            </w:tcBorders>
            <w:shd w:val="clear" w:color="auto" w:fill="auto"/>
            <w:noWrap/>
            <w:vAlign w:val="center"/>
          </w:tcPr>
          <w:p w14:paraId="36FE7BD9">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52FF2F98">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60</w:t>
            </w:r>
          </w:p>
        </w:tc>
        <w:tc>
          <w:tcPr>
            <w:tcW w:w="1022" w:type="pct"/>
            <w:tcBorders>
              <w:top w:val="nil"/>
              <w:left w:val="nil"/>
              <w:bottom w:val="single" w:color="auto" w:sz="4" w:space="0"/>
              <w:right w:val="single" w:color="auto" w:sz="4" w:space="0"/>
            </w:tcBorders>
            <w:shd w:val="clear" w:color="000000" w:fill="FFFFFF"/>
            <w:noWrap/>
            <w:vAlign w:val="center"/>
          </w:tcPr>
          <w:p w14:paraId="0E0AEB6E">
            <w:pPr>
              <w:widowControl/>
              <w:spacing w:line="360" w:lineRule="auto"/>
              <w:jc w:val="center"/>
              <w:rPr>
                <w:rFonts w:ascii="Times New Roman" w:hAnsi="Times New Roman" w:eastAsia="宋体"/>
                <w:color w:val="000000"/>
                <w:kern w:val="0"/>
                <w:sz w:val="24"/>
              </w:rPr>
            </w:pPr>
          </w:p>
        </w:tc>
      </w:tr>
      <w:tr w14:paraId="30748A1B">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34D49841">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11</w:t>
            </w:r>
          </w:p>
        </w:tc>
        <w:tc>
          <w:tcPr>
            <w:tcW w:w="2155" w:type="pct"/>
            <w:tcBorders>
              <w:top w:val="nil"/>
              <w:left w:val="nil"/>
              <w:bottom w:val="single" w:color="auto" w:sz="4" w:space="0"/>
              <w:right w:val="single" w:color="auto" w:sz="4" w:space="0"/>
            </w:tcBorders>
            <w:shd w:val="clear" w:color="auto" w:fill="auto"/>
            <w:noWrap/>
            <w:vAlign w:val="center"/>
          </w:tcPr>
          <w:p w14:paraId="10F4948C">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vertAlign w:val="superscript"/>
              </w:rPr>
              <w:t>14</w:t>
            </w:r>
            <w:r>
              <w:rPr>
                <w:rFonts w:ascii="Times New Roman" w:hAnsi="Times New Roman" w:eastAsia="宋体"/>
                <w:color w:val="000000"/>
                <w:kern w:val="0"/>
                <w:sz w:val="24"/>
              </w:rPr>
              <w:t>C</w:t>
            </w:r>
          </w:p>
        </w:tc>
        <w:tc>
          <w:tcPr>
            <w:tcW w:w="993" w:type="pct"/>
            <w:tcBorders>
              <w:top w:val="nil"/>
              <w:left w:val="nil"/>
              <w:bottom w:val="single" w:color="auto" w:sz="4" w:space="0"/>
              <w:right w:val="single" w:color="auto" w:sz="4" w:space="0"/>
            </w:tcBorders>
            <w:shd w:val="clear" w:color="auto" w:fill="auto"/>
            <w:noWrap/>
            <w:vAlign w:val="center"/>
          </w:tcPr>
          <w:p w14:paraId="70EA9F1B">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189DBC24">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10</w:t>
            </w:r>
          </w:p>
        </w:tc>
        <w:tc>
          <w:tcPr>
            <w:tcW w:w="1022" w:type="pct"/>
            <w:tcBorders>
              <w:top w:val="nil"/>
              <w:left w:val="nil"/>
              <w:bottom w:val="single" w:color="auto" w:sz="4" w:space="0"/>
              <w:right w:val="single" w:color="auto" w:sz="4" w:space="0"/>
            </w:tcBorders>
            <w:shd w:val="clear" w:color="000000" w:fill="FFFFFF"/>
            <w:noWrap/>
            <w:vAlign w:val="center"/>
          </w:tcPr>
          <w:p w14:paraId="3AD0CA7E">
            <w:pPr>
              <w:widowControl/>
              <w:spacing w:line="360" w:lineRule="auto"/>
              <w:jc w:val="center"/>
              <w:rPr>
                <w:rFonts w:ascii="Times New Roman" w:hAnsi="Times New Roman" w:eastAsia="宋体"/>
                <w:color w:val="000000"/>
                <w:kern w:val="0"/>
                <w:sz w:val="24"/>
              </w:rPr>
            </w:pPr>
          </w:p>
        </w:tc>
      </w:tr>
      <w:tr w14:paraId="465E8DA9">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39A83DEB">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12</w:t>
            </w:r>
          </w:p>
        </w:tc>
        <w:tc>
          <w:tcPr>
            <w:tcW w:w="2155" w:type="pct"/>
            <w:tcBorders>
              <w:top w:val="nil"/>
              <w:left w:val="nil"/>
              <w:bottom w:val="single" w:color="auto" w:sz="4" w:space="0"/>
              <w:right w:val="single" w:color="auto" w:sz="4" w:space="0"/>
            </w:tcBorders>
            <w:shd w:val="clear" w:color="auto" w:fill="auto"/>
            <w:noWrap/>
            <w:vAlign w:val="center"/>
          </w:tcPr>
          <w:p w14:paraId="36F85F90">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重砂分析</w:t>
            </w:r>
          </w:p>
        </w:tc>
        <w:tc>
          <w:tcPr>
            <w:tcW w:w="993" w:type="pct"/>
            <w:tcBorders>
              <w:top w:val="nil"/>
              <w:left w:val="nil"/>
              <w:bottom w:val="single" w:color="auto" w:sz="4" w:space="0"/>
              <w:right w:val="single" w:color="auto" w:sz="4" w:space="0"/>
            </w:tcBorders>
            <w:shd w:val="clear" w:color="auto" w:fill="auto"/>
            <w:noWrap/>
            <w:vAlign w:val="center"/>
          </w:tcPr>
          <w:p w14:paraId="3716422E">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7A15B5B2">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80</w:t>
            </w:r>
          </w:p>
        </w:tc>
        <w:tc>
          <w:tcPr>
            <w:tcW w:w="1022" w:type="pct"/>
            <w:tcBorders>
              <w:top w:val="nil"/>
              <w:left w:val="nil"/>
              <w:bottom w:val="single" w:color="auto" w:sz="4" w:space="0"/>
              <w:right w:val="single" w:color="auto" w:sz="4" w:space="0"/>
            </w:tcBorders>
            <w:shd w:val="clear" w:color="000000" w:fill="FFFFFF"/>
            <w:noWrap/>
            <w:vAlign w:val="center"/>
          </w:tcPr>
          <w:p w14:paraId="0DD07364">
            <w:pPr>
              <w:widowControl/>
              <w:spacing w:line="360" w:lineRule="auto"/>
              <w:jc w:val="center"/>
              <w:rPr>
                <w:rFonts w:ascii="Times New Roman" w:hAnsi="Times New Roman" w:eastAsia="宋体"/>
                <w:color w:val="000000"/>
                <w:kern w:val="0"/>
                <w:sz w:val="24"/>
              </w:rPr>
            </w:pPr>
          </w:p>
        </w:tc>
      </w:tr>
      <w:tr w14:paraId="3DF15A5D">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495DB8BA">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13</w:t>
            </w:r>
          </w:p>
        </w:tc>
        <w:tc>
          <w:tcPr>
            <w:tcW w:w="2155" w:type="pct"/>
            <w:tcBorders>
              <w:top w:val="nil"/>
              <w:left w:val="nil"/>
              <w:bottom w:val="single" w:color="auto" w:sz="4" w:space="0"/>
              <w:right w:val="single" w:color="auto" w:sz="4" w:space="0"/>
            </w:tcBorders>
            <w:shd w:val="clear" w:color="auto" w:fill="auto"/>
            <w:noWrap/>
            <w:vAlign w:val="center"/>
          </w:tcPr>
          <w:p w14:paraId="27B55BA1">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电子探针</w:t>
            </w:r>
            <w:r>
              <w:rPr>
                <w:rFonts w:ascii="Times New Roman" w:hAnsi="Times New Roman" w:eastAsia="宋体"/>
                <w:color w:val="000000"/>
                <w:kern w:val="0"/>
                <w:sz w:val="24"/>
              </w:rPr>
              <w:t>/</w:t>
            </w:r>
            <w:r>
              <w:rPr>
                <w:rFonts w:hint="eastAsia" w:ascii="宋体" w:hAnsi="宋体" w:eastAsia="宋体" w:cs="宋体"/>
                <w:color w:val="000000"/>
                <w:kern w:val="0"/>
                <w:sz w:val="24"/>
              </w:rPr>
              <w:t>激光微区面扫</w:t>
            </w:r>
          </w:p>
        </w:tc>
        <w:tc>
          <w:tcPr>
            <w:tcW w:w="993" w:type="pct"/>
            <w:tcBorders>
              <w:top w:val="nil"/>
              <w:left w:val="nil"/>
              <w:bottom w:val="single" w:color="auto" w:sz="4" w:space="0"/>
              <w:right w:val="single" w:color="auto" w:sz="4" w:space="0"/>
            </w:tcBorders>
            <w:shd w:val="clear" w:color="auto" w:fill="auto"/>
            <w:noWrap/>
            <w:vAlign w:val="center"/>
          </w:tcPr>
          <w:p w14:paraId="58C76A92">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40D2C69F">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48</w:t>
            </w:r>
          </w:p>
        </w:tc>
        <w:tc>
          <w:tcPr>
            <w:tcW w:w="1022" w:type="pct"/>
            <w:tcBorders>
              <w:top w:val="nil"/>
              <w:left w:val="nil"/>
              <w:bottom w:val="single" w:color="auto" w:sz="4" w:space="0"/>
              <w:right w:val="single" w:color="auto" w:sz="4" w:space="0"/>
            </w:tcBorders>
            <w:shd w:val="clear" w:color="000000" w:fill="FFFFFF"/>
            <w:noWrap/>
            <w:vAlign w:val="center"/>
          </w:tcPr>
          <w:p w14:paraId="48DE093E">
            <w:pPr>
              <w:widowControl/>
              <w:spacing w:line="360" w:lineRule="auto"/>
              <w:jc w:val="center"/>
              <w:rPr>
                <w:rFonts w:ascii="Times New Roman" w:hAnsi="Times New Roman" w:eastAsia="宋体"/>
                <w:color w:val="000000"/>
                <w:kern w:val="0"/>
                <w:sz w:val="24"/>
              </w:rPr>
            </w:pPr>
          </w:p>
        </w:tc>
      </w:tr>
      <w:tr w14:paraId="5356AAD2">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6862B0DD">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14</w:t>
            </w:r>
          </w:p>
        </w:tc>
        <w:tc>
          <w:tcPr>
            <w:tcW w:w="2155" w:type="pct"/>
            <w:tcBorders>
              <w:top w:val="nil"/>
              <w:left w:val="nil"/>
              <w:bottom w:val="single" w:color="auto" w:sz="4" w:space="0"/>
              <w:right w:val="single" w:color="auto" w:sz="4" w:space="0"/>
            </w:tcBorders>
            <w:shd w:val="clear" w:color="auto" w:fill="auto"/>
            <w:noWrap/>
            <w:vAlign w:val="center"/>
          </w:tcPr>
          <w:p w14:paraId="21812EEC">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扫描电镜</w:t>
            </w:r>
          </w:p>
        </w:tc>
        <w:tc>
          <w:tcPr>
            <w:tcW w:w="993" w:type="pct"/>
            <w:tcBorders>
              <w:top w:val="nil"/>
              <w:left w:val="nil"/>
              <w:bottom w:val="single" w:color="auto" w:sz="4" w:space="0"/>
              <w:right w:val="single" w:color="auto" w:sz="4" w:space="0"/>
            </w:tcBorders>
            <w:shd w:val="clear" w:color="auto" w:fill="auto"/>
            <w:noWrap/>
            <w:vAlign w:val="center"/>
          </w:tcPr>
          <w:p w14:paraId="4A909624">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65013E59">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48</w:t>
            </w:r>
          </w:p>
        </w:tc>
        <w:tc>
          <w:tcPr>
            <w:tcW w:w="1022" w:type="pct"/>
            <w:tcBorders>
              <w:top w:val="nil"/>
              <w:left w:val="nil"/>
              <w:bottom w:val="single" w:color="auto" w:sz="4" w:space="0"/>
              <w:right w:val="single" w:color="auto" w:sz="4" w:space="0"/>
            </w:tcBorders>
            <w:shd w:val="clear" w:color="000000" w:fill="FFFFFF"/>
            <w:noWrap/>
            <w:vAlign w:val="center"/>
          </w:tcPr>
          <w:p w14:paraId="5253BC5D">
            <w:pPr>
              <w:widowControl/>
              <w:spacing w:line="360" w:lineRule="auto"/>
              <w:jc w:val="center"/>
              <w:rPr>
                <w:rFonts w:ascii="Times New Roman" w:hAnsi="Times New Roman" w:eastAsia="宋体"/>
                <w:color w:val="000000"/>
                <w:kern w:val="0"/>
                <w:sz w:val="24"/>
              </w:rPr>
            </w:pPr>
          </w:p>
        </w:tc>
      </w:tr>
      <w:tr w14:paraId="025337C4">
        <w:tblPrEx>
          <w:tblCellMar>
            <w:top w:w="0" w:type="dxa"/>
            <w:left w:w="0" w:type="dxa"/>
            <w:bottom w:w="0" w:type="dxa"/>
            <w:right w:w="0" w:type="dxa"/>
          </w:tblCellMar>
        </w:tblPrEx>
        <w:trPr>
          <w:trHeight w:val="284" w:hRule="atLeast"/>
        </w:trPr>
        <w:tc>
          <w:tcPr>
            <w:tcW w:w="315" w:type="pct"/>
            <w:tcBorders>
              <w:top w:val="nil"/>
              <w:left w:val="single" w:color="auto" w:sz="4" w:space="0"/>
              <w:bottom w:val="single" w:color="auto" w:sz="4" w:space="0"/>
              <w:right w:val="single" w:color="auto" w:sz="4" w:space="0"/>
            </w:tcBorders>
            <w:shd w:val="clear" w:color="auto" w:fill="auto"/>
            <w:noWrap/>
            <w:vAlign w:val="center"/>
          </w:tcPr>
          <w:p w14:paraId="2113FD91">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15</w:t>
            </w:r>
          </w:p>
        </w:tc>
        <w:tc>
          <w:tcPr>
            <w:tcW w:w="2155" w:type="pct"/>
            <w:tcBorders>
              <w:top w:val="nil"/>
              <w:left w:val="nil"/>
              <w:bottom w:val="single" w:color="auto" w:sz="4" w:space="0"/>
              <w:right w:val="single" w:color="auto" w:sz="4" w:space="0"/>
            </w:tcBorders>
            <w:shd w:val="clear" w:color="auto" w:fill="auto"/>
            <w:noWrap/>
            <w:vAlign w:val="center"/>
          </w:tcPr>
          <w:p w14:paraId="5C5644D8">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锆石</w:t>
            </w:r>
            <w:r>
              <w:rPr>
                <w:rFonts w:ascii="Times New Roman" w:hAnsi="Times New Roman" w:eastAsia="宋体"/>
                <w:color w:val="000000"/>
                <w:kern w:val="0"/>
                <w:sz w:val="24"/>
              </w:rPr>
              <w:t>Hf</w:t>
            </w:r>
            <w:r>
              <w:rPr>
                <w:rFonts w:hint="eastAsia" w:ascii="宋体" w:hAnsi="宋体" w:eastAsia="宋体" w:cs="宋体"/>
                <w:color w:val="000000"/>
                <w:kern w:val="0"/>
                <w:sz w:val="24"/>
              </w:rPr>
              <w:t>同位素</w:t>
            </w:r>
          </w:p>
        </w:tc>
        <w:tc>
          <w:tcPr>
            <w:tcW w:w="993" w:type="pct"/>
            <w:tcBorders>
              <w:top w:val="nil"/>
              <w:left w:val="nil"/>
              <w:bottom w:val="single" w:color="auto" w:sz="4" w:space="0"/>
              <w:right w:val="single" w:color="auto" w:sz="4" w:space="0"/>
            </w:tcBorders>
            <w:shd w:val="clear" w:color="auto" w:fill="auto"/>
            <w:noWrap/>
            <w:vAlign w:val="center"/>
          </w:tcPr>
          <w:p w14:paraId="540BA0E7">
            <w:pPr>
              <w:widowControl/>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件</w:t>
            </w:r>
          </w:p>
        </w:tc>
        <w:tc>
          <w:tcPr>
            <w:tcW w:w="512" w:type="pct"/>
            <w:tcBorders>
              <w:top w:val="nil"/>
              <w:left w:val="nil"/>
              <w:bottom w:val="single" w:color="auto" w:sz="4" w:space="0"/>
              <w:right w:val="single" w:color="auto" w:sz="4" w:space="0"/>
            </w:tcBorders>
            <w:shd w:val="clear" w:color="auto" w:fill="auto"/>
            <w:noWrap/>
            <w:vAlign w:val="center"/>
          </w:tcPr>
          <w:p w14:paraId="1235C146">
            <w:pPr>
              <w:widowControl/>
              <w:spacing w:line="360" w:lineRule="auto"/>
              <w:jc w:val="center"/>
              <w:rPr>
                <w:rFonts w:ascii="Times New Roman" w:hAnsi="Times New Roman" w:eastAsia="宋体"/>
                <w:color w:val="000000"/>
                <w:kern w:val="0"/>
                <w:sz w:val="24"/>
              </w:rPr>
            </w:pPr>
            <w:r>
              <w:rPr>
                <w:rFonts w:ascii="Times New Roman" w:hAnsi="Times New Roman" w:eastAsia="宋体"/>
                <w:color w:val="000000"/>
                <w:kern w:val="0"/>
                <w:sz w:val="24"/>
              </w:rPr>
              <w:t>48</w:t>
            </w:r>
          </w:p>
        </w:tc>
        <w:tc>
          <w:tcPr>
            <w:tcW w:w="1022" w:type="pct"/>
            <w:tcBorders>
              <w:top w:val="nil"/>
              <w:left w:val="nil"/>
              <w:bottom w:val="single" w:color="auto" w:sz="4" w:space="0"/>
              <w:right w:val="single" w:color="auto" w:sz="4" w:space="0"/>
            </w:tcBorders>
            <w:shd w:val="clear" w:color="000000" w:fill="FFFFFF"/>
            <w:noWrap/>
            <w:vAlign w:val="center"/>
          </w:tcPr>
          <w:p w14:paraId="60596C94">
            <w:pPr>
              <w:widowControl/>
              <w:spacing w:line="360" w:lineRule="auto"/>
              <w:jc w:val="center"/>
              <w:rPr>
                <w:rFonts w:ascii="Times New Roman" w:hAnsi="Times New Roman" w:eastAsia="宋体"/>
                <w:color w:val="000000"/>
                <w:kern w:val="0"/>
                <w:sz w:val="24"/>
              </w:rPr>
            </w:pPr>
          </w:p>
        </w:tc>
      </w:tr>
    </w:tbl>
    <w:p w14:paraId="1C101BEE">
      <w:pPr>
        <w:pStyle w:val="2"/>
        <w:numPr>
          <w:ilvl w:val="0"/>
          <w:numId w:val="1"/>
        </w:numPr>
        <w:ind w:firstLine="643" w:firstLineChars="200"/>
      </w:pPr>
      <w:r>
        <w:rPr>
          <w:rFonts w:hint="eastAsia"/>
        </w:rPr>
        <w:t>乙方应按以下要求完成项目工作</w:t>
      </w:r>
    </w:p>
    <w:p w14:paraId="69A2CCA7">
      <w:pPr>
        <w:ind w:firstLine="640" w:firstLineChars="200"/>
      </w:pPr>
      <w:r>
        <w:rPr>
          <w:rFonts w:hint="eastAsia"/>
        </w:rPr>
        <w:t>1.项目工作地点：</w:t>
      </w:r>
      <w:r>
        <w:rPr>
          <w:rFonts w:hint="eastAsia"/>
          <w:u w:val="single"/>
        </w:rPr>
        <w:t xml:space="preserve"> 海口市 </w:t>
      </w:r>
    </w:p>
    <w:p w14:paraId="69573592">
      <w:pPr>
        <w:ind w:firstLine="640" w:firstLineChars="200"/>
      </w:pPr>
      <w:r>
        <w:rPr>
          <w:rFonts w:hint="eastAsia"/>
        </w:rPr>
        <w:t>2.项目工作期限：</w:t>
      </w:r>
      <w:r>
        <w:rPr>
          <w:rFonts w:hint="eastAsia"/>
          <w:u w:val="single"/>
        </w:rPr>
        <w:t>2025年5月—2</w:t>
      </w:r>
      <w:r>
        <w:rPr>
          <w:rFonts w:hint="eastAsia"/>
          <w:highlight w:val="yellow"/>
          <w:u w:val="single"/>
        </w:rPr>
        <w:t>025年11月</w:t>
      </w:r>
    </w:p>
    <w:p w14:paraId="717DB04E">
      <w:pPr>
        <w:ind w:firstLine="640" w:firstLineChars="200"/>
        <w:rPr>
          <w:u w:val="single"/>
        </w:rPr>
      </w:pPr>
      <w:r>
        <w:rPr>
          <w:rFonts w:hint="eastAsia"/>
        </w:rPr>
        <w:t>3.项目工作进度：</w:t>
      </w:r>
      <w:r>
        <w:rPr>
          <w:rFonts w:hint="eastAsia"/>
          <w:u w:val="single"/>
        </w:rPr>
        <w:t>（1）中标后1个月内，乙方组织完成岩（矿）石鉴定与试验实施方案编写及评审工作。</w:t>
      </w:r>
    </w:p>
    <w:p w14:paraId="755F7B54">
      <w:pPr>
        <w:ind w:firstLine="640" w:firstLineChars="200"/>
        <w:rPr>
          <w:u w:val="single"/>
        </w:rPr>
      </w:pPr>
      <w:r>
        <w:rPr>
          <w:rFonts w:hint="eastAsia"/>
          <w:u w:val="single"/>
        </w:rPr>
        <w:t>（2）乙方负责根据上述规范要求完成甲方项目所有岩（矿）石鉴定与试验样品的加工制备。</w:t>
      </w:r>
    </w:p>
    <w:p w14:paraId="2CD776FA">
      <w:pPr>
        <w:ind w:firstLine="640" w:firstLineChars="200"/>
        <w:rPr>
          <w:u w:val="single"/>
        </w:rPr>
      </w:pPr>
      <w:r>
        <w:rPr>
          <w:rFonts w:hint="eastAsia"/>
          <w:u w:val="single"/>
        </w:rPr>
        <w:t>（3）所有样品按上述规范要求及时完成接收及鉴定和分析测试工作，最后一批样品送达后1各月内完成所有样品的鉴定和分析测试工作。</w:t>
      </w:r>
    </w:p>
    <w:p w14:paraId="2922CE60">
      <w:pPr>
        <w:ind w:firstLine="640" w:firstLineChars="200"/>
        <w:rPr>
          <w:u w:val="single"/>
        </w:rPr>
      </w:pPr>
      <w:r>
        <w:rPr>
          <w:rFonts w:hint="eastAsia"/>
          <w:u w:val="single"/>
        </w:rPr>
        <w:t>（4）所有样品的鉴定和分析测试结果出来后1个月内，乙方组织完成岩（矿）石鉴定与试验成果报告编写及评审工作。</w:t>
      </w:r>
    </w:p>
    <w:p w14:paraId="4E39EEB0">
      <w:pPr>
        <w:ind w:firstLine="640" w:firstLineChars="200"/>
        <w:rPr>
          <w:u w:val="single"/>
        </w:rPr>
      </w:pPr>
      <w:r>
        <w:rPr>
          <w:rFonts w:hint="eastAsia"/>
          <w:u w:val="single"/>
        </w:rPr>
        <w:t>（5）以上各阶段工作按时间节点完成，成果资料质量需满足相关技术规范要求。各阶段的评审验收需有甲方的关键技术人员参与。各阶段提交成果资料纸质一式两份及相应的电子版。</w:t>
      </w:r>
    </w:p>
    <w:p w14:paraId="209CF25A">
      <w:pPr>
        <w:ind w:firstLine="640" w:firstLineChars="200"/>
      </w:pPr>
      <w:r>
        <w:rPr>
          <w:rFonts w:hint="eastAsia"/>
          <w:u w:val="single"/>
        </w:rPr>
        <w:t>甲方若推迟送样，乙方将根据甲方送达样品的时间顺延推迟提交报告时间。</w:t>
      </w:r>
    </w:p>
    <w:p w14:paraId="48E2D99F">
      <w:pPr>
        <w:ind w:firstLine="640" w:firstLineChars="200"/>
      </w:pPr>
      <w:r>
        <w:rPr>
          <w:rFonts w:hint="eastAsia"/>
        </w:rPr>
        <w:t>4.项目工作质量要求：</w:t>
      </w:r>
      <w:r>
        <w:rPr>
          <w:rFonts w:hint="eastAsia"/>
          <w:u w:val="single"/>
        </w:rPr>
        <w:t>根据海南省地质局省财政项目管理要求，分析测试单位中标后，要编制工作方案并评审备案。岩（矿）石鉴定与试验样品加工严格遵照《地质矿产实验室测试质量管理规范》（DZ/T0130－2006）等技术标准执行；岩（矿）石鉴定与试验样品分析测试严格按照《锆矿石化学分析方法 第1部分：锆铪合量测定》（GB/T 17416.1-2010）、《锆矿石化学分析方法 第2部分：锆量和铪量测定》（GB/T 17416.2-2010）、《硅酸盐岩石化学分析方法 第30部分：44个元素量测定》（GB/T 14506.30–2010）、《区域地球化学样品分析方法 第32部分：镧、铈等15个稀土元素量测定 封闭酸熔–电感耦合等离子体质谱法》（DZ/T 0279.32–2016）等相关技术标准执行。项目涉及岩矿测试、岩矿鉴定、自然重砂分析等所有样品加工处理、分析测试、质量监控与数据验收等要严格遵照上述相关技术规范要求执行。项目样品分析测试数据及其质量满足本次调查评价及其成果应用要求。</w:t>
      </w:r>
    </w:p>
    <w:p w14:paraId="3D4FE1FD">
      <w:pPr>
        <w:pStyle w:val="2"/>
        <w:numPr>
          <w:ilvl w:val="0"/>
          <w:numId w:val="1"/>
        </w:numPr>
        <w:ind w:firstLine="643" w:firstLineChars="200"/>
      </w:pPr>
      <w:r>
        <w:rPr>
          <w:rFonts w:hint="eastAsia"/>
        </w:rPr>
        <w:t>双方的权利与义务（应包括提供的技术资料、工作条件、事件及方式等内容）</w:t>
      </w:r>
    </w:p>
    <w:p w14:paraId="0C17FBCA">
      <w:pPr>
        <w:ind w:firstLine="643" w:firstLineChars="200"/>
        <w:rPr>
          <w:b/>
        </w:rPr>
      </w:pPr>
      <w:r>
        <w:rPr>
          <w:rFonts w:hint="eastAsia"/>
          <w:b/>
        </w:rPr>
        <w:t>甲方：</w:t>
      </w:r>
    </w:p>
    <w:p w14:paraId="4223CC26">
      <w:pPr>
        <w:ind w:firstLine="640" w:firstLineChars="200"/>
        <w:rPr>
          <w:u w:val="single"/>
        </w:rPr>
      </w:pPr>
      <w:r>
        <w:rPr>
          <w:rFonts w:hint="eastAsia"/>
          <w:highlight w:val="yellow"/>
          <w:u w:val="single"/>
        </w:rPr>
        <w:t>1.及时送样，</w:t>
      </w:r>
      <w:r>
        <w:rPr>
          <w:rFonts w:hint="eastAsia"/>
          <w:u w:val="single"/>
        </w:rPr>
        <w:t>保证各类样品采集符合相关规范要求。</w:t>
      </w:r>
    </w:p>
    <w:p w14:paraId="7783B006">
      <w:pPr>
        <w:ind w:firstLine="640" w:firstLineChars="200"/>
        <w:rPr>
          <w:u w:val="single"/>
        </w:rPr>
      </w:pPr>
      <w:r>
        <w:rPr>
          <w:rFonts w:hint="eastAsia"/>
          <w:u w:val="single"/>
        </w:rPr>
        <w:t>2.甲方应及时提供分析测试经费，保障乙方顺利进行分析测试工作。</w:t>
      </w:r>
    </w:p>
    <w:p w14:paraId="398C3108">
      <w:pPr>
        <w:ind w:firstLine="640" w:firstLineChars="200"/>
        <w:rPr>
          <w:u w:val="single"/>
        </w:rPr>
      </w:pPr>
      <w:r>
        <w:rPr>
          <w:rFonts w:hint="eastAsia"/>
          <w:u w:val="single"/>
        </w:rPr>
        <w:t>3.甲方应及时提供样品分析测试送样单或填写送样委托书，以便乙方及时安排检测工作。</w:t>
      </w:r>
    </w:p>
    <w:p w14:paraId="0C322499">
      <w:pPr>
        <w:ind w:firstLine="643" w:firstLineChars="200"/>
        <w:rPr>
          <w:b/>
        </w:rPr>
      </w:pPr>
      <w:r>
        <w:rPr>
          <w:rFonts w:hint="eastAsia"/>
          <w:b/>
        </w:rPr>
        <w:t>乙方：</w:t>
      </w:r>
    </w:p>
    <w:p w14:paraId="5D96926A">
      <w:pPr>
        <w:spacing w:before="62" w:beforeLines="20" w:after="62" w:afterLines="20"/>
        <w:ind w:firstLine="640" w:firstLineChars="200"/>
        <w:rPr>
          <w:u w:val="single"/>
        </w:rPr>
      </w:pPr>
      <w:r>
        <w:rPr>
          <w:highlight w:val="yellow"/>
          <w:u w:val="single"/>
        </w:rPr>
        <w:t>1</w:t>
      </w:r>
      <w:r>
        <w:rPr>
          <w:rFonts w:hint="eastAsia"/>
          <w:highlight w:val="yellow"/>
          <w:u w:val="single"/>
        </w:rPr>
        <w:t>.</w:t>
      </w:r>
      <w:r>
        <w:rPr>
          <w:highlight w:val="yellow"/>
          <w:u w:val="single"/>
        </w:rPr>
        <w:t>乙方负责派专人与甲方项目野外工作组对接，及时做好样品接收工作。</w:t>
      </w:r>
    </w:p>
    <w:p w14:paraId="3C0C5F6A">
      <w:pPr>
        <w:spacing w:before="62" w:beforeLines="20" w:after="62" w:afterLines="20" w:line="360" w:lineRule="auto"/>
        <w:ind w:firstLine="640" w:firstLineChars="200"/>
        <w:rPr>
          <w:u w:val="single"/>
        </w:rPr>
      </w:pPr>
      <w:r>
        <w:rPr>
          <w:u w:val="single"/>
        </w:rPr>
        <w:t>2</w:t>
      </w:r>
      <w:r>
        <w:rPr>
          <w:rFonts w:hint="eastAsia"/>
          <w:u w:val="single"/>
        </w:rPr>
        <w:t>.乙方负责根据《地质矿产实验室测试质量管理规范》（DZ/T0130－2006）等规范要求完成甲方项目所有岩（矿）石鉴定与试验样品的加工制备</w:t>
      </w:r>
      <w:r>
        <w:rPr>
          <w:rFonts w:hint="eastAsia"/>
          <w:highlight w:val="yellow"/>
          <w:u w:val="single"/>
        </w:rPr>
        <w:t>。相关样品检测副样按规范要求保存。</w:t>
      </w:r>
    </w:p>
    <w:p w14:paraId="39E47B9D">
      <w:pPr>
        <w:spacing w:before="62" w:beforeLines="20" w:after="62" w:afterLines="20" w:line="360" w:lineRule="auto"/>
        <w:ind w:firstLine="640" w:firstLineChars="200"/>
        <w:rPr>
          <w:highlight w:val="yellow"/>
          <w:u w:val="single"/>
        </w:rPr>
      </w:pPr>
      <w:r>
        <w:rPr>
          <w:rFonts w:hint="eastAsia"/>
          <w:highlight w:val="yellow"/>
          <w:u w:val="single"/>
        </w:rPr>
        <w:t>3.未经甲方同意，乙方不得将该项目进行分包。</w:t>
      </w:r>
    </w:p>
    <w:p w14:paraId="166D1001">
      <w:pPr>
        <w:spacing w:after="62" w:afterLines="20" w:line="360" w:lineRule="auto"/>
        <w:ind w:firstLine="640" w:firstLineChars="200"/>
        <w:rPr>
          <w:highlight w:val="yellow"/>
          <w:u w:val="single"/>
        </w:rPr>
      </w:pPr>
      <w:r>
        <w:rPr>
          <w:rFonts w:hint="eastAsia"/>
          <w:highlight w:val="yellow"/>
          <w:u w:val="single"/>
        </w:rPr>
        <w:t>4.项目实施中，确保人员、设备和资金使用安全。所造成的人员、设备和环境事故与甲方无关。</w:t>
      </w:r>
    </w:p>
    <w:p w14:paraId="7A6ECEA3">
      <w:pPr>
        <w:spacing w:before="62" w:beforeLines="20" w:after="62" w:afterLines="20"/>
        <w:ind w:firstLine="640" w:firstLineChars="200"/>
        <w:rPr>
          <w:u w:val="single"/>
        </w:rPr>
      </w:pPr>
      <w:r>
        <w:rPr>
          <w:rFonts w:hint="eastAsia"/>
          <w:highlight w:val="yellow"/>
          <w:u w:val="single"/>
        </w:rPr>
        <w:t>5.乙方组织业内相关专家按</w:t>
      </w:r>
      <w:r>
        <w:rPr>
          <w:rFonts w:hint="eastAsia"/>
          <w:u w:val="single"/>
        </w:rPr>
        <w:t>照《地质矿产实验室测试质量管理规范》（DZ/T0130－2006）、《锆矿石化学分析方法 第1部分：锆铪合量测定》（GB/T 17416.1-2010）、《锆矿石化学分析方法 第2部分：锆量和铪量测定》（GB/T 17416.2-2010）、《硅酸盐岩石化学分析方法 第30部分：44个元素量测定》（GB/T 14506.30–2010）、《区域地球化学样品分析方法 第32部分：镧、铈等15个稀土元素量测定 封闭酸熔–电感耦合等离子体质谱法》（DZ/T 0279.32–2016）等现行技术规范和要求进行数据验收，提交专家组验收意见。验收产生的费用由乙方承担。</w:t>
      </w:r>
    </w:p>
    <w:p w14:paraId="3BDCE5E7">
      <w:pPr>
        <w:pStyle w:val="2"/>
        <w:numPr>
          <w:ilvl w:val="0"/>
          <w:numId w:val="1"/>
        </w:numPr>
        <w:ind w:firstLine="643" w:firstLineChars="200"/>
      </w:pPr>
      <w:r>
        <w:rPr>
          <w:rFonts w:hint="eastAsia"/>
        </w:rPr>
        <w:t>甲方向乙方支付检测工作费用及支付方式</w:t>
      </w:r>
    </w:p>
    <w:p w14:paraId="16AACE68">
      <w:pPr>
        <w:ind w:firstLine="640" w:firstLineChars="200"/>
        <w:rPr>
          <w:u w:val="single"/>
        </w:rPr>
      </w:pPr>
      <w:r>
        <w:rPr>
          <w:rFonts w:hint="eastAsia"/>
        </w:rPr>
        <w:t>1.检测工作费用总额为：</w:t>
      </w:r>
      <w:r>
        <w:rPr>
          <w:rFonts w:hint="eastAsia"/>
          <w:u w:val="single"/>
        </w:rPr>
        <w:t>人民币      (小写：¥    )</w:t>
      </w:r>
    </w:p>
    <w:p w14:paraId="17672114">
      <w:pPr>
        <w:numPr>
          <w:ilvl w:val="0"/>
          <w:numId w:val="2"/>
        </w:numPr>
        <w:ind w:left="0" w:firstLine="640"/>
      </w:pPr>
      <w:r>
        <w:rPr>
          <w:highlight w:val="yellow"/>
        </w:rPr>
        <w:t>因地质工作的不可预见性，</w:t>
      </w:r>
      <w:r>
        <w:t>样品实际工作量与设计工作量有偏差时，以实际工作量为准，按</w:t>
      </w:r>
      <w:r>
        <w:rPr>
          <w:rFonts w:hint="eastAsia"/>
        </w:rPr>
        <w:t>乙方检测项目报价</w:t>
      </w:r>
      <w:r>
        <w:t>据实结算委托费用。</w:t>
      </w:r>
    </w:p>
    <w:p w14:paraId="79ACA9A3">
      <w:pPr>
        <w:numPr>
          <w:ilvl w:val="0"/>
          <w:numId w:val="2"/>
        </w:numPr>
        <w:ind w:left="0" w:firstLine="640"/>
      </w:pPr>
      <w:r>
        <w:rPr>
          <w:rFonts w:hint="eastAsia"/>
        </w:rPr>
        <w:t>最终结算时，按</w:t>
      </w:r>
      <w:r>
        <w:rPr>
          <w:rFonts w:hint="eastAsia"/>
          <w:u w:val="single"/>
        </w:rPr>
        <w:t>实际完成样品测试数量及乙方检测项目报价</w:t>
      </w:r>
      <w:r>
        <w:rPr>
          <w:rFonts w:hint="eastAsia"/>
        </w:rPr>
        <w:t>进行结算，甲方支付的检测费总额</w:t>
      </w:r>
      <w:r>
        <w:rPr>
          <w:rFonts w:hint="eastAsia"/>
          <w:u w:val="single"/>
        </w:rPr>
        <w:t xml:space="preserve"> 不超过 </w:t>
      </w:r>
      <w:r>
        <w:rPr>
          <w:rFonts w:hint="eastAsia"/>
        </w:rPr>
        <w:t>中标总价。</w:t>
      </w:r>
    </w:p>
    <w:p w14:paraId="45011B1D">
      <w:pPr>
        <w:numPr>
          <w:ilvl w:val="0"/>
          <w:numId w:val="3"/>
        </w:numPr>
        <w:ind w:firstLine="640" w:firstLineChars="200"/>
      </w:pPr>
      <w:r>
        <w:rPr>
          <w:rFonts w:hint="eastAsia"/>
        </w:rPr>
        <w:t>检测工作费用由甲方</w:t>
      </w:r>
      <w:r>
        <w:rPr>
          <w:rFonts w:hint="eastAsia"/>
          <w:u w:val="single"/>
        </w:rPr>
        <w:t xml:space="preserve"> 分期 </w:t>
      </w:r>
      <w:r>
        <w:rPr>
          <w:rFonts w:hint="eastAsia"/>
        </w:rPr>
        <w:t>支付乙方。具体支付方式和时间如下：</w:t>
      </w:r>
    </w:p>
    <w:p w14:paraId="0131B320">
      <w:pPr>
        <w:numPr>
          <w:ilvl w:val="0"/>
          <w:numId w:val="4"/>
        </w:numPr>
        <w:ind w:left="0" w:firstLine="640"/>
        <w:rPr>
          <w:u w:val="single"/>
        </w:rPr>
      </w:pPr>
      <w:r>
        <w:rPr>
          <w:rFonts w:hint="eastAsia"/>
        </w:rPr>
        <w:t>合同签订生效之日起，并收到乙方开具的符合税法规定的增值税普通发票后10个工作日内，甲方支付合同金额的</w:t>
      </w:r>
      <w:r>
        <w:rPr>
          <w:rFonts w:hint="eastAsia"/>
          <w:u w:val="single"/>
          <w:lang w:val="en-US" w:eastAsia="zh-CN"/>
        </w:rPr>
        <w:t>5</w:t>
      </w:r>
      <w:r>
        <w:rPr>
          <w:rFonts w:hint="eastAsia"/>
          <w:u w:val="single"/>
        </w:rPr>
        <w:t>0%（含税）</w:t>
      </w:r>
      <w:r>
        <w:rPr>
          <w:rFonts w:hint="eastAsia"/>
        </w:rPr>
        <w:t>，</w:t>
      </w:r>
      <w:r>
        <w:rPr>
          <w:rFonts w:hint="eastAsia"/>
          <w:u w:val="single"/>
        </w:rPr>
        <w:t>即人民币  （小写：¥   ）；</w:t>
      </w:r>
    </w:p>
    <w:p w14:paraId="16D1A05D">
      <w:pPr>
        <w:numPr>
          <w:ilvl w:val="0"/>
          <w:numId w:val="4"/>
        </w:numPr>
        <w:ind w:left="0" w:firstLine="640"/>
        <w:rPr>
          <w:u w:val="single"/>
        </w:rPr>
      </w:pPr>
      <w:r>
        <w:rPr>
          <w:rFonts w:hint="eastAsia"/>
        </w:rPr>
        <w:t>甲方送完所有项目分析样品后10个工作日内，根据乙方开具的符合税法规定的增值税普通发票甲方支付合同金额的</w:t>
      </w:r>
      <w:r>
        <w:rPr>
          <w:rFonts w:hint="eastAsia"/>
          <w:u w:val="single"/>
          <w:lang w:val="en-US" w:eastAsia="zh-CN"/>
        </w:rPr>
        <w:t>3</w:t>
      </w:r>
      <w:r>
        <w:rPr>
          <w:rFonts w:hint="eastAsia"/>
          <w:u w:val="single"/>
        </w:rPr>
        <w:t>0%（含税）</w:t>
      </w:r>
      <w:r>
        <w:rPr>
          <w:rFonts w:hint="eastAsia"/>
        </w:rPr>
        <w:t>，</w:t>
      </w:r>
      <w:r>
        <w:rPr>
          <w:rFonts w:hint="eastAsia"/>
          <w:u w:val="single"/>
        </w:rPr>
        <w:t>即人民币  （小写：¥   ）；</w:t>
      </w:r>
    </w:p>
    <w:p w14:paraId="1FD9F483">
      <w:pPr>
        <w:numPr>
          <w:ilvl w:val="0"/>
          <w:numId w:val="4"/>
        </w:numPr>
        <w:ind w:left="0" w:firstLine="640"/>
        <w:rPr>
          <w:u w:val="single"/>
        </w:rPr>
      </w:pPr>
      <w:r>
        <w:rPr>
          <w:rFonts w:hint="eastAsia"/>
        </w:rPr>
        <w:t>乙方提交全部检测报告、质量评述报告及质量验收意见书，并由甲方验收通过后10个工作日内据乙方开具的符合税法规定的增值税普通发票，</w:t>
      </w:r>
      <w:r>
        <w:rPr>
          <w:rFonts w:hint="eastAsia"/>
          <w:u w:val="single"/>
        </w:rPr>
        <w:t>按最终结算总额支付尾款</w:t>
      </w:r>
      <w:r>
        <w:rPr>
          <w:rFonts w:hint="eastAsia"/>
        </w:rPr>
        <w:t>；</w:t>
      </w:r>
      <w:bookmarkStart w:id="4" w:name="_GoBack"/>
      <w:bookmarkEnd w:id="4"/>
      <w:r>
        <w:rPr>
          <w:rFonts w:hint="eastAsia"/>
        </w:rPr>
        <w:t>若最终结算检测费总额</w:t>
      </w:r>
      <w:r>
        <w:rPr>
          <w:rFonts w:hint="eastAsia"/>
          <w:u w:val="single"/>
        </w:rPr>
        <w:t>不低于</w:t>
      </w:r>
      <w:r>
        <w:rPr>
          <w:rFonts w:hint="eastAsia"/>
        </w:rPr>
        <w:t>乙方中标总价，则甲方支付合同额</w:t>
      </w:r>
      <w:r>
        <w:rPr>
          <w:rFonts w:hint="eastAsia"/>
          <w:u w:val="single"/>
        </w:rPr>
        <w:t>20%（含税）</w:t>
      </w:r>
      <w:r>
        <w:rPr>
          <w:rFonts w:hint="eastAsia"/>
        </w:rPr>
        <w:t>，</w:t>
      </w:r>
      <w:r>
        <w:rPr>
          <w:rFonts w:hint="eastAsia"/>
          <w:u w:val="single"/>
        </w:rPr>
        <w:t>即人民币  （小写：¥   ）。</w:t>
      </w:r>
    </w:p>
    <w:p w14:paraId="723B2893">
      <w:pPr>
        <w:numPr>
          <w:ilvl w:val="0"/>
          <w:numId w:val="4"/>
        </w:numPr>
        <w:ind w:left="0" w:firstLine="640"/>
        <w:rPr>
          <w:u w:val="single"/>
        </w:rPr>
      </w:pPr>
      <w:r>
        <w:rPr>
          <w:rFonts w:hint="eastAsia"/>
        </w:rPr>
        <w:t>如果因乙方未能按合同进度完成测试工作，造成甲方资金未能及时支付项目经费，导致资金被省财政厅收回，所造成的一切损失，甲方不承担任何责任。</w:t>
      </w:r>
    </w:p>
    <w:p w14:paraId="761DB2E9">
      <w:pPr>
        <w:pStyle w:val="2"/>
        <w:numPr>
          <w:ilvl w:val="0"/>
          <w:numId w:val="1"/>
        </w:numPr>
        <w:ind w:firstLine="643" w:firstLineChars="200"/>
      </w:pPr>
      <w:r>
        <w:rPr>
          <w:rFonts w:hint="eastAsia"/>
        </w:rPr>
        <w:t>双方确定因履行本合同应遵守的保密义务</w:t>
      </w:r>
    </w:p>
    <w:p w14:paraId="7F507D53">
      <w:pPr>
        <w:ind w:firstLine="643" w:firstLineChars="200"/>
        <w:rPr>
          <w:b/>
        </w:rPr>
      </w:pPr>
      <w:r>
        <w:rPr>
          <w:rFonts w:hint="eastAsia"/>
          <w:b/>
        </w:rPr>
        <w:t>甲方：</w:t>
      </w:r>
    </w:p>
    <w:p w14:paraId="11B3154A">
      <w:pPr>
        <w:ind w:firstLine="640" w:firstLineChars="200"/>
        <w:rPr>
          <w:u w:val="single"/>
        </w:rPr>
      </w:pPr>
      <w:r>
        <w:rPr>
          <w:rFonts w:hint="eastAsia"/>
        </w:rPr>
        <w:t>1.保密内容（包括技术信息和经营信息）：</w:t>
      </w:r>
      <w:r>
        <w:rPr>
          <w:rFonts w:hint="eastAsia"/>
          <w:u w:val="single"/>
        </w:rPr>
        <w:t>经甲乙双方在该相关工作实施中确认的需要保密的其他信息。</w:t>
      </w:r>
    </w:p>
    <w:p w14:paraId="2357874A">
      <w:pPr>
        <w:ind w:firstLine="640" w:firstLineChars="200"/>
        <w:rPr>
          <w:u w:val="single"/>
        </w:rPr>
      </w:pPr>
      <w:r>
        <w:rPr>
          <w:rFonts w:hint="eastAsia"/>
        </w:rPr>
        <w:t>2.涉密人员范围：</w:t>
      </w:r>
      <w:r>
        <w:rPr>
          <w:rFonts w:hint="eastAsia"/>
          <w:u w:val="single"/>
        </w:rPr>
        <w:t>项目组成成员及管理人员等，未经同意不得提供给任何第三方，包括乙方的分支机构，子公司或委托顾问方，接受咨询方。</w:t>
      </w:r>
    </w:p>
    <w:p w14:paraId="1025B4EF">
      <w:pPr>
        <w:pStyle w:val="2"/>
        <w:ind w:firstLine="640" w:firstLineChars="200"/>
        <w:rPr>
          <w:rFonts w:ascii="Times New Roman" w:hAnsi="Times New Roman" w:eastAsia="仿宋_GB2312"/>
          <w:b w:val="0"/>
          <w:bCs w:val="0"/>
          <w:szCs w:val="24"/>
        </w:rPr>
      </w:pPr>
      <w:r>
        <w:rPr>
          <w:rFonts w:hint="eastAsia" w:ascii="Times New Roman" w:hAnsi="Times New Roman" w:eastAsia="仿宋_GB2312"/>
          <w:b w:val="0"/>
          <w:bCs w:val="0"/>
          <w:szCs w:val="24"/>
        </w:rPr>
        <w:t>3.保密期限：</w:t>
      </w:r>
      <w:r>
        <w:rPr>
          <w:rFonts w:hint="eastAsia" w:ascii="Times New Roman" w:hAnsi="Times New Roman" w:eastAsia="仿宋_GB2312"/>
          <w:b w:val="0"/>
          <w:bCs w:val="0"/>
          <w:szCs w:val="24"/>
          <w:u w:val="single"/>
        </w:rPr>
        <w:t>三年。</w:t>
      </w:r>
    </w:p>
    <w:p w14:paraId="23A149BE">
      <w:pPr>
        <w:ind w:firstLine="640" w:firstLineChars="200"/>
        <w:rPr>
          <w:u w:val="single"/>
        </w:rPr>
      </w:pPr>
      <w:r>
        <w:rPr>
          <w:rFonts w:hint="eastAsia"/>
        </w:rPr>
        <w:t>4.项目泄密责任：</w:t>
      </w:r>
      <w:r>
        <w:rPr>
          <w:rFonts w:hint="eastAsia"/>
          <w:u w:val="single"/>
        </w:rPr>
        <w:t>违反本协议的约定，由违约方承担相应责任，并赔偿此产生的一切损失。</w:t>
      </w:r>
    </w:p>
    <w:p w14:paraId="674166B4">
      <w:pPr>
        <w:ind w:firstLine="643" w:firstLineChars="200"/>
        <w:rPr>
          <w:b/>
        </w:rPr>
      </w:pPr>
      <w:r>
        <w:rPr>
          <w:rFonts w:hint="eastAsia"/>
          <w:b/>
        </w:rPr>
        <w:t>乙方：</w:t>
      </w:r>
    </w:p>
    <w:p w14:paraId="54DAC83F">
      <w:pPr>
        <w:ind w:firstLine="640" w:firstLineChars="200"/>
      </w:pPr>
      <w:r>
        <w:rPr>
          <w:rFonts w:hint="eastAsia"/>
        </w:rPr>
        <w:t>1.保密内容（包括技术信息和经营信息）：</w:t>
      </w:r>
      <w:r>
        <w:rPr>
          <w:rFonts w:hint="eastAsia"/>
          <w:u w:val="single"/>
        </w:rPr>
        <w:t>所有分析数据。</w:t>
      </w:r>
    </w:p>
    <w:p w14:paraId="4D7E3FB6">
      <w:pPr>
        <w:ind w:firstLine="640" w:firstLineChars="200"/>
      </w:pPr>
      <w:r>
        <w:rPr>
          <w:rFonts w:hint="eastAsia"/>
        </w:rPr>
        <w:t>2.涉密人员范围：</w:t>
      </w:r>
      <w:r>
        <w:rPr>
          <w:rFonts w:hint="eastAsia"/>
          <w:u w:val="single"/>
        </w:rPr>
        <w:t>相关分析测试人员、数据整理人员。</w:t>
      </w:r>
    </w:p>
    <w:p w14:paraId="0289E0B9">
      <w:pPr>
        <w:ind w:firstLine="640" w:firstLineChars="200"/>
        <w:rPr>
          <w:u w:val="single"/>
        </w:rPr>
      </w:pPr>
      <w:r>
        <w:rPr>
          <w:rFonts w:hint="eastAsia"/>
        </w:rPr>
        <w:t>3.保密期限：</w:t>
      </w:r>
      <w:r>
        <w:rPr>
          <w:rFonts w:hint="eastAsia"/>
          <w:u w:val="single"/>
        </w:rPr>
        <w:t>三年。</w:t>
      </w:r>
    </w:p>
    <w:p w14:paraId="7EC5FC62">
      <w:pPr>
        <w:ind w:firstLine="640" w:firstLineChars="200"/>
        <w:rPr>
          <w:u w:val="single"/>
        </w:rPr>
      </w:pPr>
      <w:r>
        <w:rPr>
          <w:rFonts w:hint="eastAsia"/>
        </w:rPr>
        <w:t>4.泄密责任：</w:t>
      </w:r>
      <w:r>
        <w:rPr>
          <w:rFonts w:hint="eastAsia"/>
          <w:u w:val="single"/>
        </w:rPr>
        <w:t>按照相应法律法规追究相应人员责任。</w:t>
      </w:r>
    </w:p>
    <w:p w14:paraId="0FDB04AC">
      <w:pPr>
        <w:ind w:firstLine="640" w:firstLineChars="200"/>
        <w:rPr>
          <w:u w:val="single"/>
        </w:rPr>
      </w:pPr>
      <w:r>
        <w:rPr>
          <w:rFonts w:hint="eastAsia"/>
        </w:rPr>
        <w:t>5.测试后的副样保存与期限：</w:t>
      </w:r>
      <w:r>
        <w:rPr>
          <w:rFonts w:hint="eastAsia"/>
          <w:u w:val="single"/>
        </w:rPr>
        <w:t>保存三年或根据甲方要求退还。</w:t>
      </w:r>
    </w:p>
    <w:p w14:paraId="1F13BE44">
      <w:pPr>
        <w:pStyle w:val="2"/>
        <w:numPr>
          <w:ilvl w:val="0"/>
          <w:numId w:val="1"/>
        </w:numPr>
        <w:ind w:firstLine="643" w:firstLineChars="200"/>
      </w:pPr>
      <w:r>
        <w:rPr>
          <w:rFonts w:hint="eastAsia"/>
        </w:rPr>
        <w:t>本合同变更必须由双方协商一致，并以书面形式确定</w:t>
      </w:r>
    </w:p>
    <w:p w14:paraId="0825FCFE">
      <w:pPr>
        <w:pStyle w:val="2"/>
        <w:numPr>
          <w:ilvl w:val="0"/>
          <w:numId w:val="1"/>
        </w:numPr>
        <w:ind w:firstLine="643" w:firstLineChars="200"/>
      </w:pPr>
      <w:r>
        <w:rPr>
          <w:rFonts w:hint="eastAsia"/>
        </w:rPr>
        <w:t>双方确定，按以下标准和方式对乙方完成的分析测试成果进行验收</w:t>
      </w:r>
    </w:p>
    <w:p w14:paraId="49CD619C">
      <w:pPr>
        <w:ind w:firstLine="640" w:firstLineChars="200"/>
        <w:rPr>
          <w:u w:val="single"/>
        </w:rPr>
      </w:pPr>
      <w:r>
        <w:rPr>
          <w:rFonts w:hint="eastAsia"/>
        </w:rPr>
        <w:t>1.乙方完成项目工作提交的成果：</w:t>
      </w:r>
      <w:r>
        <w:rPr>
          <w:rFonts w:hint="eastAsia"/>
          <w:u w:val="single"/>
        </w:rPr>
        <w:t>样品检测报告、分析质量评述报告和专家组验收意见。其中，样品分析测试报告和质控报告纸质版一式两份（加盖单位公章、CMA资质章），并提供相应文件电子版。与项目工作相关的图片及其他资料。</w:t>
      </w:r>
    </w:p>
    <w:p w14:paraId="030B0338">
      <w:pPr>
        <w:ind w:firstLine="640" w:firstLineChars="200"/>
        <w:rPr>
          <w:u w:val="single"/>
        </w:rPr>
      </w:pPr>
      <w:r>
        <w:rPr>
          <w:rFonts w:hint="eastAsia"/>
        </w:rPr>
        <w:t>2.项目成果的验收标准：</w:t>
      </w:r>
      <w:r>
        <w:rPr>
          <w:rFonts w:hint="eastAsia"/>
          <w:u w:val="single"/>
        </w:rPr>
        <w:t>乙方组织业内相关专家按照《地质矿产实验室测试质量管理规范》（DZ/T0130－2006）、《锆矿石化学分析方法 第1部分：锆铪合量测定》（GB/T 17416.1-2010）、《锆矿石化学分析方法 第2部分：锆量和铪量测定》（GB/T 17416.2-2010）、《硅酸盐岩石化学分析方法 第30部分：44个元素量测定》（GB/T 14506.30–2010）、《区域地球化学样品分析方法 第32部分：镧、铈等15个稀土元素量测定 封闭酸熔–电感耦合等离子体质谱法》（DZ/T 0279.32–2016）等现行技术规范和要求进行数据验收。</w:t>
      </w:r>
    </w:p>
    <w:p w14:paraId="1318BDC9">
      <w:pPr>
        <w:ind w:firstLine="640" w:firstLineChars="200"/>
        <w:rPr>
          <w:u w:val="single"/>
        </w:rPr>
      </w:pPr>
      <w:r>
        <w:rPr>
          <w:rFonts w:hint="eastAsia"/>
        </w:rPr>
        <w:t>3.验收的时间：</w:t>
      </w:r>
      <w:r>
        <w:rPr>
          <w:rFonts w:hint="eastAsia"/>
          <w:u w:val="single"/>
        </w:rPr>
        <w:t>2025年  月   日前</w:t>
      </w:r>
    </w:p>
    <w:p w14:paraId="698D1277">
      <w:pPr>
        <w:pStyle w:val="2"/>
        <w:numPr>
          <w:ilvl w:val="0"/>
          <w:numId w:val="1"/>
        </w:numPr>
        <w:ind w:firstLine="643" w:firstLineChars="200"/>
      </w:pPr>
      <w:r>
        <w:rPr>
          <w:rFonts w:hint="eastAsia"/>
        </w:rPr>
        <w:t>双方确定</w:t>
      </w:r>
    </w:p>
    <w:p w14:paraId="3A9BEC7A">
      <w:pPr>
        <w:ind w:firstLine="640" w:firstLineChars="200"/>
      </w:pPr>
      <w:r>
        <w:rPr>
          <w:rFonts w:hint="eastAsia"/>
        </w:rPr>
        <w:t>1.在合同有效期内，甲方利用乙方提交的项目工作成果所完成的新的技术成果，归</w:t>
      </w:r>
      <w:r>
        <w:rPr>
          <w:rFonts w:hint="eastAsia"/>
          <w:u w:val="single"/>
        </w:rPr>
        <w:t xml:space="preserve">  甲  </w:t>
      </w:r>
      <w:r>
        <w:rPr>
          <w:rFonts w:hint="eastAsia"/>
        </w:rPr>
        <w:t>方所有。</w:t>
      </w:r>
    </w:p>
    <w:p w14:paraId="218D65F1">
      <w:pPr>
        <w:ind w:firstLine="640" w:firstLineChars="200"/>
      </w:pPr>
      <w:r>
        <w:rPr>
          <w:rFonts w:hint="eastAsia"/>
        </w:rPr>
        <w:t>2.在本合同有效期内，乙方利用甲方提供的技术资料和工作条件所完成的新技术成果，归</w:t>
      </w:r>
      <w:r>
        <w:rPr>
          <w:rFonts w:hint="eastAsia"/>
          <w:u w:val="single"/>
        </w:rPr>
        <w:t xml:space="preserve">  双  </w:t>
      </w:r>
      <w:r>
        <w:rPr>
          <w:rFonts w:hint="eastAsia"/>
        </w:rPr>
        <w:t>方所有。</w:t>
      </w:r>
    </w:p>
    <w:p w14:paraId="6CED9811">
      <w:pPr>
        <w:pStyle w:val="2"/>
        <w:numPr>
          <w:ilvl w:val="0"/>
          <w:numId w:val="1"/>
        </w:numPr>
        <w:ind w:firstLine="643" w:firstLineChars="200"/>
      </w:pPr>
      <w:r>
        <w:rPr>
          <w:rFonts w:hint="eastAsia"/>
        </w:rPr>
        <w:t>双方确定按以下约定承担违约责任</w:t>
      </w:r>
    </w:p>
    <w:p w14:paraId="44814502">
      <w:pPr>
        <w:ind w:firstLine="640" w:firstLineChars="200"/>
      </w:pPr>
      <w:r>
        <w:rPr>
          <w:rFonts w:hint="eastAsia"/>
        </w:rPr>
        <w:t>1.任何一方</w:t>
      </w:r>
      <w:r>
        <w:rPr>
          <w:rFonts w:hint="eastAsia"/>
          <w:u w:val="single"/>
        </w:rPr>
        <w:t>违反本合同约定造成对方合同目的无法实现的，守约方有权解除合同，违约方应赔偿守约方因此所造成的损失，并按本合同总金额的30‰支付违约金</w:t>
      </w:r>
      <w:r>
        <w:rPr>
          <w:rFonts w:hint="eastAsia"/>
        </w:rPr>
        <w:t>。</w:t>
      </w:r>
    </w:p>
    <w:p w14:paraId="5E4FE080">
      <w:pPr>
        <w:ind w:firstLine="640" w:firstLineChars="200"/>
      </w:pPr>
      <w:r>
        <w:rPr>
          <w:rFonts w:hint="eastAsia"/>
        </w:rPr>
        <w:t>2.</w:t>
      </w:r>
      <w:r>
        <w:rPr>
          <w:rFonts w:hint="eastAsia"/>
          <w:u w:val="single"/>
        </w:rPr>
        <w:t xml:space="preserve"> 乙 </w:t>
      </w:r>
      <w:r>
        <w:rPr>
          <w:rFonts w:hint="eastAsia"/>
        </w:rPr>
        <w:t>方违反本合同第</w:t>
      </w:r>
      <w:r>
        <w:rPr>
          <w:rFonts w:hint="eastAsia"/>
          <w:u w:val="single"/>
        </w:rPr>
        <w:t xml:space="preserve"> 五 </w:t>
      </w:r>
      <w:r>
        <w:rPr>
          <w:rFonts w:hint="eastAsia"/>
        </w:rPr>
        <w:t>条约定，应当</w:t>
      </w:r>
      <w:r>
        <w:rPr>
          <w:rFonts w:hint="eastAsia"/>
          <w:u w:val="single"/>
        </w:rPr>
        <w:t>按本合同总金额10‰支付违约金。</w:t>
      </w:r>
    </w:p>
    <w:p w14:paraId="666C29A3">
      <w:pPr>
        <w:ind w:firstLine="640" w:firstLineChars="200"/>
      </w:pPr>
      <w:r>
        <w:rPr>
          <w:rFonts w:hint="eastAsia"/>
        </w:rPr>
        <w:t>3.</w:t>
      </w:r>
      <w:r>
        <w:rPr>
          <w:rFonts w:hint="eastAsia"/>
          <w:u w:val="single"/>
        </w:rPr>
        <w:t xml:space="preserve"> 乙 </w:t>
      </w:r>
      <w:r>
        <w:rPr>
          <w:rFonts w:hint="eastAsia"/>
        </w:rPr>
        <w:t>方未按本合同第二条提交相关数据及报告的，或</w:t>
      </w:r>
      <w:r>
        <w:rPr>
          <w:rFonts w:hint="eastAsia"/>
          <w:u w:val="single"/>
        </w:rPr>
        <w:t xml:space="preserve"> 甲</w:t>
      </w:r>
      <w:r>
        <w:rPr>
          <w:rFonts w:hint="eastAsia"/>
        </w:rPr>
        <w:t xml:space="preserve">  方未按本合同第</w:t>
      </w:r>
      <w:r>
        <w:rPr>
          <w:rFonts w:hint="eastAsia"/>
          <w:u w:val="single"/>
        </w:rPr>
        <w:t xml:space="preserve"> 四 </w:t>
      </w:r>
      <w:r>
        <w:rPr>
          <w:rFonts w:hint="eastAsia"/>
        </w:rPr>
        <w:t>条付款的，每逾期一日，违约方应按本合同总金额的万分之二向守约方支付违约金。</w:t>
      </w:r>
    </w:p>
    <w:p w14:paraId="7B7A94D1">
      <w:pPr>
        <w:ind w:firstLine="643" w:firstLineChars="200"/>
      </w:pPr>
      <w:r>
        <w:rPr>
          <w:rFonts w:hint="eastAsia" w:ascii="Arial" w:hAnsi="Arial" w:eastAsia="黑体"/>
          <w:b/>
          <w:bCs/>
          <w:szCs w:val="32"/>
        </w:rPr>
        <w:t>第十条</w:t>
      </w:r>
      <w:r>
        <w:rPr>
          <w:rFonts w:hint="eastAsia"/>
        </w:rPr>
        <w:t xml:space="preserve">  双方确定，在本合同有效期内，甲方指定</w:t>
      </w:r>
      <w:r>
        <w:rPr>
          <w:rFonts w:hint="eastAsia"/>
          <w:u w:val="single"/>
        </w:rPr>
        <w:t xml:space="preserve">  </w:t>
      </w:r>
      <w:r>
        <w:rPr>
          <w:rFonts w:hint="eastAsia"/>
        </w:rPr>
        <w:t>为甲方项目联系人，联系电话：</w:t>
      </w:r>
      <w:r>
        <w:rPr>
          <w:rFonts w:hint="eastAsia"/>
          <w:u w:val="single"/>
        </w:rPr>
        <w:t xml:space="preserve">    </w:t>
      </w:r>
      <w:r>
        <w:rPr>
          <w:rFonts w:hint="eastAsia"/>
        </w:rPr>
        <w:t>；乙方指定</w:t>
      </w:r>
      <w:r>
        <w:rPr>
          <w:rFonts w:hint="eastAsia"/>
          <w:u w:val="single"/>
        </w:rPr>
        <w:t xml:space="preserve">    </w:t>
      </w:r>
      <w:r>
        <w:rPr>
          <w:rFonts w:hint="eastAsia"/>
        </w:rPr>
        <w:t>为乙方项目联系人。联系电话：</w:t>
      </w:r>
      <w:r>
        <w:rPr>
          <w:rFonts w:hint="eastAsia"/>
          <w:u w:val="single"/>
        </w:rPr>
        <w:t xml:space="preserve">     </w:t>
      </w:r>
      <w:r>
        <w:rPr>
          <w:rFonts w:hint="eastAsia"/>
        </w:rPr>
        <w:t>；联系人承担以下责任：</w:t>
      </w:r>
    </w:p>
    <w:p w14:paraId="06323FCC">
      <w:pPr>
        <w:ind w:firstLine="640" w:firstLineChars="200"/>
      </w:pPr>
      <w:r>
        <w:rPr>
          <w:rFonts w:hint="eastAsia"/>
        </w:rPr>
        <w:t>1.</w:t>
      </w:r>
      <w:r>
        <w:rPr>
          <w:rFonts w:hint="eastAsia"/>
          <w:u w:val="single"/>
        </w:rPr>
        <w:t>负责合同履行期间的联系与沟通，确保项目顺利实施；</w:t>
      </w:r>
    </w:p>
    <w:p w14:paraId="2CCAC517">
      <w:pPr>
        <w:ind w:firstLine="640" w:firstLineChars="200"/>
      </w:pPr>
      <w:r>
        <w:rPr>
          <w:rFonts w:hint="eastAsia"/>
        </w:rPr>
        <w:t>2.</w:t>
      </w:r>
      <w:r>
        <w:rPr>
          <w:rFonts w:hint="eastAsia"/>
          <w:u w:val="single"/>
        </w:rPr>
        <w:t>负责组织、协调、解决合同履行期间的相关问题。</w:t>
      </w:r>
    </w:p>
    <w:p w14:paraId="3FE7A906">
      <w:pPr>
        <w:ind w:firstLine="640" w:firstLineChars="200"/>
      </w:pPr>
      <w:r>
        <w:rPr>
          <w:rFonts w:hint="eastAsia"/>
        </w:rPr>
        <w:t>一方变更联系人的，应当及时以书面形式通知另一方。未及时通知并影响本合同履行或造成损失的，应承担相应的责任。</w:t>
      </w:r>
    </w:p>
    <w:p w14:paraId="1722BAEF">
      <w:pPr>
        <w:ind w:firstLine="643" w:firstLineChars="200"/>
      </w:pPr>
      <w:r>
        <w:rPr>
          <w:rFonts w:hint="eastAsia" w:ascii="Arial" w:hAnsi="Arial" w:eastAsia="黑体"/>
          <w:b/>
          <w:bCs/>
          <w:szCs w:val="32"/>
        </w:rPr>
        <w:t>第十一条</w:t>
      </w:r>
      <w:r>
        <w:rPr>
          <w:rFonts w:hint="eastAsia"/>
        </w:rPr>
        <w:t xml:space="preserve">  双方确定，因不可抗力致使不能实现合同目的，致使本合同的履行成为不必要或不可能的，一方可以通知另一方解除本合同。</w:t>
      </w:r>
    </w:p>
    <w:p w14:paraId="14137AD1">
      <w:pPr>
        <w:pStyle w:val="2"/>
        <w:spacing w:line="360" w:lineRule="auto"/>
        <w:ind w:firstLine="643" w:firstLineChars="200"/>
        <w:rPr>
          <w:rFonts w:ascii="Times New Roman" w:hAnsi="Times New Roman" w:eastAsia="仿宋_GB2312"/>
          <w:b w:val="0"/>
          <w:bCs w:val="0"/>
          <w:szCs w:val="24"/>
        </w:rPr>
      </w:pPr>
      <w:r>
        <w:rPr>
          <w:rFonts w:hint="eastAsia"/>
        </w:rPr>
        <w:t xml:space="preserve">第十二条  </w:t>
      </w:r>
      <w:r>
        <w:rPr>
          <w:rFonts w:hint="eastAsia" w:ascii="Times New Roman" w:hAnsi="Times New Roman" w:eastAsia="仿宋_GB2312"/>
          <w:b w:val="0"/>
          <w:bCs w:val="0"/>
          <w:szCs w:val="24"/>
        </w:rPr>
        <w:t>双方因履行本合同而发生的争议，应协商、调解解决。协商、调解不成的，依法向海口市人民法院起诉。</w:t>
      </w:r>
    </w:p>
    <w:p w14:paraId="64CEE7BA">
      <w:pPr>
        <w:ind w:firstLine="643" w:firstLineChars="200"/>
      </w:pPr>
      <w:r>
        <w:rPr>
          <w:rFonts w:hint="eastAsia" w:ascii="Arial" w:hAnsi="Arial" w:eastAsia="黑体"/>
          <w:b/>
          <w:bCs/>
          <w:szCs w:val="32"/>
        </w:rPr>
        <w:t>第十三条</w:t>
      </w:r>
      <w:r>
        <w:rPr>
          <w:rFonts w:hint="eastAsia"/>
        </w:rPr>
        <w:t xml:space="preserve">  本合同一式</w:t>
      </w:r>
      <w:r>
        <w:rPr>
          <w:rFonts w:hint="eastAsia"/>
          <w:u w:val="single"/>
        </w:rPr>
        <w:t xml:space="preserve"> </w:t>
      </w:r>
      <w:r>
        <w:rPr>
          <w:rFonts w:hint="eastAsia"/>
          <w:u w:val="single"/>
          <w:lang w:val="en-US" w:eastAsia="zh-CN"/>
        </w:rPr>
        <w:t>柒</w:t>
      </w:r>
      <w:r>
        <w:rPr>
          <w:rFonts w:hint="eastAsia"/>
          <w:u w:val="single"/>
        </w:rPr>
        <w:t xml:space="preserve"> </w:t>
      </w:r>
      <w:r>
        <w:rPr>
          <w:rFonts w:hint="eastAsia"/>
        </w:rPr>
        <w:t>份，甲乙双方各执</w:t>
      </w:r>
      <w:r>
        <w:rPr>
          <w:rFonts w:hint="eastAsia"/>
          <w:u w:val="single"/>
        </w:rPr>
        <w:t xml:space="preserve"> 叁 </w:t>
      </w:r>
      <w:r>
        <w:rPr>
          <w:rFonts w:hint="eastAsia"/>
        </w:rPr>
        <w:t>份，招标代理公司执</w:t>
      </w:r>
      <w:r>
        <w:rPr>
          <w:rFonts w:hint="eastAsia"/>
          <w:u w:val="single"/>
        </w:rPr>
        <w:t xml:space="preserve"> 壹 </w:t>
      </w:r>
      <w:r>
        <w:rPr>
          <w:rFonts w:hint="eastAsia"/>
        </w:rPr>
        <w:t>份，具有同等法律效力。</w:t>
      </w:r>
    </w:p>
    <w:p w14:paraId="2846950C">
      <w:pPr>
        <w:pStyle w:val="2"/>
        <w:ind w:firstLine="643" w:firstLineChars="200"/>
        <w:rPr>
          <w:rFonts w:ascii="Times New Roman" w:hAnsi="Times New Roman" w:eastAsia="仿宋_GB2312"/>
          <w:b w:val="0"/>
          <w:bCs w:val="0"/>
          <w:szCs w:val="24"/>
        </w:rPr>
      </w:pPr>
      <w:r>
        <w:rPr>
          <w:rFonts w:hint="eastAsia"/>
        </w:rPr>
        <w:t xml:space="preserve">第十四条 </w:t>
      </w:r>
      <w:r>
        <w:rPr>
          <w:rFonts w:hint="eastAsia" w:ascii="Times New Roman" w:hAnsi="Times New Roman" w:eastAsia="仿宋_GB2312"/>
          <w:b w:val="0"/>
          <w:bCs w:val="0"/>
          <w:szCs w:val="24"/>
        </w:rPr>
        <w:t>本合同经双方签字盖章后生效。</w:t>
      </w:r>
    </w:p>
    <w:p w14:paraId="498E2022">
      <w:pPr>
        <w:ind w:firstLine="643" w:firstLineChars="200"/>
      </w:pPr>
      <w:r>
        <w:rPr>
          <w:rFonts w:hint="eastAsia" w:ascii="Arial" w:hAnsi="Arial" w:eastAsia="黑体"/>
          <w:b/>
          <w:bCs/>
          <w:szCs w:val="32"/>
        </w:rPr>
        <w:t>第十五条</w:t>
      </w:r>
      <w:r>
        <w:rPr>
          <w:rFonts w:hint="eastAsia"/>
          <w:b/>
          <w:bCs/>
          <w:szCs w:val="32"/>
        </w:rPr>
        <w:t xml:space="preserve"> </w:t>
      </w:r>
      <w:r>
        <w:rPr>
          <w:rFonts w:hint="eastAsia"/>
        </w:rPr>
        <w:t>合同标的及双方责任与义务全面履行完毕，合同终止。</w:t>
      </w:r>
    </w:p>
    <w:p w14:paraId="3E70F209">
      <w:pPr>
        <w:rPr>
          <w:b/>
          <w:bCs/>
        </w:rPr>
      </w:pPr>
      <w:r>
        <w:rPr>
          <w:rFonts w:hint="eastAsia"/>
          <w:b/>
          <w:bCs/>
        </w:rPr>
        <w:t>（以下无正文）</w:t>
      </w:r>
    </w:p>
    <w:p w14:paraId="379CB499"/>
    <w:p w14:paraId="3AF58D35">
      <w:pPr>
        <w:pStyle w:val="2"/>
      </w:pPr>
    </w:p>
    <w:p w14:paraId="4476FC20">
      <w:pPr>
        <w:pStyle w:val="2"/>
      </w:pPr>
    </w:p>
    <w:p w14:paraId="75A29205">
      <w:pPr>
        <w:snapToGrid w:val="0"/>
        <w:spacing w:line="600" w:lineRule="exact"/>
        <w:ind w:right="-403" w:rightChars="-126"/>
        <w:rPr>
          <w:rFonts w:eastAsia="宋体"/>
          <w:sz w:val="28"/>
          <w:szCs w:val="28"/>
        </w:rPr>
      </w:pPr>
      <w:r>
        <w:rPr>
          <w:rFonts w:eastAsia="宋体"/>
          <w:sz w:val="28"/>
          <w:szCs w:val="28"/>
        </w:rPr>
        <w:t>甲方：</w:t>
      </w:r>
      <w:r>
        <w:rPr>
          <w:rFonts w:hint="eastAsia" w:eastAsia="宋体"/>
          <w:sz w:val="28"/>
          <w:szCs w:val="28"/>
          <w:u w:val="single"/>
        </w:rPr>
        <w:t xml:space="preserve">        </w:t>
      </w:r>
      <w:r>
        <w:rPr>
          <w:rFonts w:hAnsi="宋体" w:eastAsia="宋体"/>
          <w:b/>
          <w:sz w:val="28"/>
          <w:szCs w:val="28"/>
          <w:u w:val="single"/>
        </w:rPr>
        <w:t>海南省</w:t>
      </w:r>
      <w:r>
        <w:rPr>
          <w:rFonts w:hint="eastAsia" w:hAnsi="宋体" w:eastAsia="宋体"/>
          <w:b/>
          <w:sz w:val="28"/>
          <w:szCs w:val="28"/>
          <w:u w:val="single"/>
        </w:rPr>
        <w:t>地质调查院</w:t>
      </w:r>
      <w:r>
        <w:rPr>
          <w:rFonts w:hint="eastAsia" w:eastAsia="宋体"/>
          <w:sz w:val="28"/>
          <w:szCs w:val="28"/>
          <w:u w:val="single"/>
        </w:rPr>
        <w:t xml:space="preserve"> </w:t>
      </w:r>
      <w:r>
        <w:rPr>
          <w:rFonts w:eastAsia="宋体"/>
          <w:sz w:val="28"/>
          <w:szCs w:val="28"/>
          <w:u w:val="single"/>
        </w:rPr>
        <w:t xml:space="preserve">     </w:t>
      </w:r>
      <w:r>
        <w:rPr>
          <w:rFonts w:hint="eastAsia" w:eastAsia="宋体"/>
          <w:sz w:val="28"/>
          <w:szCs w:val="28"/>
        </w:rPr>
        <w:t xml:space="preserve"> </w:t>
      </w:r>
      <w:r>
        <w:rPr>
          <w:rFonts w:eastAsia="宋体"/>
          <w:sz w:val="28"/>
          <w:szCs w:val="28"/>
        </w:rPr>
        <w:t xml:space="preserve">  </w:t>
      </w:r>
    </w:p>
    <w:p w14:paraId="51819BD3">
      <w:pPr>
        <w:snapToGrid w:val="0"/>
        <w:spacing w:line="600" w:lineRule="exact"/>
        <w:ind w:right="-403" w:rightChars="-126"/>
        <w:rPr>
          <w:rFonts w:eastAsia="宋体"/>
          <w:sz w:val="28"/>
          <w:szCs w:val="28"/>
        </w:rPr>
      </w:pPr>
      <w:r>
        <w:rPr>
          <w:rFonts w:eastAsia="宋体"/>
          <w:sz w:val="28"/>
          <w:szCs w:val="28"/>
        </w:rPr>
        <w:t>法定（或授权）代表人：</w:t>
      </w:r>
      <w:r>
        <w:rPr>
          <w:rFonts w:eastAsia="宋体"/>
          <w:sz w:val="28"/>
          <w:szCs w:val="28"/>
          <w:u w:val="single"/>
        </w:rPr>
        <w:t xml:space="preserve">          </w:t>
      </w:r>
      <w:r>
        <w:rPr>
          <w:rFonts w:eastAsia="宋体"/>
          <w:sz w:val="28"/>
          <w:szCs w:val="28"/>
        </w:rPr>
        <w:t xml:space="preserve"> </w:t>
      </w:r>
    </w:p>
    <w:p w14:paraId="3AF3C923">
      <w:pPr>
        <w:snapToGrid w:val="0"/>
        <w:spacing w:line="600" w:lineRule="exact"/>
        <w:ind w:right="-403" w:rightChars="-126"/>
        <w:rPr>
          <w:rFonts w:eastAsia="宋体"/>
          <w:sz w:val="28"/>
          <w:szCs w:val="28"/>
        </w:rPr>
      </w:pPr>
      <w:r>
        <w:rPr>
          <w:rFonts w:hint="eastAsia" w:eastAsia="宋体"/>
          <w:sz w:val="28"/>
          <w:szCs w:val="28"/>
        </w:rPr>
        <w:t>签订日期：</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年</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月</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 xml:space="preserve">日         </w:t>
      </w:r>
      <w:r>
        <w:rPr>
          <w:rFonts w:hint="eastAsia" w:eastAsia="宋体"/>
          <w:sz w:val="28"/>
          <w:szCs w:val="28"/>
        </w:rPr>
        <w:t xml:space="preserve">  </w:t>
      </w:r>
      <w:r>
        <w:rPr>
          <w:rFonts w:eastAsia="宋体"/>
          <w:sz w:val="28"/>
          <w:szCs w:val="28"/>
        </w:rPr>
        <w:t xml:space="preserve">  </w:t>
      </w:r>
    </w:p>
    <w:p w14:paraId="7384BE1D">
      <w:pPr>
        <w:snapToGrid w:val="0"/>
        <w:spacing w:line="600" w:lineRule="exact"/>
        <w:ind w:right="-403" w:rightChars="-126"/>
        <w:rPr>
          <w:rFonts w:eastAsia="宋体"/>
          <w:sz w:val="28"/>
          <w:szCs w:val="28"/>
        </w:rPr>
      </w:pPr>
    </w:p>
    <w:p w14:paraId="532F8303">
      <w:pPr>
        <w:snapToGrid w:val="0"/>
        <w:spacing w:line="600" w:lineRule="exact"/>
        <w:ind w:right="-403" w:rightChars="-126"/>
        <w:rPr>
          <w:rFonts w:eastAsia="宋体"/>
          <w:sz w:val="28"/>
          <w:szCs w:val="28"/>
        </w:rPr>
      </w:pPr>
      <w:r>
        <w:rPr>
          <w:rFonts w:hint="eastAsia" w:eastAsia="宋体"/>
          <w:sz w:val="28"/>
          <w:szCs w:val="28"/>
        </w:rPr>
        <w:t>乙方</w:t>
      </w:r>
      <w:r>
        <w:rPr>
          <w:rFonts w:eastAsia="宋体"/>
          <w:sz w:val="28"/>
          <w:szCs w:val="28"/>
        </w:rPr>
        <w:t>：</w:t>
      </w:r>
      <w:r>
        <w:rPr>
          <w:rFonts w:hint="eastAsia" w:eastAsia="宋体"/>
          <w:sz w:val="28"/>
          <w:szCs w:val="28"/>
          <w:u w:val="single"/>
        </w:rPr>
        <w:t xml:space="preserve">      </w:t>
      </w:r>
      <w:r>
        <w:rPr>
          <w:rFonts w:hint="eastAsia" w:hAnsi="宋体" w:eastAsia="宋体"/>
          <w:b/>
          <w:sz w:val="28"/>
          <w:szCs w:val="28"/>
          <w:u w:val="single"/>
        </w:rPr>
        <w:t xml:space="preserve">  </w:t>
      </w:r>
      <w:r>
        <w:rPr>
          <w:rFonts w:hAnsi="宋体" w:eastAsia="宋体"/>
          <w:b/>
          <w:sz w:val="28"/>
          <w:szCs w:val="28"/>
          <w:u w:val="single"/>
        </w:rPr>
        <w:t xml:space="preserve"> </w:t>
      </w:r>
    </w:p>
    <w:p w14:paraId="24D7F144">
      <w:pPr>
        <w:snapToGrid w:val="0"/>
        <w:spacing w:line="600" w:lineRule="exact"/>
        <w:rPr>
          <w:rFonts w:eastAsia="宋体"/>
          <w:sz w:val="28"/>
          <w:szCs w:val="28"/>
          <w:u w:val="single"/>
        </w:rPr>
      </w:pPr>
      <w:r>
        <w:rPr>
          <w:rFonts w:eastAsia="宋体"/>
          <w:sz w:val="28"/>
          <w:szCs w:val="28"/>
        </w:rPr>
        <w:t>法定（或授权）代表人：</w:t>
      </w:r>
      <w:r>
        <w:rPr>
          <w:rFonts w:eastAsia="宋体"/>
          <w:sz w:val="28"/>
          <w:szCs w:val="28"/>
          <w:u w:val="single"/>
        </w:rPr>
        <w:t xml:space="preserve">          </w:t>
      </w:r>
    </w:p>
    <w:p w14:paraId="0EFBA3C6">
      <w:pPr>
        <w:snapToGrid w:val="0"/>
        <w:spacing w:line="600" w:lineRule="exact"/>
        <w:rPr>
          <w:rFonts w:eastAsia="宋体"/>
          <w:sz w:val="28"/>
          <w:szCs w:val="28"/>
        </w:rPr>
      </w:pPr>
      <w:r>
        <w:rPr>
          <w:rFonts w:hint="eastAsia" w:eastAsia="宋体"/>
          <w:sz w:val="28"/>
          <w:szCs w:val="28"/>
        </w:rPr>
        <w:t>开户银行：</w:t>
      </w:r>
    </w:p>
    <w:p w14:paraId="1645BF2C">
      <w:pPr>
        <w:snapToGrid w:val="0"/>
        <w:spacing w:line="600" w:lineRule="exact"/>
        <w:rPr>
          <w:rFonts w:eastAsia="宋体"/>
          <w:sz w:val="28"/>
          <w:szCs w:val="28"/>
        </w:rPr>
      </w:pPr>
      <w:r>
        <w:rPr>
          <w:rFonts w:hint="eastAsia" w:eastAsia="宋体"/>
          <w:sz w:val="28"/>
          <w:szCs w:val="28"/>
        </w:rPr>
        <w:t>银行账户：</w:t>
      </w:r>
    </w:p>
    <w:p w14:paraId="47D01DC5">
      <w:pPr>
        <w:snapToGrid w:val="0"/>
        <w:spacing w:line="600" w:lineRule="exact"/>
        <w:rPr>
          <w:rFonts w:eastAsia="宋体"/>
          <w:sz w:val="28"/>
          <w:szCs w:val="28"/>
        </w:rPr>
      </w:pPr>
      <w:r>
        <w:rPr>
          <w:rFonts w:hint="eastAsia" w:eastAsia="宋体"/>
          <w:sz w:val="28"/>
          <w:szCs w:val="28"/>
        </w:rPr>
        <w:t>签订日期：</w:t>
      </w:r>
      <w:r>
        <w:rPr>
          <w:rFonts w:eastAsia="宋体"/>
          <w:sz w:val="28"/>
          <w:szCs w:val="28"/>
        </w:rPr>
        <w:t xml:space="preserve"> </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年</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月</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日</w:t>
      </w:r>
    </w:p>
    <w:p w14:paraId="1ABC3C9C">
      <w:pPr>
        <w:snapToGrid w:val="0"/>
        <w:spacing w:line="600" w:lineRule="exact"/>
        <w:jc w:val="right"/>
        <w:rPr>
          <w:rFonts w:eastAsia="宋体"/>
          <w:sz w:val="28"/>
          <w:szCs w:val="28"/>
        </w:rPr>
      </w:pPr>
    </w:p>
    <w:p w14:paraId="480A68DC">
      <w:pPr>
        <w:snapToGrid w:val="0"/>
        <w:spacing w:line="600" w:lineRule="exact"/>
        <w:rPr>
          <w:rFonts w:eastAsia="宋体"/>
          <w:sz w:val="28"/>
          <w:szCs w:val="28"/>
          <w:u w:val="single"/>
        </w:rPr>
      </w:pPr>
      <w:r>
        <w:rPr>
          <w:rFonts w:hint="eastAsia" w:eastAsia="宋体"/>
          <w:sz w:val="28"/>
          <w:szCs w:val="28"/>
        </w:rPr>
        <w:t>招投标代理公司：</w:t>
      </w:r>
      <w:r>
        <w:rPr>
          <w:rFonts w:hint="eastAsia" w:eastAsia="宋体"/>
          <w:b/>
          <w:bCs/>
          <w:sz w:val="28"/>
          <w:szCs w:val="28"/>
          <w:u w:val="single"/>
        </w:rPr>
        <w:t>海南和信源招标代理有限公司</w:t>
      </w:r>
    </w:p>
    <w:p w14:paraId="52CC5346">
      <w:pPr>
        <w:snapToGrid w:val="0"/>
        <w:spacing w:line="600" w:lineRule="exact"/>
        <w:rPr>
          <w:rFonts w:eastAsia="宋体"/>
          <w:sz w:val="28"/>
          <w:szCs w:val="28"/>
          <w:u w:val="single"/>
        </w:rPr>
      </w:pPr>
      <w:r>
        <w:rPr>
          <w:rFonts w:eastAsia="宋体"/>
          <w:sz w:val="28"/>
          <w:szCs w:val="28"/>
        </w:rPr>
        <w:t>法定（或授权）代表人：</w:t>
      </w:r>
      <w:r>
        <w:rPr>
          <w:rFonts w:eastAsia="宋体"/>
          <w:sz w:val="28"/>
          <w:szCs w:val="28"/>
          <w:u w:val="single"/>
        </w:rPr>
        <w:t xml:space="preserve">          </w:t>
      </w:r>
      <w:r>
        <w:rPr>
          <w:rFonts w:eastAsia="宋体"/>
          <w:sz w:val="28"/>
          <w:szCs w:val="28"/>
        </w:rPr>
        <w:t xml:space="preserve">  </w:t>
      </w:r>
      <w:r>
        <w:rPr>
          <w:rFonts w:hint="eastAsia" w:eastAsia="宋体"/>
          <w:sz w:val="28"/>
          <w:szCs w:val="28"/>
        </w:rPr>
        <w:t xml:space="preserve"> </w:t>
      </w:r>
    </w:p>
    <w:p w14:paraId="47700EF5">
      <w:pPr>
        <w:snapToGrid w:val="0"/>
        <w:spacing w:line="600" w:lineRule="exact"/>
        <w:rPr>
          <w:rFonts w:eastAsia="宋体"/>
          <w:sz w:val="28"/>
          <w:szCs w:val="28"/>
        </w:rPr>
      </w:pPr>
      <w:r>
        <w:rPr>
          <w:rFonts w:hint="eastAsia" w:eastAsia="宋体"/>
          <w:sz w:val="28"/>
          <w:szCs w:val="28"/>
        </w:rPr>
        <w:t>签订日期：</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年</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月</w:t>
      </w:r>
      <w:r>
        <w:rPr>
          <w:rFonts w:eastAsia="宋体"/>
          <w:sz w:val="28"/>
          <w:szCs w:val="28"/>
          <w:u w:val="single"/>
        </w:rPr>
        <w:t xml:space="preserve"> </w:t>
      </w:r>
      <w:r>
        <w:rPr>
          <w:rFonts w:hint="eastAsia" w:eastAsia="宋体"/>
          <w:sz w:val="28"/>
          <w:szCs w:val="28"/>
          <w:u w:val="single"/>
        </w:rPr>
        <w:t xml:space="preserve">  </w:t>
      </w:r>
      <w:r>
        <w:rPr>
          <w:rFonts w:eastAsia="宋体"/>
          <w:sz w:val="28"/>
          <w:szCs w:val="28"/>
          <w:u w:val="single"/>
        </w:rPr>
        <w:t xml:space="preserve"> </w:t>
      </w:r>
      <w:r>
        <w:rPr>
          <w:rFonts w:eastAsia="宋体"/>
          <w:sz w:val="28"/>
          <w:szCs w:val="28"/>
        </w:rPr>
        <w:t>日</w:t>
      </w:r>
    </w:p>
    <w:p w14:paraId="6A1948CC">
      <w:r>
        <w:rPr>
          <w:rFonts w:hint="eastAsia"/>
        </w:rPr>
        <w:br w:type="page"/>
      </w:r>
      <w:r>
        <w:rPr>
          <w:rFonts w:hint="eastAsia"/>
        </w:rPr>
        <w:t>附件（中标通知书）</w:t>
      </w:r>
    </w:p>
    <w:p w14:paraId="656A3D91"/>
    <w:p w14:paraId="148CBB9A"/>
    <w:p w14:paraId="5359129C"/>
    <w:p w14:paraId="48FA85B6"/>
    <w:p w14:paraId="5924B36B"/>
    <w:p w14:paraId="67F4BE53"/>
    <w:p w14:paraId="396A00B3"/>
    <w:p w14:paraId="562A147F"/>
    <w:p w14:paraId="15A19CB3"/>
    <w:p w14:paraId="52278C24"/>
    <w:p w14:paraId="0DFACD24"/>
    <w:p w14:paraId="64DE73AD"/>
    <w:p w14:paraId="11975517"/>
    <w:p w14:paraId="1D098233"/>
    <w:p w14:paraId="6375D0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A4F68D"/>
    <w:multiLevelType w:val="singleLevel"/>
    <w:tmpl w:val="F4A4F68D"/>
    <w:lvl w:ilvl="0" w:tentative="0">
      <w:start w:val="1"/>
      <w:numFmt w:val="decimal"/>
      <w:lvlText w:val="%1)"/>
      <w:lvlJc w:val="left"/>
      <w:pPr>
        <w:ind w:left="1276" w:hanging="425"/>
      </w:pPr>
      <w:rPr>
        <w:rFonts w:hint="default"/>
      </w:rPr>
    </w:lvl>
  </w:abstractNum>
  <w:abstractNum w:abstractNumId="1">
    <w:nsid w:val="1C161952"/>
    <w:multiLevelType w:val="singleLevel"/>
    <w:tmpl w:val="1C161952"/>
    <w:lvl w:ilvl="0" w:tentative="0">
      <w:start w:val="1"/>
      <w:numFmt w:val="decimal"/>
      <w:lvlText w:val="%1)"/>
      <w:lvlJc w:val="left"/>
      <w:pPr>
        <w:ind w:left="425" w:hanging="425"/>
      </w:pPr>
      <w:rPr>
        <w:rFonts w:hint="default"/>
      </w:rPr>
    </w:lvl>
  </w:abstractNum>
  <w:abstractNum w:abstractNumId="2">
    <w:nsid w:val="49ACAEF0"/>
    <w:multiLevelType w:val="singleLevel"/>
    <w:tmpl w:val="49ACAEF0"/>
    <w:lvl w:ilvl="0" w:tentative="0">
      <w:start w:val="1"/>
      <w:numFmt w:val="chineseCounting"/>
      <w:suff w:val="space"/>
      <w:lvlText w:val="第%1条"/>
      <w:lvlJc w:val="left"/>
      <w:rPr>
        <w:rFonts w:hint="eastAsia"/>
      </w:rPr>
    </w:lvl>
  </w:abstractNum>
  <w:abstractNum w:abstractNumId="3">
    <w:nsid w:val="7F94BDAF"/>
    <w:multiLevelType w:val="singleLevel"/>
    <w:tmpl w:val="7F94BDAF"/>
    <w:lvl w:ilvl="0" w:tentative="0">
      <w:start w:val="2"/>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A71"/>
    <w:rsid w:val="00113A7E"/>
    <w:rsid w:val="001A5CC3"/>
    <w:rsid w:val="00303160"/>
    <w:rsid w:val="004F366A"/>
    <w:rsid w:val="00515321"/>
    <w:rsid w:val="00536A02"/>
    <w:rsid w:val="00771A71"/>
    <w:rsid w:val="00AA7CC4"/>
    <w:rsid w:val="00B848E2"/>
    <w:rsid w:val="00BE0262"/>
    <w:rsid w:val="00CF1579"/>
    <w:rsid w:val="00E53249"/>
    <w:rsid w:val="0ABA2D7D"/>
    <w:rsid w:val="1E8108FE"/>
    <w:rsid w:val="2A0D0CC4"/>
    <w:rsid w:val="34221B5F"/>
    <w:rsid w:val="35A42AA6"/>
    <w:rsid w:val="4FED3657"/>
    <w:rsid w:val="5FBE229F"/>
    <w:rsid w:val="6C7F735B"/>
    <w:rsid w:val="767E395F"/>
    <w:rsid w:val="7D0A5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paragraph" w:styleId="2">
    <w:name w:val="heading 2"/>
    <w:basedOn w:val="1"/>
    <w:next w:val="1"/>
    <w:qFormat/>
    <w:uiPriority w:val="0"/>
    <w:pPr>
      <w:keepNext/>
      <w:keepLines/>
      <w:adjustRightInd w:val="0"/>
      <w:snapToGrid w:val="0"/>
      <w:spacing w:before="260" w:after="260" w:line="416" w:lineRule="atLeast"/>
      <w:outlineLvl w:val="1"/>
    </w:pPr>
    <w:rPr>
      <w:rFonts w:ascii="Arial" w:hAnsi="Arial" w:eastAsia="黑体"/>
      <w:b/>
      <w:bCs/>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8">
    <w:name w:val="page numb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20</Pages>
  <Words>2469</Words>
  <Characters>2636</Characters>
  <Lines>66</Lines>
  <Paragraphs>18</Paragraphs>
  <TotalTime>192</TotalTime>
  <ScaleCrop>false</ScaleCrop>
  <LinksUpToDate>false</LinksUpToDate>
  <CharactersWithSpaces>4111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2025-04-23T13:58:00Z</dcterms:created>
  <dc:creator>HP</dc:creator>
  <cp:lastModifiedBy>Zz</cp:lastModifiedBy>
  <dcterms:modified xsi:type="dcterms:W3CDTF">2025-05-14T01:35:13Z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eyJoZGlkIjoiOGRhMzZkODE5MTQyNjg4MzUyYzMxM2RmZDgxY2FlMDciLCJ1c2VySWQiOiIxOTYzNTI4NDkifQ==</vt:lpwstr>
  </property>
  <property fmtid="{D5CDD505-2E9C-101B-9397-08002B2CF9AE}" pid="4" name="ICV">
    <vt:lpwstr>1E15BD2155F54275B58278000BEF38E0_12</vt:lpwstr>
  </property>
</Properties>
</file>