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省电子凭证会计数据标准化平台建设项目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HNGP2025-39</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海南省财政科技服务中心</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海南省政府采购中心</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递交的投标文件撤回后，视为未成功递交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海南省财政科技服务中心</w:t>
      </w:r>
      <w:r>
        <w:rPr>
          <w:rFonts w:ascii="仿宋_GB2312" w:hAnsi="仿宋_GB2312" w:cs="仿宋_GB2312" w:eastAsia="仿宋_GB2312"/>
        </w:rPr>
        <w:t xml:space="preserve"> 委托， </w:t>
      </w:r>
      <w:r>
        <w:rPr>
          <w:rFonts w:ascii="仿宋_GB2312" w:hAnsi="仿宋_GB2312" w:cs="仿宋_GB2312" w:eastAsia="仿宋_GB2312"/>
        </w:rPr>
        <w:t>海南省政府采购中心</w:t>
      </w:r>
      <w:r>
        <w:rPr>
          <w:rFonts w:ascii="仿宋_GB2312" w:hAnsi="仿宋_GB2312" w:cs="仿宋_GB2312" w:eastAsia="仿宋_GB2312"/>
        </w:rPr>
        <w:t xml:space="preserve"> 对 </w:t>
      </w:r>
      <w:r>
        <w:rPr>
          <w:rFonts w:ascii="仿宋_GB2312" w:hAnsi="仿宋_GB2312" w:cs="仿宋_GB2312" w:eastAsia="仿宋_GB2312"/>
        </w:rPr>
        <w:t>省电子凭证会计数据标准化平台建设项目</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HNGP2025-39</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省电子凭证会计数据标准化平台建设项目</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3,710,258.00元</w:t>
      </w:r>
      <w:r>
        <w:rPr>
          <w:rFonts w:ascii="仿宋_GB2312" w:hAnsi="仿宋_GB2312" w:cs="仿宋_GB2312" w:eastAsia="仿宋_GB2312"/>
        </w:rPr>
        <w:t>叁佰柒拾壹万零贰佰伍拾捌元整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详见“第三章 采购需求 ”</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详见“第三章 采购需求 ”</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详见“第三章 采购需求 ”</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详见“第三章 采购需求 ”</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详见“第三章 采购需求 ”</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详见“第三章 采购需求 ”</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详见“第三章 采购需求 ”</w:t>
      </w:r>
    </w:p>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详见“第三章 采购需求 ”</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属于专门面向中小企业小微企业采购，预留比例为100%。</w:t>
      </w:r>
    </w:p>
    <w:p>
      <w:pPr>
        <w:pStyle w:val="null3"/>
        <w:jc w:val="left"/>
      </w:pPr>
      <w:r>
        <w:rPr>
          <w:rFonts w:ascii="仿宋_GB2312" w:hAnsi="仿宋_GB2312" w:cs="仿宋_GB2312" w:eastAsia="仿宋_GB2312"/>
        </w:rPr>
        <w:t>采购包3：不属于专门面向中小企业采购。</w:t>
      </w:r>
    </w:p>
    <w:p>
      <w:pPr>
        <w:pStyle w:val="null3"/>
        <w:jc w:val="left"/>
      </w:pPr>
      <w:r>
        <w:rPr>
          <w:rFonts w:ascii="仿宋_GB2312" w:hAnsi="仿宋_GB2312" w:cs="仿宋_GB2312" w:eastAsia="仿宋_GB2312"/>
        </w:rPr>
        <w:t>采购包4：不属于专门面向中小企业采购。</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属于专门面向中小企业小微企业采购，预留比例为100%。</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属于专门面向中小企业小微企业采购，预留比例为100%。</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属于专门面向中小企业小微企业采购，预留比例为100%。</w:t>
      </w:r>
    </w:p>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属于专门面向中小企业小微企业采购，预留比例为100%。</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1、参加政府采购活动前三年内，无环保类行政处罚记录。：提供无环保类行政处罚记录声明函，加盖公章。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1、参加政府采购活动前三年内，无环保类行政处罚记录。：提供无环保类行政处罚记录声明函，加盖公章。</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1、参加政府采购活动前三年内，无环保类行政处罚记录。：提供无环保类行政处罚记录声明函，加盖公章。</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1、参加政府采购活动前三年内，无环保类行政处罚记录。：提供无环保类行政处罚记录声明函，加盖公章。</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1、参加政府采购活动前三年内，无环保类行政处罚记录。：提供无环保类行政处罚记录声明函，加盖公章。</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1、参加政府采购活动前三年内，无环保类行政处罚记录。：提供无环保类行政处罚记录声明函，加盖公章。</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1、参加政府采购活动前三年内，无环保类行政处罚记录。：提供无环保类行政处罚记录声明函，加盖公章。</w:t>
      </w:r>
    </w:p>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1、参加政府采购活动前三年内，无环保类行政处罚记录。：提供无环保类行政处罚记录声明函，加盖公章。</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请投标人（供应商）详阅本文件中《政府采购电子招标投标活动须知》，并自行在海南省政府采购智慧云平台-下载专区查看相应的系统操作指南，严格按照操作指南要求进行系统操作。技术支持电话：4001691288</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海南省财政科技服务中心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海南省海口市龙华滨海大道109号财政大厦</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 xml:space="preserve"> 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省财政科技服务中心</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0898-68531553</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海南省政府采购中心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海口市美兰区国兴大道9-1号会展中心</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 xml:space="preserve"> 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马先生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0898-66529805</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采购包1：1,097,800.00元</w:t>
            </w:r>
          </w:p>
          <w:p>
            <w:pPr>
              <w:pStyle w:val="null3"/>
              <w:jc w:val="left"/>
            </w:pPr>
            <w:r>
              <w:rPr>
                <w:rFonts w:ascii="仿宋_GB2312" w:hAnsi="仿宋_GB2312" w:cs="仿宋_GB2312" w:eastAsia="仿宋_GB2312"/>
              </w:rPr>
              <w:t>采购包2：721,775.00元</w:t>
            </w:r>
          </w:p>
          <w:p>
            <w:pPr>
              <w:pStyle w:val="null3"/>
              <w:jc w:val="left"/>
            </w:pPr>
            <w:r>
              <w:rPr>
                <w:rFonts w:ascii="仿宋_GB2312" w:hAnsi="仿宋_GB2312" w:cs="仿宋_GB2312" w:eastAsia="仿宋_GB2312"/>
              </w:rPr>
              <w:t>采购包3：481,700.00元</w:t>
            </w:r>
          </w:p>
          <w:p>
            <w:pPr>
              <w:pStyle w:val="null3"/>
              <w:jc w:val="left"/>
            </w:pPr>
            <w:r>
              <w:rPr>
                <w:rFonts w:ascii="仿宋_GB2312" w:hAnsi="仿宋_GB2312" w:cs="仿宋_GB2312" w:eastAsia="仿宋_GB2312"/>
              </w:rPr>
              <w:t>采购包4：832,500.00元</w:t>
            </w:r>
          </w:p>
          <w:p>
            <w:pPr>
              <w:pStyle w:val="null3"/>
              <w:jc w:val="left"/>
            </w:pPr>
            <w:r>
              <w:rPr>
                <w:rFonts w:ascii="仿宋_GB2312" w:hAnsi="仿宋_GB2312" w:cs="仿宋_GB2312" w:eastAsia="仿宋_GB2312"/>
              </w:rPr>
              <w:t>采购包5：121,883.00元</w:t>
            </w:r>
          </w:p>
          <w:p>
            <w:pPr>
              <w:pStyle w:val="null3"/>
              <w:jc w:val="left"/>
            </w:pPr>
            <w:r>
              <w:rPr>
                <w:rFonts w:ascii="仿宋_GB2312" w:hAnsi="仿宋_GB2312" w:cs="仿宋_GB2312" w:eastAsia="仿宋_GB2312"/>
              </w:rPr>
              <w:t>采购包6：250,400.00元</w:t>
            </w:r>
          </w:p>
          <w:p>
            <w:pPr>
              <w:pStyle w:val="null3"/>
              <w:jc w:val="left"/>
            </w:pPr>
            <w:r>
              <w:rPr>
                <w:rFonts w:ascii="仿宋_GB2312" w:hAnsi="仿宋_GB2312" w:cs="仿宋_GB2312" w:eastAsia="仿宋_GB2312"/>
              </w:rPr>
              <w:t>采购包7：84,200.00元</w:t>
            </w:r>
          </w:p>
          <w:p>
            <w:pPr>
              <w:pStyle w:val="null3"/>
              <w:jc w:val="left"/>
            </w:pPr>
            <w:r>
              <w:rPr>
                <w:rFonts w:ascii="仿宋_GB2312" w:hAnsi="仿宋_GB2312" w:cs="仿宋_GB2312" w:eastAsia="仿宋_GB2312"/>
              </w:rPr>
              <w:t>采购包8：120,000.00元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p>
          <w:p>
            <w:pPr>
              <w:pStyle w:val="null3"/>
              <w:jc w:val="left"/>
            </w:pPr>
            <w:r>
              <w:rPr>
                <w:rFonts w:ascii="仿宋_GB2312" w:hAnsi="仿宋_GB2312" w:cs="仿宋_GB2312" w:eastAsia="仿宋_GB2312"/>
              </w:rPr>
              <w:t>采购包4：综合评分法</w:t>
            </w:r>
          </w:p>
          <w:p>
            <w:pPr>
              <w:pStyle w:val="null3"/>
              <w:jc w:val="left"/>
            </w:pPr>
            <w:r>
              <w:rPr>
                <w:rFonts w:ascii="仿宋_GB2312" w:hAnsi="仿宋_GB2312" w:cs="仿宋_GB2312" w:eastAsia="仿宋_GB2312"/>
              </w:rPr>
              <w:t>采购包5：综合评分法</w:t>
            </w:r>
          </w:p>
          <w:p>
            <w:pPr>
              <w:pStyle w:val="null3"/>
              <w:jc w:val="left"/>
            </w:pPr>
            <w:r>
              <w:rPr>
                <w:rFonts w:ascii="仿宋_GB2312" w:hAnsi="仿宋_GB2312" w:cs="仿宋_GB2312" w:eastAsia="仿宋_GB2312"/>
              </w:rPr>
              <w:t>采购包6：综合评分法</w:t>
            </w:r>
          </w:p>
          <w:p>
            <w:pPr>
              <w:pStyle w:val="null3"/>
              <w:jc w:val="left"/>
            </w:pPr>
            <w:r>
              <w:rPr>
                <w:rFonts w:ascii="仿宋_GB2312" w:hAnsi="仿宋_GB2312" w:cs="仿宋_GB2312" w:eastAsia="仿宋_GB2312"/>
              </w:rPr>
              <w:t>采购包7：综合评分法</w:t>
            </w:r>
          </w:p>
          <w:p>
            <w:pPr>
              <w:pStyle w:val="null3"/>
              <w:jc w:val="left"/>
            </w:pPr>
            <w:r>
              <w:rPr>
                <w:rFonts w:ascii="仿宋_GB2312" w:hAnsi="仿宋_GB2312" w:cs="仿宋_GB2312" w:eastAsia="仿宋_GB2312"/>
              </w:rPr>
              <w:t>采购包8：综合评分法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采购包2：不接受</w:t>
            </w:r>
          </w:p>
          <w:p>
            <w:pPr>
              <w:pStyle w:val="null3"/>
              <w:jc w:val="left"/>
            </w:pPr>
            <w:r>
              <w:rPr>
                <w:rFonts w:ascii="仿宋_GB2312" w:hAnsi="仿宋_GB2312" w:cs="仿宋_GB2312" w:eastAsia="仿宋_GB2312"/>
              </w:rPr>
              <w:t>采购包3：不接受</w:t>
            </w:r>
          </w:p>
          <w:p>
            <w:pPr>
              <w:pStyle w:val="null3"/>
              <w:jc w:val="left"/>
            </w:pPr>
            <w:r>
              <w:rPr>
                <w:rFonts w:ascii="仿宋_GB2312" w:hAnsi="仿宋_GB2312" w:cs="仿宋_GB2312" w:eastAsia="仿宋_GB2312"/>
              </w:rPr>
              <w:t>采购包4：不接受</w:t>
            </w:r>
          </w:p>
          <w:p>
            <w:pPr>
              <w:pStyle w:val="null3"/>
              <w:jc w:val="left"/>
            </w:pPr>
            <w:r>
              <w:rPr>
                <w:rFonts w:ascii="仿宋_GB2312" w:hAnsi="仿宋_GB2312" w:cs="仿宋_GB2312" w:eastAsia="仿宋_GB2312"/>
              </w:rPr>
              <w:t>采购包5：不接受</w:t>
            </w:r>
          </w:p>
          <w:p>
            <w:pPr>
              <w:pStyle w:val="null3"/>
              <w:jc w:val="left"/>
            </w:pPr>
            <w:r>
              <w:rPr>
                <w:rFonts w:ascii="仿宋_GB2312" w:hAnsi="仿宋_GB2312" w:cs="仿宋_GB2312" w:eastAsia="仿宋_GB2312"/>
              </w:rPr>
              <w:t>采购包6：不接受</w:t>
            </w:r>
          </w:p>
          <w:p>
            <w:pPr>
              <w:pStyle w:val="null3"/>
              <w:jc w:val="left"/>
            </w:pPr>
            <w:r>
              <w:rPr>
                <w:rFonts w:ascii="仿宋_GB2312" w:hAnsi="仿宋_GB2312" w:cs="仿宋_GB2312" w:eastAsia="仿宋_GB2312"/>
              </w:rPr>
              <w:t>采购包7：不接受</w:t>
            </w:r>
          </w:p>
          <w:p>
            <w:pPr>
              <w:pStyle w:val="null3"/>
              <w:jc w:val="left"/>
            </w:pPr>
            <w:r>
              <w:rPr>
                <w:rFonts w:ascii="仿宋_GB2312" w:hAnsi="仿宋_GB2312" w:cs="仿宋_GB2312" w:eastAsia="仿宋_GB2312"/>
              </w:rPr>
              <w:t>采购包8：不接受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p>
            <w:pPr>
              <w:pStyle w:val="null3"/>
              <w:jc w:val="left"/>
            </w:pPr>
            <w:r>
              <w:rPr>
                <w:rFonts w:ascii="仿宋_GB2312" w:hAnsi="仿宋_GB2312" w:cs="仿宋_GB2312" w:eastAsia="仿宋_GB2312"/>
              </w:rPr>
              <w:t>采购包2：不缴纳</w:t>
            </w:r>
          </w:p>
          <w:p>
            <w:pPr>
              <w:pStyle w:val="null3"/>
              <w:jc w:val="left"/>
            </w:pPr>
            <w:r>
              <w:rPr>
                <w:rFonts w:ascii="仿宋_GB2312" w:hAnsi="仿宋_GB2312" w:cs="仿宋_GB2312" w:eastAsia="仿宋_GB2312"/>
              </w:rPr>
              <w:t>采购包3：不缴纳</w:t>
            </w:r>
          </w:p>
          <w:p>
            <w:pPr>
              <w:pStyle w:val="null3"/>
              <w:jc w:val="left"/>
            </w:pPr>
            <w:r>
              <w:rPr>
                <w:rFonts w:ascii="仿宋_GB2312" w:hAnsi="仿宋_GB2312" w:cs="仿宋_GB2312" w:eastAsia="仿宋_GB2312"/>
              </w:rPr>
              <w:t>采购包4：不缴纳</w:t>
            </w:r>
          </w:p>
          <w:p>
            <w:pPr>
              <w:pStyle w:val="null3"/>
              <w:jc w:val="left"/>
            </w:pPr>
            <w:r>
              <w:rPr>
                <w:rFonts w:ascii="仿宋_GB2312" w:hAnsi="仿宋_GB2312" w:cs="仿宋_GB2312" w:eastAsia="仿宋_GB2312"/>
              </w:rPr>
              <w:t>采购包5：不缴纳</w:t>
            </w:r>
          </w:p>
          <w:p>
            <w:pPr>
              <w:pStyle w:val="null3"/>
              <w:jc w:val="left"/>
            </w:pPr>
            <w:r>
              <w:rPr>
                <w:rFonts w:ascii="仿宋_GB2312" w:hAnsi="仿宋_GB2312" w:cs="仿宋_GB2312" w:eastAsia="仿宋_GB2312"/>
              </w:rPr>
              <w:t>采购包6：不缴纳</w:t>
            </w:r>
          </w:p>
          <w:p>
            <w:pPr>
              <w:pStyle w:val="null3"/>
              <w:jc w:val="left"/>
            </w:pPr>
            <w:r>
              <w:rPr>
                <w:rFonts w:ascii="仿宋_GB2312" w:hAnsi="仿宋_GB2312" w:cs="仿宋_GB2312" w:eastAsia="仿宋_GB2312"/>
              </w:rPr>
              <w:t>采购包7：不缴纳</w:t>
            </w:r>
          </w:p>
          <w:p>
            <w:pPr>
              <w:pStyle w:val="null3"/>
              <w:jc w:val="left"/>
            </w:pPr>
            <w:r>
              <w:rPr>
                <w:rFonts w:ascii="仿宋_GB2312" w:hAnsi="仿宋_GB2312" w:cs="仿宋_GB2312" w:eastAsia="仿宋_GB2312"/>
              </w:rPr>
              <w:t>采购包8：不缴纳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l 投标有效期为从递交投标文件的截止之日起60个日历日，有效期短于此规定的投标文件将被视为无效。 2在特殊情况下，采购中心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代理服务费收费标准：本项目收取代理服务费 代理服务费用收取对象：中标/成交供应商 代理服务费收费标准：本项目收取代理服务费 代理服务费用收取对象：中标/成交供应商 代理服务费收费标准：本项目收取代理服务费 代理服务费用收取对象：中标/成交供应商 代理服务费收费标准：本项目收取代理服务费 代理服务费用收取对象：中标/成交供应商 代理服务费收费标准：1.本项目向中标人收取服务费。参照《海南省物价局关于降低部分招标代理服务收费标准的通知》（琼价费管[2011]225号）标准的80%收取。费用由海南省公共资源交易服务中心收取并向中标人出具代理服务费票据。 缴纳方式：以公对公转账方式将服务费缴入指定账户（账号将另行通知）。 2.投标人中标后，须按招标文件的规定缴纳中标服务费，否则，采购中心将不向其发出中标通知书。 3.不论招标结果如何，投标人应自行承担其准备和参加本次采购活动所涉及的一切费用。</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（2）中国政府采购网海南分网（海南省政府采购智慧云平台），网址https://ccgp-hainan.gov.cn/。</w:t>
            </w:r>
          </w:p>
          <w:p>
            <w:pPr>
              <w:pStyle w:val="null3"/>
              <w:jc w:val="left"/>
            </w:pPr>
            <w:r>
              <w:rPr>
                <w:rFonts w:ascii="仿宋_GB2312" w:hAnsi="仿宋_GB2312" w:cs="仿宋_GB2312" w:eastAsia="仿宋_GB2312"/>
              </w:rPr>
              <w:t>※若出现上述指定媒体信息不一致情形，应以中国政府采购网海南分网（海南省政府采购智慧云平台）发布的为准。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p>
            <w:pPr>
              <w:pStyle w:val="null3"/>
              <w:jc w:val="left"/>
            </w:pPr>
            <w:r>
              <w:rPr>
                <w:rFonts w:ascii="仿宋_GB2312" w:hAnsi="仿宋_GB2312" w:cs="仿宋_GB2312" w:eastAsia="仿宋_GB2312"/>
              </w:rPr>
              <w:t>采购包2：不允许分包；</w:t>
            </w:r>
          </w:p>
          <w:p>
            <w:pPr>
              <w:pStyle w:val="null3"/>
              <w:jc w:val="left"/>
            </w:pPr>
            <w:r>
              <w:rPr>
                <w:rFonts w:ascii="仿宋_GB2312" w:hAnsi="仿宋_GB2312" w:cs="仿宋_GB2312" w:eastAsia="仿宋_GB2312"/>
              </w:rPr>
              <w:t>采购包3：不允许分包；</w:t>
            </w:r>
          </w:p>
          <w:p>
            <w:pPr>
              <w:pStyle w:val="null3"/>
              <w:jc w:val="left"/>
            </w:pPr>
            <w:r>
              <w:rPr>
                <w:rFonts w:ascii="仿宋_GB2312" w:hAnsi="仿宋_GB2312" w:cs="仿宋_GB2312" w:eastAsia="仿宋_GB2312"/>
              </w:rPr>
              <w:t>采购包4：不允许分包；</w:t>
            </w:r>
          </w:p>
          <w:p>
            <w:pPr>
              <w:pStyle w:val="null3"/>
              <w:jc w:val="left"/>
            </w:pPr>
            <w:r>
              <w:rPr>
                <w:rFonts w:ascii="仿宋_GB2312" w:hAnsi="仿宋_GB2312" w:cs="仿宋_GB2312" w:eastAsia="仿宋_GB2312"/>
              </w:rPr>
              <w:t>采购包5：不允许分包；</w:t>
            </w:r>
          </w:p>
          <w:p>
            <w:pPr>
              <w:pStyle w:val="null3"/>
              <w:jc w:val="left"/>
            </w:pPr>
            <w:r>
              <w:rPr>
                <w:rFonts w:ascii="仿宋_GB2312" w:hAnsi="仿宋_GB2312" w:cs="仿宋_GB2312" w:eastAsia="仿宋_GB2312"/>
              </w:rPr>
              <w:t>采购包6：不允许分包；</w:t>
            </w:r>
          </w:p>
          <w:p>
            <w:pPr>
              <w:pStyle w:val="null3"/>
              <w:jc w:val="left"/>
            </w:pPr>
            <w:r>
              <w:rPr>
                <w:rFonts w:ascii="仿宋_GB2312" w:hAnsi="仿宋_GB2312" w:cs="仿宋_GB2312" w:eastAsia="仿宋_GB2312"/>
              </w:rPr>
              <w:t>采购包7：不允许分包；</w:t>
            </w:r>
          </w:p>
          <w:p>
            <w:pPr>
              <w:pStyle w:val="null3"/>
              <w:jc w:val="left"/>
            </w:pPr>
            <w:r>
              <w:rPr>
                <w:rFonts w:ascii="仿宋_GB2312" w:hAnsi="仿宋_GB2312" w:cs="仿宋_GB2312" w:eastAsia="仿宋_GB2312"/>
              </w:rPr>
              <w:t>采购包8：不允许分包；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p>
            <w:pPr>
              <w:pStyle w:val="null3"/>
              <w:jc w:val="left"/>
            </w:pPr>
            <w:r>
              <w:rPr>
                <w:rFonts w:ascii="仿宋_GB2312" w:hAnsi="仿宋_GB2312" w:cs="仿宋_GB2312" w:eastAsia="仿宋_GB2312"/>
              </w:rPr>
              <w:t>采购包2：3名</w:t>
            </w:r>
          </w:p>
          <w:p>
            <w:pPr>
              <w:pStyle w:val="null3"/>
              <w:jc w:val="left"/>
            </w:pPr>
            <w:r>
              <w:rPr>
                <w:rFonts w:ascii="仿宋_GB2312" w:hAnsi="仿宋_GB2312" w:cs="仿宋_GB2312" w:eastAsia="仿宋_GB2312"/>
              </w:rPr>
              <w:t>采购包3：3名</w:t>
            </w:r>
          </w:p>
          <w:p>
            <w:pPr>
              <w:pStyle w:val="null3"/>
              <w:jc w:val="left"/>
            </w:pPr>
            <w:r>
              <w:rPr>
                <w:rFonts w:ascii="仿宋_GB2312" w:hAnsi="仿宋_GB2312" w:cs="仿宋_GB2312" w:eastAsia="仿宋_GB2312"/>
              </w:rPr>
              <w:t>采购包4：3名</w:t>
            </w:r>
          </w:p>
          <w:p>
            <w:pPr>
              <w:pStyle w:val="null3"/>
              <w:jc w:val="left"/>
            </w:pPr>
            <w:r>
              <w:rPr>
                <w:rFonts w:ascii="仿宋_GB2312" w:hAnsi="仿宋_GB2312" w:cs="仿宋_GB2312" w:eastAsia="仿宋_GB2312"/>
              </w:rPr>
              <w:t>采购包5：3名</w:t>
            </w:r>
          </w:p>
          <w:p>
            <w:pPr>
              <w:pStyle w:val="null3"/>
              <w:jc w:val="left"/>
            </w:pPr>
            <w:r>
              <w:rPr>
                <w:rFonts w:ascii="仿宋_GB2312" w:hAnsi="仿宋_GB2312" w:cs="仿宋_GB2312" w:eastAsia="仿宋_GB2312"/>
              </w:rPr>
              <w:t>采购包6：3名</w:t>
            </w:r>
          </w:p>
          <w:p>
            <w:pPr>
              <w:pStyle w:val="null3"/>
              <w:jc w:val="left"/>
            </w:pPr>
            <w:r>
              <w:rPr>
                <w:rFonts w:ascii="仿宋_GB2312" w:hAnsi="仿宋_GB2312" w:cs="仿宋_GB2312" w:eastAsia="仿宋_GB2312"/>
              </w:rPr>
              <w:t>采购包7：3名</w:t>
            </w:r>
          </w:p>
          <w:p>
            <w:pPr>
              <w:pStyle w:val="null3"/>
              <w:jc w:val="left"/>
            </w:pPr>
            <w:r>
              <w:rPr>
                <w:rFonts w:ascii="仿宋_GB2312" w:hAnsi="仿宋_GB2312" w:cs="仿宋_GB2312" w:eastAsia="仿宋_GB2312"/>
              </w:rPr>
              <w:t>采购包8：3名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p>
            <w:pPr>
              <w:pStyle w:val="null3"/>
              <w:jc w:val="left"/>
            </w:pPr>
            <w:r>
              <w:rPr>
                <w:rFonts w:ascii="仿宋_GB2312" w:hAnsi="仿宋_GB2312" w:cs="仿宋_GB2312" w:eastAsia="仿宋_GB2312"/>
              </w:rPr>
              <w:t>采购包3：1名</w:t>
            </w:r>
          </w:p>
          <w:p>
            <w:pPr>
              <w:pStyle w:val="null3"/>
              <w:jc w:val="left"/>
            </w:pPr>
            <w:r>
              <w:rPr>
                <w:rFonts w:ascii="仿宋_GB2312" w:hAnsi="仿宋_GB2312" w:cs="仿宋_GB2312" w:eastAsia="仿宋_GB2312"/>
              </w:rPr>
              <w:t>采购包4：1名</w:t>
            </w:r>
          </w:p>
          <w:p>
            <w:pPr>
              <w:pStyle w:val="null3"/>
              <w:jc w:val="left"/>
            </w:pPr>
            <w:r>
              <w:rPr>
                <w:rFonts w:ascii="仿宋_GB2312" w:hAnsi="仿宋_GB2312" w:cs="仿宋_GB2312" w:eastAsia="仿宋_GB2312"/>
              </w:rPr>
              <w:t>采购包5：1名</w:t>
            </w:r>
          </w:p>
          <w:p>
            <w:pPr>
              <w:pStyle w:val="null3"/>
              <w:jc w:val="left"/>
            </w:pPr>
            <w:r>
              <w:rPr>
                <w:rFonts w:ascii="仿宋_GB2312" w:hAnsi="仿宋_GB2312" w:cs="仿宋_GB2312" w:eastAsia="仿宋_GB2312"/>
              </w:rPr>
              <w:t>采购包6：1名</w:t>
            </w:r>
          </w:p>
          <w:p>
            <w:pPr>
              <w:pStyle w:val="null3"/>
              <w:jc w:val="left"/>
            </w:pPr>
            <w:r>
              <w:rPr>
                <w:rFonts w:ascii="仿宋_GB2312" w:hAnsi="仿宋_GB2312" w:cs="仿宋_GB2312" w:eastAsia="仿宋_GB2312"/>
              </w:rPr>
              <w:t>采购包7：1名</w:t>
            </w:r>
          </w:p>
          <w:p>
            <w:pPr>
              <w:pStyle w:val="null3"/>
              <w:jc w:val="left"/>
            </w:pPr>
            <w:r>
              <w:rPr>
                <w:rFonts w:ascii="仿宋_GB2312" w:hAnsi="仿宋_GB2312" w:cs="仿宋_GB2312" w:eastAsia="仿宋_GB2312"/>
              </w:rPr>
              <w:t>采购包8：1名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1.投标人（供应商）如对采购文件中“供应商资格要求”、“采购需求”及“详细评审标准”部分有质疑的，应直接向采购人提出。 2.本项目包1、包3、包4属于非专门面向中小企业，原因是专门面向中小企业采购无法确保充分供应、充分竞争，或者存在可能影响政府采购目标实现的情形，因此不专门面向中小企业。同时，本项目对小微型企业的投标报价给予一定比例的扣除（具体比例详见“评标办法”），用扣除后的价格参加评审；本项目包2、包6、包8属于专门面向中小企业；本项目包5、包7属于专门面向小微企业。3.本项目评审过程中如有价格修正、澄清、谈判/磋商/协商(二次报价)等环节，供应商需要按照海南省政府采购智慧云平台操作要求进行线上响应，不存在人为通知供应商上述所需响应的环节.根据《电子交易操作手册(供应商)》第四章评审中“供应商应当在项目评审过程中，在评审等候大厅关注评审委员会工作动态，及时做好响应评审有关准备”之规定，如供应商未在评审委员会设置的响应时间内进行线上响应，产生的一切后果由供应商自行承担。4.投标人使用智慧云平台系统遇到问题可致电技术支持：4001691288。</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（6）将中标项目转包给他人，或者在投标文件中未说明，且未经采购代理机构和采购单位同意，将中标项目分包给他人的。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在规定期限内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4.6.2.1电子版投标文件，投标人应使用CA数字证书，对投标文件中须盖章的部位加盖电子印章。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（2）经检查CA数字证书中的证书无效的投标文件；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答复主体：采购单位</w:t>
      </w:r>
    </w:p>
    <w:p>
      <w:pPr>
        <w:pStyle w:val="null3"/>
        <w:jc w:val="left"/>
      </w:pPr>
      <w:r>
        <w:rPr>
          <w:rFonts w:ascii="仿宋_GB2312" w:hAnsi="仿宋_GB2312" w:cs="仿宋_GB2312" w:eastAsia="仿宋_GB2312"/>
        </w:rPr>
        <w:t>联系人：省财政科技服务中心</w:t>
      </w:r>
    </w:p>
    <w:p>
      <w:pPr>
        <w:pStyle w:val="null3"/>
        <w:jc w:val="left"/>
      </w:pPr>
      <w:r>
        <w:rPr>
          <w:rFonts w:ascii="仿宋_GB2312" w:hAnsi="仿宋_GB2312" w:cs="仿宋_GB2312" w:eastAsia="仿宋_GB2312"/>
        </w:rPr>
        <w:t>联系电话：0898-68531553</w:t>
      </w:r>
    </w:p>
    <w:p>
      <w:pPr>
        <w:pStyle w:val="null3"/>
        <w:jc w:val="left"/>
      </w:pPr>
      <w:r>
        <w:rPr>
          <w:rFonts w:ascii="仿宋_GB2312" w:hAnsi="仿宋_GB2312" w:cs="仿宋_GB2312" w:eastAsia="仿宋_GB2312"/>
        </w:rPr>
        <w:t>地址：海南省海口市龙华滨海大道109号财政大厦</w:t>
      </w:r>
    </w:p>
    <w:p>
      <w:pPr>
        <w:pStyle w:val="null3"/>
        <w:jc w:val="left"/>
      </w:pPr>
      <w:r>
        <w:rPr>
          <w:rFonts w:ascii="仿宋_GB2312" w:hAnsi="仿宋_GB2312" w:cs="仿宋_GB2312" w:eastAsia="仿宋_GB2312"/>
        </w:rPr>
        <w:t>邮编：570100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联系人：马先生</w:t>
      </w:r>
    </w:p>
    <w:p>
      <w:pPr>
        <w:pStyle w:val="null3"/>
        <w:jc w:val="left"/>
      </w:pPr>
      <w:r>
        <w:rPr>
          <w:rFonts w:ascii="仿宋_GB2312" w:hAnsi="仿宋_GB2312" w:cs="仿宋_GB2312" w:eastAsia="仿宋_GB2312"/>
        </w:rPr>
        <w:t>联系电话：0898-66529805</w:t>
      </w:r>
    </w:p>
    <w:p>
      <w:pPr>
        <w:pStyle w:val="null3"/>
        <w:jc w:val="left"/>
      </w:pPr>
      <w:r>
        <w:rPr>
          <w:rFonts w:ascii="仿宋_GB2312" w:hAnsi="仿宋_GB2312" w:cs="仿宋_GB2312" w:eastAsia="仿宋_GB2312"/>
        </w:rPr>
        <w:t>地址：海口市美兰区大英山西二街政务二期大楼二楼208室（原省政府政务服务中心大楼北侧）</w:t>
      </w:r>
    </w:p>
    <w:p>
      <w:pPr>
        <w:pStyle w:val="null3"/>
        <w:jc w:val="left"/>
      </w:pPr>
      <w:r>
        <w:rPr>
          <w:rFonts w:ascii="仿宋_GB2312" w:hAnsi="仿宋_GB2312" w:cs="仿宋_GB2312" w:eastAsia="仿宋_GB2312"/>
        </w:rPr>
        <w:t>邮编：570100</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b/>
        </w:rPr>
        <w:t>省电子凭证会计数据标准化平台建设项目</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1,097,800.00</w:t>
      </w:r>
    </w:p>
    <w:p>
      <w:pPr>
        <w:pStyle w:val="null3"/>
        <w:jc w:val="left"/>
      </w:pPr>
      <w:r>
        <w:rPr>
          <w:rFonts w:ascii="仿宋_GB2312" w:hAnsi="仿宋_GB2312" w:cs="仿宋_GB2312" w:eastAsia="仿宋_GB2312"/>
        </w:rPr>
        <w:t>采购包最高限价（元）: 1,097,800.00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电子凭证汇聚子系统建设</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1,097,800.00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软件和信息技术服务业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721,775.00</w:t>
      </w:r>
    </w:p>
    <w:p>
      <w:pPr>
        <w:pStyle w:val="null3"/>
        <w:jc w:val="left"/>
      </w:pPr>
      <w:r>
        <w:rPr>
          <w:rFonts w:ascii="仿宋_GB2312" w:hAnsi="仿宋_GB2312" w:cs="仿宋_GB2312" w:eastAsia="仿宋_GB2312"/>
        </w:rPr>
        <w:t>采购包最高限价（元）: 721,775.00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公务报账子系统升级改造</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721,775.00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软件和信息技术服务业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481,700.00</w:t>
      </w:r>
    </w:p>
    <w:p>
      <w:pPr>
        <w:pStyle w:val="null3"/>
        <w:jc w:val="left"/>
      </w:pPr>
      <w:r>
        <w:rPr>
          <w:rFonts w:ascii="仿宋_GB2312" w:hAnsi="仿宋_GB2312" w:cs="仿宋_GB2312" w:eastAsia="仿宋_GB2312"/>
        </w:rPr>
        <w:t>采购包最高限价（元）: 481,700.00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非税收入征缴信息管理子系统升级改造</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481,700.00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软件和信息技术服务业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采购包预算金额（元）: 832,500.00</w:t>
      </w:r>
    </w:p>
    <w:p>
      <w:pPr>
        <w:pStyle w:val="null3"/>
        <w:jc w:val="left"/>
      </w:pPr>
      <w:r>
        <w:rPr>
          <w:rFonts w:ascii="仿宋_GB2312" w:hAnsi="仿宋_GB2312" w:cs="仿宋_GB2312" w:eastAsia="仿宋_GB2312"/>
        </w:rPr>
        <w:t>采购包最高限价（元）: 832,500.00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会计档案管理子系统升级改造</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832,500.00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软件和信息技术服务业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采购包预算金额（元）: 121,883.00</w:t>
      </w:r>
    </w:p>
    <w:p>
      <w:pPr>
        <w:pStyle w:val="null3"/>
        <w:jc w:val="left"/>
      </w:pPr>
      <w:r>
        <w:rPr>
          <w:rFonts w:ascii="仿宋_GB2312" w:hAnsi="仿宋_GB2312" w:cs="仿宋_GB2312" w:eastAsia="仿宋_GB2312"/>
        </w:rPr>
        <w:t>采购包最高限价（元）: 121,883.00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监理服务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121,883.00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软件和信息技术服务业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采购包预算金额（元）: 250,400.00</w:t>
      </w:r>
    </w:p>
    <w:p>
      <w:pPr>
        <w:pStyle w:val="null3"/>
        <w:jc w:val="left"/>
      </w:pPr>
      <w:r>
        <w:rPr>
          <w:rFonts w:ascii="仿宋_GB2312" w:hAnsi="仿宋_GB2312" w:cs="仿宋_GB2312" w:eastAsia="仿宋_GB2312"/>
        </w:rPr>
        <w:t>采购包最高限价（元）: 250,400.00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安全服务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250,400.00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软件和信息技术服务业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采购包预算金额（元）: 84,200.00</w:t>
      </w:r>
    </w:p>
    <w:p>
      <w:pPr>
        <w:pStyle w:val="null3"/>
        <w:jc w:val="left"/>
      </w:pPr>
      <w:r>
        <w:rPr>
          <w:rFonts w:ascii="仿宋_GB2312" w:hAnsi="仿宋_GB2312" w:cs="仿宋_GB2312" w:eastAsia="仿宋_GB2312"/>
        </w:rPr>
        <w:t>采购包最高限价（元）: 84,200.00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软件测评服务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84,200.00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软件和信息技术服务业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采购包预算金额（元）: 120,000.00</w:t>
      </w:r>
    </w:p>
    <w:p>
      <w:pPr>
        <w:pStyle w:val="null3"/>
        <w:jc w:val="left"/>
      </w:pPr>
      <w:r>
        <w:rPr>
          <w:rFonts w:ascii="仿宋_GB2312" w:hAnsi="仿宋_GB2312" w:cs="仿宋_GB2312" w:eastAsia="仿宋_GB2312"/>
        </w:rPr>
        <w:t>采购包最高限价（元）: 120,000.00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商用密码应用安全性评估服务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软件和信息技术服务业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C16010302-行业应用软件开发服务</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1,097,800.00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C16010302-行业应用软件开发服务</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721,775.00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C16010302-行业应用软件开发服务</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481,700.00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C16010302-行业应用软件开发服务</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832,500.00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C16050000-信息化工程监理服务</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121,883.00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C16070400-安全运维服务</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250,400.00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C16060000-测试评估认证服务</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84,200.00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C16060000-测试评估认证服务</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120,000.00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标的名称：电子凭证汇聚子系统建设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因云平台系统格式不支持原因，采购包</w:t>
            </w:r>
            <w:r>
              <w:rPr>
                <w:rFonts w:ascii="仿宋_GB2312" w:hAnsi="仿宋_GB2312" w:cs="仿宋_GB2312" w:eastAsia="仿宋_GB2312"/>
                <w:sz w:val="21"/>
              </w:rPr>
              <w:t>1“技术和服务要求”详见附件：采购包1  技术和服务要求</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标的名称：公务报账子系统升级改造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因云平台系统格式不支持原因，采购包</w:t>
            </w:r>
            <w:r>
              <w:rPr>
                <w:rFonts w:ascii="仿宋_GB2312" w:hAnsi="仿宋_GB2312" w:cs="仿宋_GB2312" w:eastAsia="仿宋_GB2312"/>
                <w:sz w:val="21"/>
              </w:rPr>
              <w:t>2“技术和服务要求”详见附件：采购包2  技术和服务要求</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标的名称：非税收入征缴信息管理子系统升级改造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因云平台系统格式不支持原因，采购包</w:t>
            </w:r>
            <w:r>
              <w:rPr>
                <w:rFonts w:ascii="仿宋_GB2312" w:hAnsi="仿宋_GB2312" w:cs="仿宋_GB2312" w:eastAsia="仿宋_GB2312"/>
                <w:sz w:val="21"/>
              </w:rPr>
              <w:t>3“技术和服务要求”详见附件：采购包3  技术和服务要求</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标的名称：会计档案管理子系统升级改造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因云平台系统格式不支持原因，采购包</w:t>
            </w:r>
            <w:r>
              <w:rPr>
                <w:rFonts w:ascii="仿宋_GB2312" w:hAnsi="仿宋_GB2312" w:cs="仿宋_GB2312" w:eastAsia="仿宋_GB2312"/>
                <w:sz w:val="21"/>
              </w:rPr>
              <w:t>4“技术和服务要求”详见附件：采购包4  技术和服务要求</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标的名称：监理服务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rPr>
                    <w:t>一、项目概况</w:t>
                  </w:r>
                </w:p>
                <w:p>
                  <w:pPr>
                    <w:pStyle w:val="null3"/>
                    <w:ind w:firstLine="630"/>
                    <w:jc w:val="both"/>
                  </w:pPr>
                  <w:r>
                    <w:rPr>
                      <w:rFonts w:ascii="仿宋_GB2312" w:hAnsi="仿宋_GB2312" w:cs="仿宋_GB2312" w:eastAsia="仿宋_GB2312"/>
                      <w:sz w:val="21"/>
                    </w:rPr>
                    <w:t>采购内容：工程监理服务。</w:t>
                  </w:r>
                </w:p>
                <w:p>
                  <w:pPr>
                    <w:pStyle w:val="null3"/>
                    <w:spacing w:before="315"/>
                    <w:ind w:left="15"/>
                    <w:jc w:val="both"/>
                  </w:pPr>
                  <w:r>
                    <w:rPr>
                      <w:rFonts w:ascii="仿宋_GB2312" w:hAnsi="仿宋_GB2312" w:cs="仿宋_GB2312" w:eastAsia="仿宋_GB2312"/>
                      <w:sz w:val="28"/>
                      <w:b/>
                    </w:rPr>
                    <w:t>二、服务内容</w:t>
                  </w:r>
                </w:p>
                <w:p>
                  <w:pPr>
                    <w:pStyle w:val="null3"/>
                    <w:spacing w:before="225"/>
                    <w:ind w:left="480"/>
                    <w:jc w:val="both"/>
                  </w:pPr>
                  <w:r>
                    <w:rPr>
                      <w:rFonts w:ascii="仿宋_GB2312" w:hAnsi="仿宋_GB2312" w:cs="仿宋_GB2312" w:eastAsia="仿宋_GB2312"/>
                      <w:sz w:val="24"/>
                    </w:rPr>
                    <w:t>本包监理范围为省电子凭证会计数据标准化平台建设项目所有建设内容的监理。</w:t>
                  </w:r>
                </w:p>
                <w:p>
                  <w:pPr>
                    <w:pStyle w:val="null3"/>
                    <w:spacing w:before="315"/>
                    <w:ind w:left="15"/>
                    <w:jc w:val="both"/>
                  </w:pPr>
                  <w:r>
                    <w:rPr>
                      <w:rFonts w:ascii="仿宋_GB2312" w:hAnsi="仿宋_GB2312" w:cs="仿宋_GB2312" w:eastAsia="仿宋_GB2312"/>
                      <w:sz w:val="28"/>
                      <w:b/>
                    </w:rPr>
                    <w:t>三、服务周期</w:t>
                  </w:r>
                </w:p>
                <w:p>
                  <w:pPr>
                    <w:pStyle w:val="null3"/>
                    <w:spacing w:before="225"/>
                    <w:ind w:left="480"/>
                    <w:jc w:val="both"/>
                  </w:pPr>
                  <w:r>
                    <w:rPr>
                      <w:rFonts w:ascii="仿宋_GB2312" w:hAnsi="仿宋_GB2312" w:cs="仿宋_GB2312" w:eastAsia="仿宋_GB2312"/>
                      <w:sz w:val="24"/>
                    </w:rPr>
                    <w:t>本项目监理服务周期自签订合同之日起，至建设项目完成竣工验收。</w:t>
                  </w:r>
                </w:p>
                <w:p>
                  <w:pPr>
                    <w:pStyle w:val="null3"/>
                    <w:spacing w:before="315"/>
                    <w:ind w:left="15"/>
                    <w:jc w:val="both"/>
                  </w:pPr>
                  <w:r>
                    <w:rPr>
                      <w:rFonts w:ascii="仿宋_GB2312" w:hAnsi="仿宋_GB2312" w:cs="仿宋_GB2312" w:eastAsia="仿宋_GB2312"/>
                      <w:sz w:val="28"/>
                      <w:b/>
                    </w:rPr>
                    <w:t>四、监理技术要求</w:t>
                  </w:r>
                </w:p>
                <w:p>
                  <w:pPr>
                    <w:pStyle w:val="null3"/>
                    <w:spacing w:before="30"/>
                    <w:ind w:left="555"/>
                    <w:jc w:val="both"/>
                  </w:pPr>
                  <w:r>
                    <w:rPr>
                      <w:rFonts w:ascii="仿宋_GB2312" w:hAnsi="仿宋_GB2312" w:cs="仿宋_GB2312" w:eastAsia="仿宋_GB2312"/>
                      <w:sz w:val="28"/>
                    </w:rPr>
                    <w:t>4.1 监理范围</w:t>
                  </w:r>
                </w:p>
                <w:p>
                  <w:pPr>
                    <w:pStyle w:val="null3"/>
                    <w:spacing w:before="210"/>
                    <w:ind w:right="75" w:firstLine="480"/>
                    <w:jc w:val="both"/>
                  </w:pPr>
                  <w:r>
                    <w:rPr>
                      <w:rFonts w:ascii="仿宋_GB2312" w:hAnsi="仿宋_GB2312" w:cs="仿宋_GB2312" w:eastAsia="仿宋_GB2312"/>
                      <w:sz w:val="24"/>
                    </w:rPr>
                    <w:t>重点对项目建设过程中设备</w:t>
                  </w:r>
                  <w:r>
                    <w:rPr>
                      <w:rFonts w:ascii="仿宋_GB2312" w:hAnsi="仿宋_GB2312" w:cs="仿宋_GB2312" w:eastAsia="仿宋_GB2312"/>
                      <w:sz w:val="24"/>
                    </w:rPr>
                    <w:t>/材料的采购、设备安装调试、系统集成、软件开发及 应用技术培训、试运行、测试、验收等全过程进行监督管理，从硬件监理、软件监理、 系统集成监理等三个方面梳理该项目建设的工程监理应如何通过切实有效方式、方法、 手段达到建设方所要求的深度、广度，最终实现工程监理的目标。实现对质量、进度、 经费、变更的控制及合同管理和文档管理。当工程质量或工期出现问题或严重偏离计划</w:t>
                  </w:r>
                </w:p>
                <w:p>
                  <w:pPr>
                    <w:pStyle w:val="null3"/>
                    <w:ind w:left="15"/>
                    <w:jc w:val="both"/>
                  </w:pPr>
                  <w:r>
                    <w:rPr>
                      <w:rFonts w:ascii="仿宋_GB2312" w:hAnsi="仿宋_GB2312" w:cs="仿宋_GB2312" w:eastAsia="仿宋_GB2312"/>
                      <w:sz w:val="24"/>
                    </w:rPr>
                    <w:t>时，应及时指出，并提出对策建议，同时督促承建单位尽快采取措施。</w:t>
                  </w:r>
                </w:p>
                <w:p>
                  <w:pPr>
                    <w:pStyle w:val="null3"/>
                    <w:spacing w:before="195"/>
                    <w:ind w:left="555"/>
                    <w:jc w:val="both"/>
                  </w:pPr>
                  <w:r>
                    <w:rPr>
                      <w:rFonts w:ascii="仿宋_GB2312" w:hAnsi="仿宋_GB2312" w:cs="仿宋_GB2312" w:eastAsia="仿宋_GB2312"/>
                      <w:sz w:val="28"/>
                    </w:rPr>
                    <w:t>4.2</w:t>
                  </w:r>
                  <w:r>
                    <w:rPr>
                      <w:rFonts w:ascii="仿宋_GB2312" w:hAnsi="仿宋_GB2312" w:cs="仿宋_GB2312" w:eastAsia="仿宋_GB2312"/>
                      <w:sz w:val="19"/>
                    </w:rPr>
                    <w:t xml:space="preserve"> </w:t>
                  </w:r>
                  <w:r>
                    <w:rPr>
                      <w:rFonts w:ascii="仿宋_GB2312" w:hAnsi="仿宋_GB2312" w:cs="仿宋_GB2312" w:eastAsia="仿宋_GB2312"/>
                      <w:sz w:val="28"/>
                    </w:rPr>
                    <w:t>监理目标控制方案</w:t>
                  </w:r>
                </w:p>
                <w:p>
                  <w:pPr>
                    <w:pStyle w:val="null3"/>
                    <w:spacing w:before="210"/>
                    <w:ind w:firstLine="507"/>
                    <w:jc w:val="both"/>
                  </w:pPr>
                  <w:r>
                    <w:rPr>
                      <w:rFonts w:ascii="仿宋_GB2312" w:hAnsi="仿宋_GB2312" w:cs="仿宋_GB2312" w:eastAsia="仿宋_GB2312"/>
                      <w:sz w:val="24"/>
                    </w:rPr>
                    <w:t>以工程建设合同、监理委托合同、国家（</w:t>
                  </w:r>
                  <w:r>
                    <w:rPr>
                      <w:rFonts w:ascii="仿宋_GB2312" w:hAnsi="仿宋_GB2312" w:cs="仿宋_GB2312" w:eastAsia="仿宋_GB2312"/>
                      <w:sz w:val="24"/>
                    </w:rPr>
                    <w:t>GB/T19668.1-19668.6《信息化工程监理 规范》、信息产业部信部信[2002]570 号《信息系统工程监理暂行规定》）及有关法规、 技术规范与标准、项目建设单位需求为依据，通过专业的控制手段，协助建设单位全面地进行技术咨询和技术监督，对工程全过程进行监督、管理、指导、评价，并采取相应的组织措施、技术措施、经济措施和合同措施，确保建设行为合法、合理、科学、经济，</w:t>
                  </w:r>
                </w:p>
                <w:p>
                  <w:pPr>
                    <w:pStyle w:val="null3"/>
                    <w:jc w:val="both"/>
                  </w:pPr>
                  <w:r>
                    <w:rPr>
                      <w:rFonts w:ascii="仿宋_GB2312" w:hAnsi="仿宋_GB2312" w:cs="仿宋_GB2312" w:eastAsia="仿宋_GB2312"/>
                      <w:sz w:val="24"/>
                    </w:rPr>
                    <w:t>使建设进度、投资、质量达到建设合同规定的目标。</w:t>
                  </w:r>
                </w:p>
                <w:p>
                  <w:pPr>
                    <w:pStyle w:val="null3"/>
                    <w:spacing w:before="195"/>
                    <w:ind w:left="555"/>
                    <w:jc w:val="both"/>
                  </w:pPr>
                  <w:r>
                    <w:rPr>
                      <w:rFonts w:ascii="仿宋_GB2312" w:hAnsi="仿宋_GB2312" w:cs="仿宋_GB2312" w:eastAsia="仿宋_GB2312"/>
                      <w:sz w:val="28"/>
                    </w:rPr>
                    <w:t>4.3</w:t>
                  </w:r>
                  <w:r>
                    <w:rPr>
                      <w:rFonts w:ascii="仿宋_GB2312" w:hAnsi="仿宋_GB2312" w:cs="仿宋_GB2312" w:eastAsia="仿宋_GB2312"/>
                      <w:sz w:val="19"/>
                    </w:rPr>
                    <w:t xml:space="preserve"> </w:t>
                  </w:r>
                  <w:r>
                    <w:rPr>
                      <w:rFonts w:ascii="仿宋_GB2312" w:hAnsi="仿宋_GB2312" w:cs="仿宋_GB2312" w:eastAsia="仿宋_GB2312"/>
                      <w:sz w:val="28"/>
                    </w:rPr>
                    <w:t>工程监理重点难点分析</w:t>
                  </w:r>
                </w:p>
                <w:p>
                  <w:pPr>
                    <w:pStyle w:val="null3"/>
                    <w:spacing w:before="210"/>
                    <w:ind w:right="75" w:firstLine="477"/>
                    <w:jc w:val="both"/>
                  </w:pPr>
                  <w:r>
                    <w:rPr>
                      <w:rFonts w:ascii="仿宋_GB2312" w:hAnsi="仿宋_GB2312" w:cs="仿宋_GB2312" w:eastAsia="仿宋_GB2312"/>
                      <w:sz w:val="24"/>
                    </w:rPr>
                    <w:t>投标人应根据本项目建设的特点，从实际出发分析本项目监理工作的重点、难点，</w:t>
                  </w:r>
                  <w:r>
                    <w:rPr>
                      <w:rFonts w:ascii="仿宋_GB2312" w:hAnsi="仿宋_GB2312" w:cs="仿宋_GB2312" w:eastAsia="仿宋_GB2312"/>
                      <w:sz w:val="24"/>
                    </w:rPr>
                    <w:t>并根据分析的结果制定相应的监理工作规划、对策和策略，以便日后有针对性的开展建</w:t>
                  </w:r>
                </w:p>
                <w:p>
                  <w:pPr>
                    <w:pStyle w:val="null3"/>
                    <w:jc w:val="both"/>
                  </w:pPr>
                  <w:r>
                    <w:rPr>
                      <w:rFonts w:ascii="仿宋_GB2312" w:hAnsi="仿宋_GB2312" w:cs="仿宋_GB2312" w:eastAsia="仿宋_GB2312"/>
                      <w:sz w:val="24"/>
                    </w:rPr>
                    <w:t>设工程的监理服务工作。</w:t>
                  </w:r>
                </w:p>
                <w:p>
                  <w:pPr>
                    <w:pStyle w:val="null3"/>
                    <w:jc w:val="left"/>
                  </w:pPr>
                  <w:r>
                    <w:rPr>
                      <w:rFonts w:ascii="仿宋_GB2312" w:hAnsi="仿宋_GB2312" w:cs="仿宋_GB2312" w:eastAsia="仿宋_GB2312"/>
                      <w:sz w:val="28"/>
                    </w:rPr>
                    <w:t>4.4</w:t>
                  </w:r>
                  <w:r>
                    <w:rPr>
                      <w:rFonts w:ascii="仿宋_GB2312" w:hAnsi="仿宋_GB2312" w:cs="仿宋_GB2312" w:eastAsia="仿宋_GB2312"/>
                      <w:sz w:val="19"/>
                    </w:rPr>
                    <w:t xml:space="preserve"> </w:t>
                  </w:r>
                  <w:r>
                    <w:rPr>
                      <w:rFonts w:ascii="仿宋_GB2312" w:hAnsi="仿宋_GB2312" w:cs="仿宋_GB2312" w:eastAsia="仿宋_GB2312"/>
                      <w:sz w:val="28"/>
                    </w:rPr>
                    <w:t>工程各阶段的监理规划、实施</w:t>
                  </w:r>
                </w:p>
                <w:p>
                  <w:pPr>
                    <w:pStyle w:val="null3"/>
                    <w:spacing w:before="210"/>
                    <w:ind w:right="15"/>
                    <w:jc w:val="right"/>
                  </w:pPr>
                  <w:r>
                    <w:rPr>
                      <w:rFonts w:ascii="仿宋_GB2312" w:hAnsi="仿宋_GB2312" w:cs="仿宋_GB2312" w:eastAsia="仿宋_GB2312"/>
                      <w:sz w:val="24"/>
                    </w:rPr>
                    <w:t>投标人应对本项目从设计施工到项目竣工验收阶段制定一整套工程监理的工作流</w:t>
                  </w:r>
                </w:p>
                <w:p>
                  <w:pPr>
                    <w:pStyle w:val="null3"/>
                    <w:jc w:val="both"/>
                  </w:pPr>
                  <w:r>
                    <w:rPr>
                      <w:rFonts w:ascii="仿宋_GB2312" w:hAnsi="仿宋_GB2312" w:cs="仿宋_GB2312" w:eastAsia="仿宋_GB2312"/>
                      <w:sz w:val="24"/>
                    </w:rPr>
                    <w:t>程，并叙述各阶段主要监理工作内容。</w:t>
                  </w:r>
                </w:p>
                <w:p>
                  <w:pPr>
                    <w:pStyle w:val="null3"/>
                    <w:spacing w:before="180"/>
                    <w:ind w:left="480"/>
                    <w:jc w:val="both"/>
                  </w:pPr>
                  <w:r>
                    <w:rPr>
                      <w:rFonts w:ascii="仿宋_GB2312" w:hAnsi="仿宋_GB2312" w:cs="仿宋_GB2312" w:eastAsia="仿宋_GB2312"/>
                      <w:sz w:val="24"/>
                    </w:rPr>
                    <w:t>本项目监理工作主要分为设备</w:t>
                  </w:r>
                  <w:r>
                    <w:rPr>
                      <w:rFonts w:ascii="仿宋_GB2312" w:hAnsi="仿宋_GB2312" w:cs="仿宋_GB2312" w:eastAsia="仿宋_GB2312"/>
                      <w:sz w:val="24"/>
                    </w:rPr>
                    <w:t>/材料采购、施工阶段、验收阶段、质保期阶段等。</w:t>
                  </w:r>
                </w:p>
                <w:p>
                  <w:pPr>
                    <w:pStyle w:val="null3"/>
                    <w:spacing w:before="180"/>
                    <w:ind w:right="15"/>
                    <w:jc w:val="right"/>
                  </w:pPr>
                  <w:r>
                    <w:rPr>
                      <w:rFonts w:ascii="仿宋_GB2312" w:hAnsi="仿宋_GB2312" w:cs="仿宋_GB2312" w:eastAsia="仿宋_GB2312"/>
                      <w:sz w:val="24"/>
                    </w:rPr>
                    <w:t>投标人应根据上述监理工作内容（但不局限于上述内容），分别制定详细的监理工</w:t>
                  </w:r>
                </w:p>
                <w:p>
                  <w:pPr>
                    <w:pStyle w:val="null3"/>
                    <w:jc w:val="both"/>
                  </w:pPr>
                  <w:r>
                    <w:rPr>
                      <w:rFonts w:ascii="仿宋_GB2312" w:hAnsi="仿宋_GB2312" w:cs="仿宋_GB2312" w:eastAsia="仿宋_GB2312"/>
                      <w:sz w:val="24"/>
                    </w:rPr>
                    <w:t>作流程，使本项目的监理工作流程化、制度化。</w:t>
                  </w:r>
                </w:p>
                <w:p>
                  <w:pPr>
                    <w:pStyle w:val="null3"/>
                    <w:spacing w:before="195"/>
                    <w:ind w:left="555"/>
                    <w:jc w:val="both"/>
                  </w:pPr>
                  <w:r>
                    <w:rPr>
                      <w:rFonts w:ascii="仿宋_GB2312" w:hAnsi="仿宋_GB2312" w:cs="仿宋_GB2312" w:eastAsia="仿宋_GB2312"/>
                      <w:sz w:val="28"/>
                    </w:rPr>
                    <w:t>4.5</w:t>
                  </w:r>
                  <w:r>
                    <w:rPr>
                      <w:rFonts w:ascii="仿宋_GB2312" w:hAnsi="仿宋_GB2312" w:cs="仿宋_GB2312" w:eastAsia="仿宋_GB2312"/>
                      <w:sz w:val="19"/>
                    </w:rPr>
                    <w:t xml:space="preserve"> </w:t>
                  </w:r>
                  <w:r>
                    <w:rPr>
                      <w:rFonts w:ascii="仿宋_GB2312" w:hAnsi="仿宋_GB2312" w:cs="仿宋_GB2312" w:eastAsia="仿宋_GB2312"/>
                      <w:sz w:val="28"/>
                    </w:rPr>
                    <w:t>监理工作要求</w:t>
                  </w:r>
                </w:p>
                <w:p>
                  <w:pPr>
                    <w:pStyle w:val="null3"/>
                    <w:spacing w:before="210"/>
                    <w:ind w:left="495"/>
                    <w:jc w:val="both"/>
                  </w:pPr>
                  <w:r>
                    <w:rPr>
                      <w:rFonts w:ascii="仿宋_GB2312" w:hAnsi="仿宋_GB2312" w:cs="仿宋_GB2312" w:eastAsia="仿宋_GB2312"/>
                      <w:sz w:val="24"/>
                    </w:rPr>
                    <w:t>1、监理工作制度要求</w:t>
                  </w:r>
                </w:p>
                <w:p>
                  <w:pPr>
                    <w:pStyle w:val="null3"/>
                    <w:spacing w:before="180"/>
                    <w:ind w:right="15" w:firstLine="480"/>
                    <w:jc w:val="both"/>
                  </w:pPr>
                  <w:r>
                    <w:rPr>
                      <w:rFonts w:ascii="仿宋_GB2312" w:hAnsi="仿宋_GB2312" w:cs="仿宋_GB2312" w:eastAsia="仿宋_GB2312"/>
                      <w:sz w:val="24"/>
                    </w:rPr>
                    <w:t>根据本项目的特色，本项目要求以现场监理为主要方式进行，在施工现场主要监理</w:t>
                  </w:r>
                  <w:r>
                    <w:rPr>
                      <w:rFonts w:ascii="仿宋_GB2312" w:hAnsi="仿宋_GB2312" w:cs="仿宋_GB2312" w:eastAsia="仿宋_GB2312"/>
                      <w:sz w:val="24"/>
                    </w:rPr>
                    <w:t>人员必须具备所从事监理业务的专业技术和类似系统经验，并具有丰富的项目管理经</w:t>
                  </w:r>
                  <w:r>
                    <w:rPr>
                      <w:rFonts w:ascii="仿宋_GB2312" w:hAnsi="仿宋_GB2312" w:cs="仿宋_GB2312" w:eastAsia="仿宋_GB2312"/>
                      <w:sz w:val="24"/>
                    </w:rPr>
                    <w:t>验。监理工作必须由具有相应资质和职称的人员来担任。本次监理项目实行总监理工程</w:t>
                  </w:r>
                  <w:r>
                    <w:rPr>
                      <w:rFonts w:ascii="仿宋_GB2312" w:hAnsi="仿宋_GB2312" w:cs="仿宋_GB2312" w:eastAsia="仿宋_GB2312"/>
                      <w:sz w:val="24"/>
                    </w:rPr>
                    <w:t>师负责制，在整个项目建设期间，必须在建设期间全程常驻至少一名监理工程师在甲方</w:t>
                  </w:r>
                  <w:r>
                    <w:rPr>
                      <w:rFonts w:ascii="仿宋_GB2312" w:hAnsi="仿宋_GB2312" w:cs="仿宋_GB2312" w:eastAsia="仿宋_GB2312"/>
                      <w:sz w:val="24"/>
                    </w:rPr>
                    <w:t>现场。监理公司应建立项目监理小组，负责整个项目的全程监理工作，本项目必须配备</w:t>
                  </w:r>
                  <w:r>
                    <w:rPr>
                      <w:rFonts w:ascii="仿宋_GB2312" w:hAnsi="仿宋_GB2312" w:cs="仿宋_GB2312" w:eastAsia="仿宋_GB2312"/>
                      <w:sz w:val="24"/>
                    </w:rPr>
                    <w:t>不少于</w:t>
                  </w:r>
                  <w:r>
                    <w:rPr>
                      <w:rFonts w:ascii="仿宋_GB2312" w:hAnsi="仿宋_GB2312" w:cs="仿宋_GB2312" w:eastAsia="仿宋_GB2312"/>
                      <w:sz w:val="24"/>
                    </w:rPr>
                    <w:t>3 名的监理工程师。监理人员的确定和变更，须事先经业主方同意。监理人员必</w:t>
                  </w:r>
                </w:p>
                <w:p>
                  <w:pPr>
                    <w:pStyle w:val="null3"/>
                    <w:jc w:val="both"/>
                  </w:pPr>
                  <w:r>
                    <w:rPr>
                      <w:rFonts w:ascii="仿宋_GB2312" w:hAnsi="仿宋_GB2312" w:cs="仿宋_GB2312" w:eastAsia="仿宋_GB2312"/>
                      <w:sz w:val="24"/>
                    </w:rPr>
                    <w:t>须奉公守法，具有高度的责任心。</w:t>
                  </w:r>
                </w:p>
                <w:p>
                  <w:pPr>
                    <w:pStyle w:val="null3"/>
                    <w:spacing w:before="180"/>
                    <w:ind w:left="480"/>
                    <w:jc w:val="both"/>
                  </w:pPr>
                  <w:r>
                    <w:rPr>
                      <w:rFonts w:ascii="仿宋_GB2312" w:hAnsi="仿宋_GB2312" w:cs="仿宋_GB2312" w:eastAsia="仿宋_GB2312"/>
                      <w:sz w:val="24"/>
                    </w:rPr>
                    <w:t>2、监理项目组织要求</w:t>
                  </w:r>
                </w:p>
                <w:p>
                  <w:pPr>
                    <w:pStyle w:val="null3"/>
                    <w:spacing w:before="180"/>
                    <w:ind w:right="15" w:firstLine="483"/>
                    <w:jc w:val="both"/>
                  </w:pPr>
                  <w:r>
                    <w:rPr>
                      <w:rFonts w:ascii="仿宋_GB2312" w:hAnsi="仿宋_GB2312" w:cs="仿宋_GB2312" w:eastAsia="仿宋_GB2312"/>
                      <w:sz w:val="24"/>
                    </w:rPr>
                    <w:t>工程监理组织形式应根据工程项目的特点、工程项目承包模式、业主委托的任务以</w:t>
                  </w:r>
                  <w:r>
                    <w:rPr>
                      <w:rFonts w:ascii="仿宋_GB2312" w:hAnsi="仿宋_GB2312" w:cs="仿宋_GB2312" w:eastAsia="仿宋_GB2312"/>
                      <w:sz w:val="24"/>
                    </w:rPr>
                    <w:t>及监理单位自身情况而确定，结构形式的选择应考虑有利于项目合同管理、有利于目标</w:t>
                  </w:r>
                </w:p>
                <w:p>
                  <w:pPr>
                    <w:pStyle w:val="null3"/>
                    <w:jc w:val="both"/>
                  </w:pPr>
                  <w:r>
                    <w:rPr>
                      <w:rFonts w:ascii="仿宋_GB2312" w:hAnsi="仿宋_GB2312" w:cs="仿宋_GB2312" w:eastAsia="仿宋_GB2312"/>
                      <w:sz w:val="24"/>
                    </w:rPr>
                    <w:t>控控制、有利于决策指挥、有利于信息沟通。</w:t>
                  </w:r>
                </w:p>
                <w:p>
                  <w:pPr>
                    <w:pStyle w:val="null3"/>
                    <w:spacing w:before="180"/>
                    <w:jc w:val="right"/>
                  </w:pPr>
                  <w:r>
                    <w:rPr>
                      <w:rFonts w:ascii="仿宋_GB2312" w:hAnsi="仿宋_GB2312" w:cs="仿宋_GB2312" w:eastAsia="仿宋_GB2312"/>
                      <w:sz w:val="24"/>
                    </w:rPr>
                    <w:t>要求投标人在报价方案中要明确工程监理的各项运作，包括监理人员的相关资料、</w:t>
                  </w:r>
                </w:p>
                <w:p>
                  <w:pPr>
                    <w:pStyle w:val="null3"/>
                    <w:jc w:val="both"/>
                  </w:pPr>
                  <w:r>
                    <w:rPr>
                      <w:rFonts w:ascii="仿宋_GB2312" w:hAnsi="仿宋_GB2312" w:cs="仿宋_GB2312" w:eastAsia="仿宋_GB2312"/>
                      <w:sz w:val="24"/>
                    </w:rPr>
                    <w:t>职能分配、监理组织的构成及工作流程、各项监理工作的相关负责人等。</w:t>
                  </w:r>
                </w:p>
                <w:p>
                  <w:pPr>
                    <w:pStyle w:val="null3"/>
                    <w:spacing w:before="180"/>
                    <w:ind w:left="480"/>
                    <w:jc w:val="both"/>
                  </w:pPr>
                  <w:r>
                    <w:rPr>
                      <w:rFonts w:ascii="仿宋_GB2312" w:hAnsi="仿宋_GB2312" w:cs="仿宋_GB2312" w:eastAsia="仿宋_GB2312"/>
                      <w:sz w:val="24"/>
                    </w:rPr>
                    <w:t>3、监理信息管理要求</w:t>
                  </w:r>
                </w:p>
                <w:p>
                  <w:pPr>
                    <w:pStyle w:val="null3"/>
                    <w:spacing w:before="180"/>
                    <w:ind w:right="15" w:firstLine="482"/>
                    <w:jc w:val="both"/>
                  </w:pPr>
                  <w:r>
                    <w:rPr>
                      <w:rFonts w:ascii="仿宋_GB2312" w:hAnsi="仿宋_GB2312" w:cs="仿宋_GB2312" w:eastAsia="仿宋_GB2312"/>
                      <w:sz w:val="24"/>
                    </w:rPr>
                    <w:t>投标人应制定有关本项目信息管理流程，规范各方文档并负责整理记录归档业主单</w:t>
                  </w:r>
                  <w:r>
                    <w:rPr>
                      <w:rFonts w:ascii="仿宋_GB2312" w:hAnsi="仿宋_GB2312" w:cs="仿宋_GB2312" w:eastAsia="仿宋_GB2312"/>
                      <w:sz w:val="24"/>
                    </w:rPr>
                    <w:t>位与承建单位来往的文件、合同、协议及会议记录等各种文档，并定期以监理月（周</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季）报形式提交业主。包括下列监理工作：</w:t>
                  </w:r>
                </w:p>
                <w:p>
                  <w:pPr>
                    <w:pStyle w:val="null3"/>
                    <w:spacing w:before="180"/>
                    <w:ind w:left="495"/>
                    <w:jc w:val="both"/>
                  </w:pPr>
                  <w:r>
                    <w:rPr>
                      <w:rFonts w:ascii="仿宋_GB2312" w:hAnsi="仿宋_GB2312" w:cs="仿宋_GB2312" w:eastAsia="仿宋_GB2312"/>
                      <w:sz w:val="24"/>
                    </w:rPr>
                    <w:t>1)做好监理日记及工程大事记；</w:t>
                  </w:r>
                </w:p>
                <w:p>
                  <w:pPr>
                    <w:pStyle w:val="null3"/>
                    <w:spacing w:before="180"/>
                    <w:ind w:left="480"/>
                    <w:jc w:val="both"/>
                  </w:pPr>
                  <w:r>
                    <w:rPr>
                      <w:rFonts w:ascii="仿宋_GB2312" w:hAnsi="仿宋_GB2312" w:cs="仿宋_GB2312" w:eastAsia="仿宋_GB2312"/>
                      <w:sz w:val="24"/>
                    </w:rPr>
                    <w:t>2)做好合同批复等各类往来文件的批复和存档；</w:t>
                  </w:r>
                </w:p>
                <w:p>
                  <w:pPr>
                    <w:pStyle w:val="null3"/>
                    <w:spacing w:before="180"/>
                    <w:ind w:left="480"/>
                    <w:jc w:val="both"/>
                  </w:pPr>
                  <w:r>
                    <w:rPr>
                      <w:rFonts w:ascii="仿宋_GB2312" w:hAnsi="仿宋_GB2312" w:cs="仿宋_GB2312" w:eastAsia="仿宋_GB2312"/>
                      <w:sz w:val="24"/>
                    </w:rPr>
                    <w:t>3)做好项目协调会、技术专题会等各项会议纪要；</w:t>
                  </w:r>
                </w:p>
                <w:p>
                  <w:pPr>
                    <w:pStyle w:val="null3"/>
                    <w:spacing w:before="180"/>
                    <w:ind w:left="480"/>
                    <w:jc w:val="both"/>
                  </w:pPr>
                  <w:r>
                    <w:rPr>
                      <w:rFonts w:ascii="仿宋_GB2312" w:hAnsi="仿宋_GB2312" w:cs="仿宋_GB2312" w:eastAsia="仿宋_GB2312"/>
                      <w:sz w:val="24"/>
                    </w:rPr>
                    <w:t>4)管理好实施期间的各类、各方技术文档；</w:t>
                  </w:r>
                </w:p>
                <w:p>
                  <w:pPr>
                    <w:pStyle w:val="null3"/>
                    <w:spacing w:before="180"/>
                    <w:ind w:left="480"/>
                    <w:jc w:val="both"/>
                  </w:pPr>
                  <w:r>
                    <w:rPr>
                      <w:rFonts w:ascii="仿宋_GB2312" w:hAnsi="仿宋_GB2312" w:cs="仿宋_GB2312" w:eastAsia="仿宋_GB2312"/>
                      <w:sz w:val="24"/>
                    </w:rPr>
                    <w:t>5)做好项目周报；</w:t>
                  </w:r>
                </w:p>
                <w:p>
                  <w:pPr>
                    <w:pStyle w:val="null3"/>
                    <w:spacing w:before="45"/>
                    <w:ind w:left="480"/>
                    <w:jc w:val="both"/>
                  </w:pPr>
                  <w:r>
                    <w:rPr>
                      <w:rFonts w:ascii="仿宋_GB2312" w:hAnsi="仿宋_GB2312" w:cs="仿宋_GB2312" w:eastAsia="仿宋_GB2312"/>
                      <w:sz w:val="24"/>
                    </w:rPr>
                    <w:t>6)做好监理建议书、监理通知书存档；</w:t>
                  </w:r>
                </w:p>
                <w:p>
                  <w:pPr>
                    <w:pStyle w:val="null3"/>
                    <w:ind w:left="480"/>
                    <w:jc w:val="both"/>
                  </w:pPr>
                  <w:r>
                    <w:rPr>
                      <w:rFonts w:ascii="仿宋_GB2312" w:hAnsi="仿宋_GB2312" w:cs="仿宋_GB2312" w:eastAsia="仿宋_GB2312"/>
                      <w:sz w:val="24"/>
                    </w:rPr>
                    <w:t>7)阶段性项目总结。</w:t>
                  </w:r>
                </w:p>
                <w:p>
                  <w:pPr>
                    <w:pStyle w:val="null3"/>
                    <w:spacing w:before="180"/>
                    <w:ind w:left="15" w:right="120" w:firstLine="472"/>
                    <w:jc w:val="both"/>
                  </w:pPr>
                  <w:r>
                    <w:rPr>
                      <w:rFonts w:ascii="仿宋_GB2312" w:hAnsi="仿宋_GB2312" w:cs="仿宋_GB2312" w:eastAsia="仿宋_GB2312"/>
                      <w:sz w:val="24"/>
                    </w:rPr>
                    <w:t>投标人应针对项目特点，制定相应的信息分类表、信息流程图、信息管理表格、信</w:t>
                  </w:r>
                  <w:r>
                    <w:rPr>
                      <w:rFonts w:ascii="仿宋_GB2312" w:hAnsi="仿宋_GB2312" w:cs="仿宋_GB2312" w:eastAsia="仿宋_GB2312"/>
                      <w:sz w:val="24"/>
                    </w:rPr>
                    <w:t>息管理工作流程与措施，同时要求采用先进的项目信息管理软件对项目信息进行综合管</w:t>
                  </w:r>
                </w:p>
                <w:p>
                  <w:pPr>
                    <w:pStyle w:val="null3"/>
                    <w:jc w:val="both"/>
                  </w:pPr>
                  <w:r>
                    <w:rPr>
                      <w:rFonts w:ascii="仿宋_GB2312" w:hAnsi="仿宋_GB2312" w:cs="仿宋_GB2312" w:eastAsia="仿宋_GB2312"/>
                      <w:sz w:val="24"/>
                    </w:rPr>
                    <w:t>理。</w:t>
                  </w:r>
                </w:p>
                <w:p>
                  <w:pPr>
                    <w:pStyle w:val="null3"/>
                    <w:spacing w:before="165"/>
                    <w:ind w:left="480"/>
                    <w:jc w:val="both"/>
                  </w:pPr>
                  <w:r>
                    <w:rPr>
                      <w:rFonts w:ascii="仿宋_GB2312" w:hAnsi="仿宋_GB2312" w:cs="仿宋_GB2312" w:eastAsia="仿宋_GB2312"/>
                      <w:sz w:val="24"/>
                    </w:rPr>
                    <w:t>4、监理合同管理要求</w:t>
                  </w:r>
                </w:p>
                <w:p>
                  <w:pPr>
                    <w:pStyle w:val="null3"/>
                    <w:spacing w:before="180"/>
                    <w:ind w:right="120" w:firstLine="478"/>
                    <w:jc w:val="both"/>
                  </w:pPr>
                  <w:r>
                    <w:rPr>
                      <w:rFonts w:ascii="仿宋_GB2312" w:hAnsi="仿宋_GB2312" w:cs="仿宋_GB2312" w:eastAsia="仿宋_GB2312"/>
                      <w:sz w:val="24"/>
                    </w:rPr>
                    <w:t>本项目建设过程中会与承建单位签订各种合同，投标人应该针对项目特点制定合同</w:t>
                  </w:r>
                  <w:r>
                    <w:rPr>
                      <w:rFonts w:ascii="仿宋_GB2312" w:hAnsi="仿宋_GB2312" w:cs="仿宋_GB2312" w:eastAsia="仿宋_GB2312"/>
                      <w:sz w:val="24"/>
                    </w:rPr>
                    <w:t>从草案到签署的管理工作流程与措施，规范合同管理，并在具体项目合同执行时进行下</w:t>
                  </w:r>
                </w:p>
                <w:p>
                  <w:pPr>
                    <w:pStyle w:val="null3"/>
                    <w:jc w:val="both"/>
                  </w:pPr>
                  <w:r>
                    <w:rPr>
                      <w:rFonts w:ascii="仿宋_GB2312" w:hAnsi="仿宋_GB2312" w:cs="仿宋_GB2312" w:eastAsia="仿宋_GB2312"/>
                      <w:sz w:val="24"/>
                    </w:rPr>
                    <w:t>列监理工作：</w:t>
                  </w:r>
                </w:p>
                <w:p>
                  <w:pPr>
                    <w:pStyle w:val="null3"/>
                    <w:spacing w:before="180"/>
                    <w:ind w:left="495"/>
                    <w:jc w:val="both"/>
                  </w:pPr>
                  <w:r>
                    <w:rPr>
                      <w:rFonts w:ascii="仿宋_GB2312" w:hAnsi="仿宋_GB2312" w:cs="仿宋_GB2312" w:eastAsia="仿宋_GB2312"/>
                      <w:sz w:val="24"/>
                    </w:rPr>
                    <w:t>1)跟踪检查合同的执行情况，确保承建单位按时履约；</w:t>
                  </w:r>
                </w:p>
                <w:p>
                  <w:pPr>
                    <w:pStyle w:val="null3"/>
                    <w:spacing w:before="180"/>
                    <w:ind w:left="480"/>
                    <w:jc w:val="both"/>
                  </w:pPr>
                  <w:r>
                    <w:rPr>
                      <w:rFonts w:ascii="仿宋_GB2312" w:hAnsi="仿宋_GB2312" w:cs="仿宋_GB2312" w:eastAsia="仿宋_GB2312"/>
                      <w:sz w:val="24"/>
                    </w:rPr>
                    <w:t>2)对合同工期的延误和延期进行审核确认；</w:t>
                  </w:r>
                </w:p>
                <w:p>
                  <w:pPr>
                    <w:pStyle w:val="null3"/>
                    <w:ind w:left="480"/>
                    <w:jc w:val="both"/>
                  </w:pPr>
                  <w:r>
                    <w:rPr>
                      <w:rFonts w:ascii="仿宋_GB2312" w:hAnsi="仿宋_GB2312" w:cs="仿宋_GB2312" w:eastAsia="仿宋_GB2312"/>
                      <w:sz w:val="24"/>
                    </w:rPr>
                    <w:t>3)对合同变更、索赔等事宜进行审核确认；</w:t>
                  </w:r>
                </w:p>
                <w:p>
                  <w:pPr>
                    <w:pStyle w:val="null3"/>
                    <w:spacing w:before="180"/>
                    <w:ind w:left="480"/>
                    <w:jc w:val="both"/>
                  </w:pPr>
                  <w:r>
                    <w:rPr>
                      <w:rFonts w:ascii="仿宋_GB2312" w:hAnsi="仿宋_GB2312" w:cs="仿宋_GB2312" w:eastAsia="仿宋_GB2312"/>
                      <w:sz w:val="24"/>
                    </w:rPr>
                    <w:t>4)对合同终止进行审核确认；</w:t>
                  </w:r>
                </w:p>
                <w:p>
                  <w:pPr>
                    <w:pStyle w:val="null3"/>
                    <w:spacing w:before="180"/>
                    <w:ind w:left="480"/>
                    <w:jc w:val="both"/>
                  </w:pPr>
                  <w:r>
                    <w:rPr>
                      <w:rFonts w:ascii="仿宋_GB2312" w:hAnsi="仿宋_GB2312" w:cs="仿宋_GB2312" w:eastAsia="仿宋_GB2312"/>
                      <w:sz w:val="24"/>
                    </w:rPr>
                    <w:t>5)根据合同约定，审核承建单位提交的支付申请，签发付款凭证。</w:t>
                  </w:r>
                </w:p>
                <w:p>
                  <w:pPr>
                    <w:pStyle w:val="null3"/>
                    <w:jc w:val="both"/>
                  </w:pPr>
                  <w:r>
                    <w:rPr>
                      <w:rFonts w:ascii="仿宋_GB2312" w:hAnsi="仿宋_GB2312" w:cs="仿宋_GB2312" w:eastAsia="仿宋_GB2312"/>
                      <w:sz w:val="24"/>
                    </w:rPr>
                    <w:t>要求对项目合同进行合理的管理，以完善整个项目建设的过程。</w:t>
                  </w:r>
                </w:p>
                <w:p>
                  <w:pPr>
                    <w:pStyle w:val="null3"/>
                    <w:spacing w:before="315"/>
                    <w:ind w:left="15"/>
                    <w:jc w:val="both"/>
                  </w:pPr>
                  <w:r>
                    <w:rPr>
                      <w:rFonts w:ascii="仿宋_GB2312" w:hAnsi="仿宋_GB2312" w:cs="仿宋_GB2312" w:eastAsia="仿宋_GB2312"/>
                      <w:sz w:val="28"/>
                      <w:b/>
                    </w:rPr>
                    <w:t>五、监理服务准则</w:t>
                  </w:r>
                </w:p>
                <w:p>
                  <w:pPr>
                    <w:pStyle w:val="null3"/>
                    <w:spacing w:before="225"/>
                    <w:ind w:left="30" w:firstLine="441"/>
                    <w:jc w:val="both"/>
                  </w:pPr>
                  <w:r>
                    <w:rPr>
                      <w:rFonts w:ascii="仿宋_GB2312" w:hAnsi="仿宋_GB2312" w:cs="仿宋_GB2312" w:eastAsia="仿宋_GB2312"/>
                      <w:sz w:val="24"/>
                    </w:rPr>
                    <w:t>遵照国家</w:t>
                  </w:r>
                  <w:r>
                    <w:rPr>
                      <w:rFonts w:ascii="仿宋_GB2312" w:hAnsi="仿宋_GB2312" w:cs="仿宋_GB2312" w:eastAsia="仿宋_GB2312"/>
                      <w:sz w:val="24"/>
                    </w:rPr>
                    <w:t>GB/T19668.1-19668.6《信息化工程监理规范》 、信息产业部信部信  [2002]570 号《信息系统工程监理暂行规定》的规定，以“守法、诚信、公正、科学 ”</w:t>
                  </w:r>
                </w:p>
                <w:p>
                  <w:pPr>
                    <w:pStyle w:val="null3"/>
                    <w:ind w:left="15"/>
                    <w:jc w:val="both"/>
                  </w:pPr>
                  <w:r>
                    <w:rPr>
                      <w:rFonts w:ascii="仿宋_GB2312" w:hAnsi="仿宋_GB2312" w:cs="仿宋_GB2312" w:eastAsia="仿宋_GB2312"/>
                      <w:sz w:val="24"/>
                    </w:rPr>
                    <w:t>的准则执业，维护建设方与承建方的合法权益。具体应做到：</w:t>
                  </w:r>
                </w:p>
                <w:p>
                  <w:pPr>
                    <w:pStyle w:val="null3"/>
                    <w:spacing w:before="180"/>
                    <w:ind w:left="495"/>
                    <w:jc w:val="both"/>
                  </w:pPr>
                  <w:r>
                    <w:rPr>
                      <w:rFonts w:ascii="仿宋_GB2312" w:hAnsi="仿宋_GB2312" w:cs="仿宋_GB2312" w:eastAsia="仿宋_GB2312"/>
                      <w:sz w:val="24"/>
                    </w:rPr>
                    <w:t>1、执行有关项目建设的法律、法规、规范、标准和制度，履行监理合同规定的义</w:t>
                  </w:r>
                </w:p>
                <w:p>
                  <w:pPr>
                    <w:pStyle w:val="null3"/>
                    <w:jc w:val="both"/>
                  </w:pPr>
                  <w:r>
                    <w:rPr>
                      <w:rFonts w:ascii="仿宋_GB2312" w:hAnsi="仿宋_GB2312" w:cs="仿宋_GB2312" w:eastAsia="仿宋_GB2312"/>
                      <w:sz w:val="24"/>
                    </w:rPr>
                    <w:t>务和职责。</w:t>
                  </w:r>
                </w:p>
                <w:p>
                  <w:pPr>
                    <w:pStyle w:val="null3"/>
                    <w:spacing w:before="180"/>
                    <w:ind w:left="480"/>
                    <w:jc w:val="both"/>
                  </w:pPr>
                  <w:r>
                    <w:rPr>
                      <w:rFonts w:ascii="仿宋_GB2312" w:hAnsi="仿宋_GB2312" w:cs="仿宋_GB2312" w:eastAsia="仿宋_GB2312"/>
                      <w:sz w:val="24"/>
                    </w:rPr>
                    <w:t>2、不收受被监理单位的任何礼金。</w:t>
                  </w:r>
                </w:p>
                <w:p>
                  <w:pPr>
                    <w:pStyle w:val="null3"/>
                    <w:spacing w:before="180"/>
                    <w:ind w:left="480"/>
                    <w:jc w:val="both"/>
                  </w:pPr>
                  <w:r>
                    <w:rPr>
                      <w:rFonts w:ascii="仿宋_GB2312" w:hAnsi="仿宋_GB2312" w:cs="仿宋_GB2312" w:eastAsia="仿宋_GB2312"/>
                      <w:sz w:val="24"/>
                    </w:rPr>
                    <w:t>3、不泄漏所监理项目各方认为需要保密的事项。</w:t>
                  </w:r>
                </w:p>
                <w:p>
                  <w:pPr>
                    <w:pStyle w:val="null3"/>
                    <w:spacing w:before="180"/>
                    <w:ind w:left="480"/>
                    <w:jc w:val="both"/>
                  </w:pPr>
                  <w:r>
                    <w:rPr>
                      <w:rFonts w:ascii="仿宋_GB2312" w:hAnsi="仿宋_GB2312" w:cs="仿宋_GB2312" w:eastAsia="仿宋_GB2312"/>
                      <w:sz w:val="24"/>
                    </w:rPr>
                    <w:t>4、遵守国家的法律和政府的有关条例、规定和办法等。</w:t>
                  </w:r>
                </w:p>
                <w:p>
                  <w:pPr>
                    <w:pStyle w:val="null3"/>
                    <w:spacing w:before="180"/>
                    <w:ind w:left="480"/>
                    <w:jc w:val="both"/>
                  </w:pPr>
                  <w:r>
                    <w:rPr>
                      <w:rFonts w:ascii="仿宋_GB2312" w:hAnsi="仿宋_GB2312" w:cs="仿宋_GB2312" w:eastAsia="仿宋_GB2312"/>
                      <w:sz w:val="24"/>
                    </w:rPr>
                    <w:t>5、坚持公正的立场，独立、公正地处理有关各方的争议。</w:t>
                  </w:r>
                </w:p>
                <w:p>
                  <w:pPr>
                    <w:pStyle w:val="null3"/>
                    <w:ind w:left="480"/>
                    <w:jc w:val="both"/>
                  </w:pPr>
                  <w:r>
                    <w:rPr>
                      <w:rFonts w:ascii="仿宋_GB2312" w:hAnsi="仿宋_GB2312" w:cs="仿宋_GB2312" w:eastAsia="仿宋_GB2312"/>
                      <w:sz w:val="24"/>
                    </w:rPr>
                    <w:t>6、坚持科学的态度和实事求是的原则。</w:t>
                  </w:r>
                </w:p>
                <w:p>
                  <w:pPr>
                    <w:pStyle w:val="null3"/>
                    <w:spacing w:before="180"/>
                    <w:ind w:left="480"/>
                    <w:jc w:val="both"/>
                  </w:pPr>
                  <w:r>
                    <w:rPr>
                      <w:rFonts w:ascii="仿宋_GB2312" w:hAnsi="仿宋_GB2312" w:cs="仿宋_GB2312" w:eastAsia="仿宋_GB2312"/>
                      <w:sz w:val="24"/>
                    </w:rPr>
                    <w:t>7、在坚持按监理合同的规定向建设单位提供技术服务的同时，帮助被监理者完成</w:t>
                  </w:r>
                </w:p>
                <w:p>
                  <w:pPr>
                    <w:pStyle w:val="null3"/>
                    <w:jc w:val="both"/>
                  </w:pPr>
                  <w:r>
                    <w:rPr>
                      <w:rFonts w:ascii="仿宋_GB2312" w:hAnsi="仿宋_GB2312" w:cs="仿宋_GB2312" w:eastAsia="仿宋_GB2312"/>
                      <w:sz w:val="24"/>
                    </w:rPr>
                    <w:t>起担负的建设任务。</w:t>
                  </w:r>
                </w:p>
                <w:p>
                  <w:pPr>
                    <w:pStyle w:val="null3"/>
                    <w:spacing w:before="180"/>
                    <w:ind w:left="480"/>
                    <w:jc w:val="both"/>
                  </w:pPr>
                  <w:r>
                    <w:rPr>
                      <w:rFonts w:ascii="仿宋_GB2312" w:hAnsi="仿宋_GB2312" w:cs="仿宋_GB2312" w:eastAsia="仿宋_GB2312"/>
                      <w:sz w:val="24"/>
                    </w:rPr>
                    <w:t>8、不泄漏所监理的项目需保密的事项。</w:t>
                  </w:r>
                </w:p>
                <w:p>
                  <w:pPr>
                    <w:pStyle w:val="null3"/>
                    <w:jc w:val="left"/>
                  </w:pPr>
                  <w:r>
                    <w:rPr>
                      <w:rFonts w:ascii="仿宋_GB2312" w:hAnsi="仿宋_GB2312" w:cs="仿宋_GB2312" w:eastAsia="仿宋_GB2312"/>
                      <w:sz w:val="28"/>
                      <w:b/>
                    </w:rPr>
                    <w:t>六、监理依据</w:t>
                  </w:r>
                </w:p>
                <w:p>
                  <w:pPr>
                    <w:pStyle w:val="null3"/>
                    <w:spacing w:before="180"/>
                    <w:ind w:left="480"/>
                    <w:jc w:val="both"/>
                  </w:pPr>
                  <w:r>
                    <w:rPr>
                      <w:rFonts w:ascii="仿宋_GB2312" w:hAnsi="仿宋_GB2312" w:cs="仿宋_GB2312" w:eastAsia="仿宋_GB2312"/>
                      <w:sz w:val="24"/>
                    </w:rPr>
                    <w:t>1、国家 GB/T19668.1-19668.6《信息化工程监理规范》、信息产业部信部信[2002]570</w:t>
                  </w:r>
                </w:p>
                <w:p>
                  <w:pPr>
                    <w:pStyle w:val="null3"/>
                    <w:spacing w:before="180"/>
                    <w:ind w:left="480"/>
                    <w:jc w:val="both"/>
                  </w:pPr>
                  <w:r>
                    <w:rPr>
                      <w:rFonts w:ascii="仿宋_GB2312" w:hAnsi="仿宋_GB2312" w:cs="仿宋_GB2312" w:eastAsia="仿宋_GB2312"/>
                      <w:sz w:val="24"/>
                    </w:rPr>
                    <w:t>号《信息系统工程监理暂行规定》和海南省有关信息系统项目建设和监理管理规范；</w:t>
                  </w:r>
                </w:p>
                <w:p>
                  <w:pPr>
                    <w:pStyle w:val="null3"/>
                    <w:spacing w:before="180"/>
                    <w:ind w:left="480"/>
                    <w:jc w:val="both"/>
                  </w:pPr>
                  <w:r>
                    <w:rPr>
                      <w:rFonts w:ascii="仿宋_GB2312" w:hAnsi="仿宋_GB2312" w:cs="仿宋_GB2312" w:eastAsia="仿宋_GB2312"/>
                      <w:sz w:val="24"/>
                    </w:rPr>
                    <w:t>2、建设单位与承建单位签订的承包工程合同</w:t>
                  </w:r>
                </w:p>
                <w:p>
                  <w:pPr>
                    <w:pStyle w:val="null3"/>
                    <w:spacing w:before="180"/>
                    <w:ind w:left="480"/>
                    <w:jc w:val="both"/>
                  </w:pPr>
                  <w:r>
                    <w:rPr>
                      <w:rFonts w:ascii="仿宋_GB2312" w:hAnsi="仿宋_GB2312" w:cs="仿宋_GB2312" w:eastAsia="仿宋_GB2312"/>
                      <w:sz w:val="24"/>
                    </w:rPr>
                    <w:t>3、建设单位与监理单位签订的委托监理合同</w:t>
                  </w:r>
                </w:p>
                <w:p>
                  <w:pPr>
                    <w:pStyle w:val="null3"/>
                    <w:spacing w:before="180"/>
                    <w:ind w:left="480"/>
                    <w:jc w:val="both"/>
                  </w:pPr>
                  <w:r>
                    <w:rPr>
                      <w:rFonts w:ascii="仿宋_GB2312" w:hAnsi="仿宋_GB2312" w:cs="仿宋_GB2312" w:eastAsia="仿宋_GB2312"/>
                      <w:sz w:val="24"/>
                    </w:rPr>
                    <w:t>4、本工程招标书、招标过程文件、各中标商的投标书</w:t>
                  </w:r>
                </w:p>
                <w:p>
                  <w:pPr>
                    <w:pStyle w:val="null3"/>
                    <w:spacing w:before="180"/>
                    <w:ind w:left="480"/>
                    <w:jc w:val="both"/>
                  </w:pPr>
                  <w:r>
                    <w:rPr>
                      <w:rFonts w:ascii="仿宋_GB2312" w:hAnsi="仿宋_GB2312" w:cs="仿宋_GB2312" w:eastAsia="仿宋_GB2312"/>
                      <w:sz w:val="24"/>
                    </w:rPr>
                    <w:t>5、国家有关合同、招投标、政府采购的法律法规</w:t>
                  </w:r>
                </w:p>
                <w:p>
                  <w:pPr>
                    <w:pStyle w:val="null3"/>
                    <w:spacing w:before="180"/>
                    <w:ind w:left="480"/>
                    <w:jc w:val="both"/>
                  </w:pPr>
                  <w:r>
                    <w:rPr>
                      <w:rFonts w:ascii="仿宋_GB2312" w:hAnsi="仿宋_GB2312" w:cs="仿宋_GB2312" w:eastAsia="仿宋_GB2312"/>
                      <w:sz w:val="24"/>
                    </w:rPr>
                    <w:t>6、地方政府的信息工程、信息工程监理的管理办法和规定</w:t>
                  </w:r>
                </w:p>
                <w:p>
                  <w:pPr>
                    <w:pStyle w:val="null3"/>
                    <w:spacing w:before="180"/>
                    <w:ind w:left="480"/>
                    <w:jc w:val="both"/>
                  </w:pPr>
                  <w:r>
                    <w:rPr>
                      <w:rFonts w:ascii="仿宋_GB2312" w:hAnsi="仿宋_GB2312" w:cs="仿宋_GB2312" w:eastAsia="仿宋_GB2312"/>
                      <w:sz w:val="24"/>
                    </w:rPr>
                    <w:t>7、建设工程和信息工程相关的国家、行业标准和规范</w:t>
                  </w:r>
                </w:p>
                <w:p>
                  <w:pPr>
                    <w:pStyle w:val="null3"/>
                    <w:spacing w:before="180"/>
                    <w:ind w:left="480"/>
                    <w:jc w:val="both"/>
                  </w:pPr>
                  <w:r>
                    <w:rPr>
                      <w:rFonts w:ascii="仿宋_GB2312" w:hAnsi="仿宋_GB2312" w:cs="仿宋_GB2312" w:eastAsia="仿宋_GB2312"/>
                      <w:sz w:val="24"/>
                    </w:rPr>
                    <w:t>8、建设工程和信息工程技术监督、工程验收规范</w:t>
                  </w:r>
                </w:p>
                <w:p>
                  <w:pPr>
                    <w:pStyle w:val="null3"/>
                    <w:spacing w:before="180"/>
                    <w:ind w:left="480"/>
                    <w:jc w:val="both"/>
                  </w:pPr>
                  <w:r>
                    <w:rPr>
                      <w:rFonts w:ascii="仿宋_GB2312" w:hAnsi="仿宋_GB2312" w:cs="仿宋_GB2312" w:eastAsia="仿宋_GB2312"/>
                      <w:sz w:val="24"/>
                    </w:rPr>
                    <w:t>9、与工程相关的技术资料</w:t>
                  </w:r>
                </w:p>
                <w:p>
                  <w:pPr>
                    <w:pStyle w:val="null3"/>
                    <w:spacing w:before="180"/>
                    <w:ind w:left="480"/>
                    <w:jc w:val="both"/>
                  </w:pPr>
                  <w:r>
                    <w:rPr>
                      <w:rFonts w:ascii="仿宋_GB2312" w:hAnsi="仿宋_GB2312" w:cs="仿宋_GB2312" w:eastAsia="仿宋_GB2312"/>
                      <w:sz w:val="24"/>
                    </w:rPr>
                    <w:t>10、其他与本项目适用的法律、法规和标准</w:t>
                  </w:r>
                </w:p>
                <w:p>
                  <w:pPr>
                    <w:pStyle w:val="null3"/>
                    <w:spacing w:before="180"/>
                    <w:ind w:left="480"/>
                    <w:jc w:val="both"/>
                  </w:pPr>
                  <w:r>
                    <w:rPr>
                      <w:rFonts w:ascii="仿宋_GB2312" w:hAnsi="仿宋_GB2312" w:cs="仿宋_GB2312" w:eastAsia="仿宋_GB2312"/>
                      <w:sz w:val="24"/>
                    </w:rPr>
                    <w:t>11、国家、地方及行业相关的技术标准</w:t>
                  </w:r>
                </w:p>
                <w:p>
                  <w:pPr>
                    <w:pStyle w:val="null3"/>
                    <w:spacing w:before="315"/>
                    <w:ind w:left="15"/>
                    <w:jc w:val="both"/>
                  </w:pPr>
                  <w:r>
                    <w:rPr>
                      <w:rFonts w:ascii="仿宋_GB2312" w:hAnsi="仿宋_GB2312" w:cs="仿宋_GB2312" w:eastAsia="仿宋_GB2312"/>
                      <w:sz w:val="28"/>
                      <w:b/>
                    </w:rPr>
                    <w:t>七、安全保密要求</w:t>
                  </w:r>
                </w:p>
                <w:p>
                  <w:pPr>
                    <w:pStyle w:val="null3"/>
                    <w:spacing w:before="225"/>
                    <w:ind w:right="60"/>
                    <w:jc w:val="right"/>
                  </w:pPr>
                  <w:r>
                    <w:rPr>
                      <w:rFonts w:ascii="仿宋_GB2312" w:hAnsi="仿宋_GB2312" w:cs="仿宋_GB2312" w:eastAsia="仿宋_GB2312"/>
                      <w:sz w:val="24"/>
                    </w:rPr>
                    <w:t>本项目要求投标人制定一整套工程监理安全保密制度，确定工程保密责任人，同时</w:t>
                  </w:r>
                </w:p>
                <w:p>
                  <w:pPr>
                    <w:pStyle w:val="null3"/>
                    <w:jc w:val="both"/>
                  </w:pPr>
                  <w:r>
                    <w:rPr>
                      <w:rFonts w:ascii="仿宋_GB2312" w:hAnsi="仿宋_GB2312" w:cs="仿宋_GB2312" w:eastAsia="仿宋_GB2312"/>
                      <w:sz w:val="24"/>
                    </w:rPr>
                    <w:t>要求投标人：</w:t>
                  </w:r>
                </w:p>
                <w:p>
                  <w:pPr>
                    <w:pStyle w:val="null3"/>
                    <w:spacing w:before="180"/>
                    <w:ind w:left="495"/>
                    <w:jc w:val="both"/>
                  </w:pPr>
                  <w:r>
                    <w:rPr>
                      <w:rFonts w:ascii="仿宋_GB2312" w:hAnsi="仿宋_GB2312" w:cs="仿宋_GB2312" w:eastAsia="仿宋_GB2312"/>
                      <w:sz w:val="24"/>
                    </w:rPr>
                    <w:t>1、按照国家、省、市的有关法规文件规定，要求监理履行保密责任，并与建设单</w:t>
                  </w:r>
                </w:p>
                <w:p>
                  <w:pPr>
                    <w:pStyle w:val="null3"/>
                    <w:jc w:val="both"/>
                  </w:pPr>
                  <w:r>
                    <w:rPr>
                      <w:rFonts w:ascii="仿宋_GB2312" w:hAnsi="仿宋_GB2312" w:cs="仿宋_GB2312" w:eastAsia="仿宋_GB2312"/>
                      <w:sz w:val="24"/>
                    </w:rPr>
                    <w:t>位签订保密协议；</w:t>
                  </w:r>
                </w:p>
                <w:p>
                  <w:pPr>
                    <w:pStyle w:val="null3"/>
                    <w:spacing w:before="180"/>
                    <w:ind w:left="480"/>
                    <w:jc w:val="both"/>
                  </w:pPr>
                  <w:r>
                    <w:rPr>
                      <w:rFonts w:ascii="仿宋_GB2312" w:hAnsi="仿宋_GB2312" w:cs="仿宋_GB2312" w:eastAsia="仿宋_GB2312"/>
                      <w:sz w:val="24"/>
                    </w:rPr>
                    <w:t>2、监理单位各级组织严格履行保密职责；</w:t>
                  </w:r>
                </w:p>
                <w:p>
                  <w:pPr>
                    <w:pStyle w:val="null3"/>
                    <w:ind w:left="480"/>
                    <w:jc w:val="both"/>
                  </w:pPr>
                  <w:r>
                    <w:rPr>
                      <w:rFonts w:ascii="仿宋_GB2312" w:hAnsi="仿宋_GB2312" w:cs="仿宋_GB2312" w:eastAsia="仿宋_GB2312"/>
                      <w:sz w:val="24"/>
                    </w:rPr>
                    <w:t>3、公司内部保密规定开展监理工作。</w:t>
                  </w:r>
                </w:p>
                <w:p>
                  <w:pPr>
                    <w:pStyle w:val="null3"/>
                    <w:spacing w:before="315"/>
                    <w:ind w:left="15"/>
                    <w:jc w:val="both"/>
                  </w:pPr>
                  <w:r>
                    <w:rPr>
                      <w:rFonts w:ascii="仿宋_GB2312" w:hAnsi="仿宋_GB2312" w:cs="仿宋_GB2312" w:eastAsia="仿宋_GB2312"/>
                      <w:sz w:val="28"/>
                      <w:b/>
                    </w:rPr>
                    <w:t>八、监理验收要求</w:t>
                  </w:r>
                </w:p>
                <w:p>
                  <w:pPr>
                    <w:pStyle w:val="null3"/>
                    <w:spacing w:before="240"/>
                    <w:ind w:firstLine="492"/>
                    <w:jc w:val="both"/>
                  </w:pPr>
                  <w:r>
                    <w:rPr>
                      <w:rFonts w:ascii="仿宋_GB2312" w:hAnsi="仿宋_GB2312" w:cs="仿宋_GB2312" w:eastAsia="仿宋_GB2312"/>
                      <w:sz w:val="24"/>
                    </w:rPr>
                    <w:t>1、审核监理方应提交的各类监理文档和最终监理总结报告，综合评估监理方在系  统开发进度、质量把关、重难点问题解决、项目投资等方面的监理情况。只有文档齐全，</w:t>
                  </w:r>
                </w:p>
                <w:p>
                  <w:pPr>
                    <w:pStyle w:val="null3"/>
                    <w:jc w:val="both"/>
                  </w:pPr>
                  <w:r>
                    <w:rPr>
                      <w:rFonts w:ascii="仿宋_GB2312" w:hAnsi="仿宋_GB2312" w:cs="仿宋_GB2312" w:eastAsia="仿宋_GB2312"/>
                      <w:sz w:val="24"/>
                    </w:rPr>
                    <w:t>系统开发工作中没有出现重大质量事故才予验收。</w:t>
                  </w:r>
                </w:p>
                <w:p>
                  <w:pPr>
                    <w:pStyle w:val="null3"/>
                    <w:spacing w:before="180"/>
                    <w:ind w:left="480"/>
                    <w:jc w:val="both"/>
                  </w:pPr>
                  <w:r>
                    <w:rPr>
                      <w:rFonts w:ascii="仿宋_GB2312" w:hAnsi="仿宋_GB2312" w:cs="仿宋_GB2312" w:eastAsia="仿宋_GB2312"/>
                      <w:sz w:val="24"/>
                    </w:rPr>
                    <w:t>2、本监理工作的最终验收由委托方组织。</w:t>
                  </w:r>
                </w:p>
                <w:p>
                  <w:pPr>
                    <w:pStyle w:val="null3"/>
                    <w:spacing w:before="315"/>
                    <w:ind w:left="15"/>
                    <w:jc w:val="both"/>
                  </w:pPr>
                  <w:r>
                    <w:rPr>
                      <w:rFonts w:ascii="仿宋_GB2312" w:hAnsi="仿宋_GB2312" w:cs="仿宋_GB2312" w:eastAsia="仿宋_GB2312"/>
                      <w:sz w:val="28"/>
                      <w:b/>
                    </w:rPr>
                    <w:t>九、其它要求</w:t>
                  </w:r>
                </w:p>
                <w:p>
                  <w:pPr>
                    <w:pStyle w:val="null3"/>
                    <w:spacing w:before="240"/>
                    <w:ind w:firstLine="492"/>
                    <w:jc w:val="both"/>
                  </w:pPr>
                  <w:r>
                    <w:rPr>
                      <w:rFonts w:ascii="仿宋_GB2312" w:hAnsi="仿宋_GB2312" w:cs="仿宋_GB2312" w:eastAsia="仿宋_GB2312"/>
                      <w:sz w:val="24"/>
                    </w:rPr>
                    <w:t>1、监理团队成员至少为</w:t>
                  </w:r>
                  <w:r>
                    <w:rPr>
                      <w:rFonts w:ascii="仿宋_GB2312" w:hAnsi="仿宋_GB2312" w:cs="仿宋_GB2312" w:eastAsia="仿宋_GB2312"/>
                      <w:sz w:val="24"/>
                      <w:color w:val="0000FF"/>
                      <w:u w:val="single"/>
                    </w:rPr>
                    <w:t>3</w:t>
                  </w:r>
                  <w:r>
                    <w:rPr>
                      <w:rFonts w:ascii="仿宋_GB2312" w:hAnsi="仿宋_GB2312" w:cs="仿宋_GB2312" w:eastAsia="仿宋_GB2312"/>
                      <w:sz w:val="24"/>
                    </w:rPr>
                    <w:t>人，每人应具备信息监理工程师证书；</w:t>
                  </w:r>
                </w:p>
                <w:p>
                  <w:pPr>
                    <w:pStyle w:val="null3"/>
                    <w:spacing w:before="240"/>
                    <w:ind w:firstLine="492"/>
                    <w:jc w:val="both"/>
                  </w:pPr>
                  <w:r>
                    <w:rPr>
                      <w:rFonts w:ascii="仿宋_GB2312" w:hAnsi="仿宋_GB2312" w:cs="仿宋_GB2312" w:eastAsia="仿宋_GB2312"/>
                      <w:sz w:val="24"/>
                    </w:rPr>
                    <w:t>2、其中总监理工程师在具备信息监理工程师的基础上，需要具备高级工程师或相关职称证书。</w:t>
                  </w:r>
                </w:p>
              </w:tc>
            </w:tr>
          </w:tbl>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标的名称：安全服务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left="15"/>
                    <w:jc w:val="both"/>
                  </w:pPr>
                  <w:r>
                    <w:rPr>
                      <w:rFonts w:ascii="仿宋_GB2312" w:hAnsi="仿宋_GB2312" w:cs="仿宋_GB2312" w:eastAsia="仿宋_GB2312"/>
                      <w:sz w:val="28"/>
                      <w:b/>
                    </w:rPr>
                    <w:t>一、项目概述</w:t>
                  </w:r>
                </w:p>
                <w:p>
                  <w:pPr>
                    <w:pStyle w:val="null3"/>
                    <w:jc w:val="both"/>
                  </w:pPr>
                  <w:r>
                    <w:rPr>
                      <w:rFonts w:ascii="仿宋_GB2312" w:hAnsi="仿宋_GB2312" w:cs="仿宋_GB2312" w:eastAsia="仿宋_GB2312"/>
                      <w:sz w:val="24"/>
                      <w:b/>
                      <w:color w:val="000000"/>
                    </w:rPr>
                    <w:t>采购内容：含渗透测试服务、代码审计服务、网络安全等级保护测评服务。</w:t>
                  </w:r>
                </w:p>
                <w:p>
                  <w:pPr>
                    <w:pStyle w:val="null3"/>
                    <w:spacing w:before="195"/>
                    <w:ind w:left="15"/>
                    <w:jc w:val="both"/>
                  </w:pPr>
                  <w:r>
                    <w:rPr>
                      <w:rFonts w:ascii="仿宋_GB2312" w:hAnsi="仿宋_GB2312" w:cs="仿宋_GB2312" w:eastAsia="仿宋_GB2312"/>
                      <w:sz w:val="28"/>
                      <w:b/>
                    </w:rPr>
                    <w:t>二、服务内容</w:t>
                  </w:r>
                </w:p>
                <w:p>
                  <w:pPr>
                    <w:pStyle w:val="null3"/>
                    <w:ind w:firstLine="480"/>
                    <w:jc w:val="both"/>
                  </w:pPr>
                  <w:r>
                    <w:rPr>
                      <w:rFonts w:ascii="仿宋_GB2312" w:hAnsi="仿宋_GB2312" w:cs="仿宋_GB2312" w:eastAsia="仿宋_GB2312"/>
                      <w:sz w:val="24"/>
                      <w:b/>
                      <w:color w:val="000000"/>
                    </w:rPr>
                    <w:t>1.等级保护测评服务</w:t>
                  </w:r>
                </w:p>
                <w:p>
                  <w:pPr>
                    <w:pStyle w:val="null3"/>
                    <w:ind w:firstLine="480"/>
                    <w:jc w:val="both"/>
                  </w:pPr>
                  <w:r>
                    <w:rPr>
                      <w:rFonts w:ascii="仿宋_GB2312" w:hAnsi="仿宋_GB2312" w:cs="仿宋_GB2312" w:eastAsia="仿宋_GB2312"/>
                      <w:sz w:val="24"/>
                      <w:color w:val="000000"/>
                    </w:rPr>
                    <w:t>根据国家及海南省信息化的相关要求，本项目需要对新建的电子凭证汇聚子系统提供等级保护定级服务。在系统完成第一次等级保护测评服务后并且系统尚未竣工验收前的期间，需每年配合完成</w:t>
                  </w:r>
                  <w:r>
                    <w:rPr>
                      <w:rFonts w:ascii="仿宋_GB2312" w:hAnsi="仿宋_GB2312" w:cs="仿宋_GB2312" w:eastAsia="仿宋_GB2312"/>
                      <w:sz w:val="24"/>
                      <w:color w:val="000000"/>
                    </w:rPr>
                    <w:t>1次等级保护测评服务并且出具报告。</w:t>
                  </w:r>
                </w:p>
                <w:p>
                  <w:pPr>
                    <w:pStyle w:val="null3"/>
                    <w:ind w:firstLine="480"/>
                    <w:jc w:val="both"/>
                  </w:pPr>
                  <w:r>
                    <w:rPr>
                      <w:rFonts w:ascii="仿宋_GB2312" w:hAnsi="仿宋_GB2312" w:cs="仿宋_GB2312" w:eastAsia="仿宋_GB2312"/>
                      <w:sz w:val="24"/>
                      <w:b/>
                      <w:color w:val="000000"/>
                    </w:rPr>
                    <w:t>2.渗透测试服务</w:t>
                  </w:r>
                </w:p>
                <w:p>
                  <w:pPr>
                    <w:pStyle w:val="null3"/>
                    <w:ind w:firstLine="480"/>
                    <w:jc w:val="both"/>
                  </w:pPr>
                  <w:r>
                    <w:rPr>
                      <w:rFonts w:ascii="仿宋_GB2312" w:hAnsi="仿宋_GB2312" w:cs="仿宋_GB2312" w:eastAsia="仿宋_GB2312"/>
                      <w:sz w:val="24"/>
                      <w:color w:val="000000"/>
                    </w:rPr>
                    <w:t>渗透测试能够在可控的前提下进行最贴近于真实情况的漏洞发掘，弥补了仅仅使用安全产品对系统分析的不足，通过渗透测试可以以攻击者的角度发现一些隐性存在的安全漏洞和风险点，有助于海南省财政信息化网络安全基础设施建设需求和网络安全等级保护工作需求。</w:t>
                  </w:r>
                </w:p>
                <w:p>
                  <w:pPr>
                    <w:pStyle w:val="null3"/>
                    <w:ind w:firstLine="480"/>
                    <w:jc w:val="both"/>
                  </w:pPr>
                  <w:r>
                    <w:rPr>
                      <w:rFonts w:ascii="仿宋_GB2312" w:hAnsi="仿宋_GB2312" w:cs="仿宋_GB2312" w:eastAsia="仿宋_GB2312"/>
                      <w:sz w:val="24"/>
                      <w:b/>
                      <w:color w:val="000000"/>
                    </w:rPr>
                    <w:t>3.代码审计服务</w:t>
                  </w:r>
                </w:p>
                <w:p>
                  <w:pPr>
                    <w:pStyle w:val="null3"/>
                    <w:ind w:firstLine="480"/>
                    <w:jc w:val="both"/>
                  </w:pPr>
                  <w:r>
                    <w:rPr>
                      <w:rFonts w:ascii="仿宋_GB2312" w:hAnsi="仿宋_GB2312" w:cs="仿宋_GB2312" w:eastAsia="仿宋_GB2312"/>
                      <w:sz w:val="24"/>
                      <w:color w:val="000000"/>
                    </w:rPr>
                    <w:t>通过代码审计检查源代码中的缺点和错误信息，分析并找到这些问题引发的安全漏洞，并提供代码修订措施和建议。从而让管理人员了解其系统所面临的威胁。</w:t>
                  </w:r>
                </w:p>
                <w:p>
                  <w:pPr>
                    <w:pStyle w:val="null3"/>
                    <w:spacing w:before="195"/>
                    <w:ind w:left="15"/>
                    <w:jc w:val="both"/>
                  </w:pPr>
                  <w:r>
                    <w:rPr>
                      <w:rFonts w:ascii="仿宋_GB2312" w:hAnsi="仿宋_GB2312" w:cs="仿宋_GB2312" w:eastAsia="仿宋_GB2312"/>
                      <w:sz w:val="28"/>
                      <w:b/>
                    </w:rPr>
                    <w:t>三、服务周期</w:t>
                  </w:r>
                </w:p>
                <w:p>
                  <w:pPr>
                    <w:pStyle w:val="null3"/>
                    <w:ind w:firstLine="480"/>
                    <w:jc w:val="both"/>
                  </w:pPr>
                  <w:r>
                    <w:rPr>
                      <w:rFonts w:ascii="仿宋_GB2312" w:hAnsi="仿宋_GB2312" w:cs="仿宋_GB2312" w:eastAsia="仿宋_GB2312"/>
                      <w:sz w:val="24"/>
                    </w:rPr>
                    <w:t>本项目安全服务周期自签订合同之日起，至建设项目完成竣工验收。</w:t>
                  </w:r>
                </w:p>
                <w:p>
                  <w:pPr>
                    <w:pStyle w:val="null3"/>
                    <w:spacing w:before="195"/>
                    <w:ind w:left="15"/>
                    <w:jc w:val="both"/>
                  </w:pPr>
                  <w:r>
                    <w:rPr>
                      <w:rFonts w:ascii="仿宋_GB2312" w:hAnsi="仿宋_GB2312" w:cs="仿宋_GB2312" w:eastAsia="仿宋_GB2312"/>
                      <w:sz w:val="28"/>
                      <w:b/>
                    </w:rPr>
                    <w:t>四、服务要求</w:t>
                  </w:r>
                </w:p>
                <w:p>
                  <w:pPr>
                    <w:pStyle w:val="null3"/>
                    <w:ind w:left="480"/>
                    <w:jc w:val="both"/>
                  </w:pPr>
                  <w:r>
                    <w:rPr>
                      <w:rFonts w:ascii="仿宋_GB2312" w:hAnsi="仿宋_GB2312" w:cs="仿宋_GB2312" w:eastAsia="仿宋_GB2312"/>
                      <w:sz w:val="32"/>
                      <w:b/>
                      <w:color w:val="000000"/>
                    </w:rPr>
                    <w:t>4.1等保测评服务</w:t>
                  </w:r>
                </w:p>
                <w:p>
                  <w:pPr>
                    <w:pStyle w:val="null3"/>
                    <w:ind w:left="480"/>
                    <w:jc w:val="both"/>
                  </w:pPr>
                  <w:r>
                    <w:rPr>
                      <w:rFonts w:ascii="仿宋_GB2312" w:hAnsi="仿宋_GB2312" w:cs="仿宋_GB2312" w:eastAsia="仿宋_GB2312"/>
                      <w:sz w:val="28"/>
                      <w:b/>
                      <w:color w:val="000000"/>
                    </w:rPr>
                    <w:t>4.1.1服务概述</w:t>
                  </w:r>
                </w:p>
                <w:p>
                  <w:pPr>
                    <w:pStyle w:val="null3"/>
                    <w:ind w:firstLine="480"/>
                    <w:jc w:val="left"/>
                  </w:pPr>
                  <w:r>
                    <w:rPr>
                      <w:rFonts w:ascii="仿宋_GB2312" w:hAnsi="仿宋_GB2312" w:cs="仿宋_GB2312" w:eastAsia="仿宋_GB2312"/>
                      <w:sz w:val="24"/>
                    </w:rPr>
                    <w:t>在实施安全保护过程中，首先利用《信息安全技术信息系统安全等级保护定级指南》（</w:t>
                  </w:r>
                  <w:r>
                    <w:rPr>
                      <w:rFonts w:ascii="仿宋_GB2312" w:hAnsi="仿宋_GB2312" w:cs="仿宋_GB2312" w:eastAsia="仿宋_GB2312"/>
                      <w:sz w:val="24"/>
                    </w:rPr>
                    <w:t>GB/T222402020）简称“《定级指南》”确定电子凭证汇聚子系统的安全保护等级，然后根据《信息安全技术网络安全等级保护基本要求》系列标准选择安全控制措施，随后利用《信息安全技术信息系统安全等级保护实施指南》简称“《实施指南》”或其他相关标准确定其特殊安全需求进行电子凭证汇聚子系统的安全规划和建设工作，此后利用《信息安全技术网络安全等级保护测评过程指南》简称“《测评过程指南》”来规范测评过程和各项活动，利用《信息安全技术网络安全等级保护测评要求》系列标准来判断安全控制措施的有效性。同时，等级保护整个实施过程又是由《实施指南》来指导的。</w:t>
                  </w:r>
                </w:p>
                <w:p>
                  <w:pPr>
                    <w:pStyle w:val="null3"/>
                    <w:ind w:firstLine="480"/>
                    <w:jc w:val="left"/>
                  </w:pPr>
                  <w:r>
                    <w:rPr>
                      <w:rFonts w:ascii="仿宋_GB2312" w:hAnsi="仿宋_GB2312" w:cs="仿宋_GB2312" w:eastAsia="仿宋_GB2312"/>
                      <w:sz w:val="24"/>
                    </w:rPr>
                    <w:t>在等级保护的相关标准中，《测评要求》系列标准是《基本要求》系列标准的姊妹篇《测评要求》针对《基本要求》中各要求项提供了具体测评方法、步骤和判断依据等，是为了确认电子凭证汇聚子系统是否按照《基本要求》中的不同等级的技术和管理要求实施的，而《测评过程指南》则是规定了开展这些测评活动的基本过程</w:t>
                  </w:r>
                  <w:r>
                    <w:rPr>
                      <w:rFonts w:ascii="仿宋_GB2312" w:hAnsi="仿宋_GB2312" w:cs="仿宋_GB2312" w:eastAsia="仿宋_GB2312"/>
                      <w:sz w:val="24"/>
                    </w:rPr>
                    <w:t>包括过程、任务及产品等以指导用户对《测评要求》的正确使用。</w:t>
                  </w:r>
                </w:p>
                <w:p>
                  <w:pPr>
                    <w:pStyle w:val="null3"/>
                    <w:ind w:firstLine="480"/>
                    <w:jc w:val="left"/>
                  </w:pPr>
                  <w:r>
                    <w:rPr>
                      <w:rFonts w:ascii="仿宋_GB2312" w:hAnsi="仿宋_GB2312" w:cs="仿宋_GB2312" w:eastAsia="仿宋_GB2312"/>
                      <w:sz w:val="24"/>
                    </w:rPr>
                    <w:t>按照《海南省信息化条例》关于</w:t>
                  </w:r>
                  <w:r>
                    <w:rPr>
                      <w:rFonts w:ascii="仿宋_GB2312" w:hAnsi="仿宋_GB2312" w:cs="仿宋_GB2312" w:eastAsia="仿宋_GB2312"/>
                      <w:sz w:val="24"/>
                    </w:rPr>
                    <w:t>“信息网络与信息系统的主管单位或者运行单位应当根据国家有关规定，确定本单位信息网络和信息系统的安全等级，并进行相应的信息安全系统建设。”和“使用财政性资金建设以及关系国计民生、社会稳定的信息网络和信息系统投入使用前，应当按照国家和本省有关规定进行信息安全测评。”的要求以及国家信息系统等级保护测评相关规定，必须对已建系统进行信息系统等级保护测评，并按照测评结果对信息系统安全问题进行整改，以确保信息系统正常运行。</w:t>
                  </w:r>
                </w:p>
                <w:p>
                  <w:pPr>
                    <w:pStyle w:val="null3"/>
                    <w:ind w:firstLine="480"/>
                    <w:jc w:val="left"/>
                  </w:pPr>
                  <w:r>
                    <w:rPr>
                      <w:rFonts w:ascii="仿宋_GB2312" w:hAnsi="仿宋_GB2312" w:cs="仿宋_GB2312" w:eastAsia="仿宋_GB2312"/>
                      <w:sz w:val="24"/>
                    </w:rPr>
                    <w:t>为履行网络安全主体责任，省财政厅系统的网络安全主管部门，按照网络安全等级保护制度和行业法规标准的要求，开展系统网络安全等级保护建设工作，以建立、健全单位网络安全防护体系，提升系统整体网络安全防护能力，满足第三级系统网络安全等级保护的能力要求。</w:t>
                  </w:r>
                </w:p>
                <w:p>
                  <w:pPr>
                    <w:pStyle w:val="null3"/>
                    <w:ind w:left="480"/>
                    <w:jc w:val="both"/>
                  </w:pPr>
                  <w:r>
                    <w:rPr>
                      <w:rFonts w:ascii="仿宋_GB2312" w:hAnsi="仿宋_GB2312" w:cs="仿宋_GB2312" w:eastAsia="仿宋_GB2312"/>
                      <w:sz w:val="28"/>
                      <w:b/>
                      <w:color w:val="000000"/>
                    </w:rPr>
                    <w:t>4.1.2服务对象</w:t>
                  </w:r>
                </w:p>
                <w:p>
                  <w:pPr>
                    <w:pStyle w:val="null3"/>
                    <w:ind w:firstLine="480"/>
                    <w:jc w:val="left"/>
                  </w:pPr>
                  <w:r>
                    <w:rPr>
                      <w:rFonts w:ascii="仿宋_GB2312" w:hAnsi="仿宋_GB2312" w:cs="仿宋_GB2312" w:eastAsia="仿宋_GB2312"/>
                      <w:sz w:val="24"/>
                    </w:rPr>
                    <w:t>根据国家及海南省信息化的相关要求，本项目需要对新建的电子凭证汇聚子系统提供等级保护定级。</w:t>
                  </w:r>
                </w:p>
                <w:tbl>
                  <w:tblPr>
                    <w:tblBorders>
                      <w:top w:val="none" w:color="000000" w:sz="4"/>
                      <w:left w:val="none" w:color="000000" w:sz="4"/>
                      <w:bottom w:val="none" w:color="000000" w:sz="4"/>
                      <w:right w:val="none" w:color="000000" w:sz="4"/>
                      <w:insideH w:val="none"/>
                      <w:insideV w:val="none"/>
                    </w:tblBorders>
                  </w:tblPr>
                  <w:tblGrid>
                    <w:gridCol w:w="235"/>
                    <w:gridCol w:w="1079"/>
                    <w:gridCol w:w="429"/>
                    <w:gridCol w:w="595"/>
                  </w:tblGrid>
                  <w:tr>
                    <w:tc>
                      <w:tcPr>
                        <w:tcW w:type="dxa" w:w="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编号</w:t>
                        </w:r>
                      </w:p>
                    </w:tc>
                    <w:tc>
                      <w:tcPr>
                        <w:tcW w:type="dxa" w:w="10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定级系统名称</w:t>
                        </w:r>
                      </w:p>
                    </w:tc>
                    <w:tc>
                      <w:tcPr>
                        <w:tcW w:type="dxa" w:w="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安全等级</w:t>
                        </w:r>
                      </w:p>
                    </w:tc>
                    <w:tc>
                      <w:tcPr>
                        <w:tcW w:type="dxa" w:w="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电子凭证汇聚子系统</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8"/>
                      <w:b/>
                      <w:color w:val="000000"/>
                    </w:rPr>
                    <w:t>4.1.3测评作用和目的</w:t>
                  </w:r>
                </w:p>
                <w:p>
                  <w:pPr>
                    <w:pStyle w:val="null3"/>
                    <w:ind w:firstLine="480"/>
                    <w:jc w:val="left"/>
                  </w:pPr>
                  <w:r>
                    <w:rPr>
                      <w:rFonts w:ascii="仿宋_GB2312" w:hAnsi="仿宋_GB2312" w:cs="仿宋_GB2312" w:eastAsia="仿宋_GB2312"/>
                      <w:sz w:val="24"/>
                    </w:rPr>
                    <w:t>通过进行测评，能够对信息系统体系能力的分析与确认；发现存在的安全隐患；帮助运营使用单位认识不足，及时改进；有效提升其防护水平；遵循国家有关规定的要求，对信息系统安全建设进行符合性测评。三级系统每年至少开展一次等级测评。</w:t>
                  </w:r>
                </w:p>
                <w:p>
                  <w:pPr>
                    <w:pStyle w:val="null3"/>
                    <w:ind w:left="480"/>
                    <w:jc w:val="both"/>
                  </w:pPr>
                  <w:r>
                    <w:rPr>
                      <w:rFonts w:ascii="仿宋_GB2312" w:hAnsi="仿宋_GB2312" w:cs="仿宋_GB2312" w:eastAsia="仿宋_GB2312"/>
                      <w:sz w:val="28"/>
                      <w:b/>
                      <w:color w:val="000000"/>
                    </w:rPr>
                    <w:t>4.1.4测评工作规范</w:t>
                  </w:r>
                </w:p>
                <w:p>
                  <w:pPr>
                    <w:pStyle w:val="null3"/>
                    <w:ind w:firstLine="480"/>
                    <w:jc w:val="left"/>
                  </w:pPr>
                  <w:r>
                    <w:rPr>
                      <w:rFonts w:ascii="仿宋_GB2312" w:hAnsi="仿宋_GB2312" w:cs="仿宋_GB2312" w:eastAsia="仿宋_GB2312"/>
                      <w:sz w:val="24"/>
                    </w:rPr>
                    <w:t>等级测评工作中，应遵循以下规范和原则。</w:t>
                  </w:r>
                </w:p>
                <w:p>
                  <w:pPr>
                    <w:pStyle w:val="null3"/>
                    <w:ind w:firstLine="480"/>
                    <w:jc w:val="left"/>
                  </w:pPr>
                  <w:r>
                    <w:rPr>
                      <w:rFonts w:ascii="仿宋_GB2312" w:hAnsi="仿宋_GB2312" w:cs="仿宋_GB2312" w:eastAsia="仿宋_GB2312"/>
                      <w:sz w:val="24"/>
                    </w:rPr>
                    <w:t>①标准性原则：测评工作的开展、方案的设计和具体实施均需依据我国等级保护的相关标准进行。</w:t>
                  </w:r>
                </w:p>
                <w:p>
                  <w:pPr>
                    <w:pStyle w:val="null3"/>
                    <w:ind w:firstLine="480"/>
                    <w:jc w:val="left"/>
                  </w:pPr>
                  <w:r>
                    <w:rPr>
                      <w:rFonts w:ascii="仿宋_GB2312" w:hAnsi="仿宋_GB2312" w:cs="仿宋_GB2312" w:eastAsia="仿宋_GB2312"/>
                      <w:sz w:val="24"/>
                    </w:rPr>
                    <w:t>②规范性原则：为用户提供规范的服务，工作中的过程和文档需具有良好的规范性，可以便于项目的跟踪和控制。</w:t>
                  </w:r>
                </w:p>
                <w:p>
                  <w:pPr>
                    <w:pStyle w:val="null3"/>
                    <w:ind w:firstLine="480"/>
                    <w:jc w:val="left"/>
                  </w:pPr>
                  <w:r>
                    <w:rPr>
                      <w:rFonts w:ascii="仿宋_GB2312" w:hAnsi="仿宋_GB2312" w:cs="仿宋_GB2312" w:eastAsia="仿宋_GB2312"/>
                      <w:sz w:val="24"/>
                    </w:rPr>
                    <w:t>③可控性原则：测评过程和所使用的工具具备可控性，测评项目采用的工具都经过多次测评项目考验，或者是根据具体要求和组织的具体网络特点定制的，具有良好的可控性。</w:t>
                  </w:r>
                </w:p>
                <w:p>
                  <w:pPr>
                    <w:pStyle w:val="null3"/>
                    <w:ind w:firstLine="480"/>
                    <w:jc w:val="left"/>
                  </w:pPr>
                  <w:r>
                    <w:rPr>
                      <w:rFonts w:ascii="仿宋_GB2312" w:hAnsi="仿宋_GB2312" w:cs="仿宋_GB2312" w:eastAsia="仿宋_GB2312"/>
                      <w:sz w:val="24"/>
                    </w:rPr>
                    <w:t>④整体性原则：测评服务从组织的实际需求出发，从业务角度进行测评，而不是局限于网络、主机等单个的安全层面，涉及安全管理和业务运营，保障整体性和全面性。</w:t>
                  </w:r>
                </w:p>
                <w:p>
                  <w:pPr>
                    <w:pStyle w:val="null3"/>
                    <w:ind w:firstLine="480"/>
                    <w:jc w:val="left"/>
                  </w:pPr>
                  <w:r>
                    <w:rPr>
                      <w:rFonts w:ascii="仿宋_GB2312" w:hAnsi="仿宋_GB2312" w:cs="仿宋_GB2312" w:eastAsia="仿宋_GB2312"/>
                      <w:sz w:val="24"/>
                    </w:rPr>
                    <w:t>⑤最小影响原则：测评工作具备充分的计划性，不对现有的运行和业务的正常提供产生显著影响，尽可能小地影响系统和网络的正常运行。</w:t>
                  </w:r>
                </w:p>
                <w:p>
                  <w:pPr>
                    <w:pStyle w:val="null3"/>
                    <w:ind w:firstLine="480"/>
                    <w:jc w:val="left"/>
                  </w:pPr>
                  <w:r>
                    <w:rPr>
                      <w:rFonts w:ascii="仿宋_GB2312" w:hAnsi="仿宋_GB2312" w:cs="仿宋_GB2312" w:eastAsia="仿宋_GB2312"/>
                      <w:sz w:val="24"/>
                    </w:rPr>
                    <w:t>⑥保密性原则：从公司、人员、过程三方面进行保密控制——测评公司与甲方双方签署保密协议，不得利用测评中的任何数据进行其他有损甲方利益的活动；人员保密，公司内部签订保密协议；在测评过程中对测评数据严格保密。</w:t>
                  </w:r>
                </w:p>
                <w:p>
                  <w:pPr>
                    <w:pStyle w:val="null3"/>
                    <w:ind w:firstLine="480"/>
                    <w:jc w:val="left"/>
                  </w:pPr>
                  <w:r>
                    <w:rPr>
                      <w:rFonts w:ascii="仿宋_GB2312" w:hAnsi="仿宋_GB2312" w:cs="仿宋_GB2312" w:eastAsia="仿宋_GB2312"/>
                      <w:sz w:val="24"/>
                    </w:rPr>
                    <w:t>⑦个性化原则：根据被测信息系统的实际业务需求、功能需求以及对应的安全建设情况，开展针对性较强的测评工作。</w:t>
                  </w:r>
                </w:p>
                <w:p>
                  <w:pPr>
                    <w:pStyle w:val="null3"/>
                    <w:ind w:left="480"/>
                    <w:jc w:val="both"/>
                  </w:pPr>
                  <w:r>
                    <w:rPr>
                      <w:rFonts w:ascii="仿宋_GB2312" w:hAnsi="仿宋_GB2312" w:cs="仿宋_GB2312" w:eastAsia="仿宋_GB2312"/>
                      <w:sz w:val="28"/>
                      <w:b/>
                      <w:color w:val="000000"/>
                    </w:rPr>
                    <w:t>4.1.5等保测评服务内容和流程</w:t>
                  </w:r>
                </w:p>
                <w:p>
                  <w:pPr>
                    <w:pStyle w:val="null3"/>
                    <w:ind w:firstLine="480"/>
                    <w:jc w:val="left"/>
                  </w:pPr>
                  <w:r>
                    <w:rPr>
                      <w:rFonts w:ascii="仿宋_GB2312" w:hAnsi="仿宋_GB2312" w:cs="仿宋_GB2312" w:eastAsia="仿宋_GB2312"/>
                      <w:sz w:val="24"/>
                    </w:rPr>
                    <w:t>（一）测评内容</w:t>
                  </w:r>
                </w:p>
                <w:p>
                  <w:pPr>
                    <w:pStyle w:val="null3"/>
                    <w:ind w:firstLine="480"/>
                    <w:jc w:val="left"/>
                  </w:pPr>
                  <w:r>
                    <w:rPr>
                      <w:rFonts w:ascii="仿宋_GB2312" w:hAnsi="仿宋_GB2312" w:cs="仿宋_GB2312" w:eastAsia="仿宋_GB2312"/>
                      <w:sz w:val="24"/>
                    </w:rPr>
                    <w:t>委托符合国家要求的专业机构依据《信息系统安全等级保护基本要求》，落实物理安全、网络安全、主机安全、应用安全和数据安全等安全保护技术措施，落实安全管理制度、安全管理机构、人员安全管理、系统建设管理和系统运维管理等安全保护管理措施，具体内容如下图所示：</w:t>
                  </w:r>
                  <w:r>
                    <w:drawing>
                      <wp:inline distT="0" distR="0" distB="0" distL="0">
                        <wp:extent cx="1483995" cy="1469702"/>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1483995" cy="1469702"/>
                                </a:xfrm>
                                <a:prstGeom prst="rect">
                                  <a:avLst/>
                                </a:prstGeom>
                              </pic:spPr>
                            </pic:pic>
                          </a:graphicData>
                        </a:graphic>
                      </wp:inline>
                    </w:drawing>
                  </w:r>
                </w:p>
                <w:p>
                  <w:pPr>
                    <w:pStyle w:val="null3"/>
                    <w:ind w:firstLine="480"/>
                    <w:jc w:val="center"/>
                  </w:pPr>
                  <w:r>
                    <w:rPr>
                      <w:rFonts w:ascii="仿宋_GB2312" w:hAnsi="仿宋_GB2312" w:cs="仿宋_GB2312" w:eastAsia="仿宋_GB2312"/>
                      <w:sz w:val="24"/>
                    </w:rPr>
                    <w:t>测评内容</w:t>
                  </w:r>
                </w:p>
                <w:p>
                  <w:pPr>
                    <w:pStyle w:val="null3"/>
                    <w:ind w:firstLine="480"/>
                    <w:jc w:val="left"/>
                  </w:pPr>
                  <w:r>
                    <w:rPr>
                      <w:rFonts w:ascii="仿宋_GB2312" w:hAnsi="仿宋_GB2312" w:cs="仿宋_GB2312" w:eastAsia="仿宋_GB2312"/>
                      <w:sz w:val="24"/>
                    </w:rPr>
                    <w:t>（二）测评流程</w:t>
                  </w:r>
                </w:p>
                <w:p>
                  <w:pPr>
                    <w:pStyle w:val="null3"/>
                    <w:ind w:firstLine="480"/>
                    <w:jc w:val="left"/>
                  </w:pPr>
                  <w:r>
                    <w:rPr>
                      <w:rFonts w:ascii="仿宋_GB2312" w:hAnsi="仿宋_GB2312" w:cs="仿宋_GB2312" w:eastAsia="仿宋_GB2312"/>
                      <w:sz w:val="24"/>
                    </w:rPr>
                    <w:t>对信息系统等级保护测评实施的基本流程见图：</w:t>
                  </w:r>
                  <w:r>
                    <w:drawing>
                      <wp:inline distT="0" distR="0" distB="0" distL="0">
                        <wp:extent cx="1483995" cy="2813407"/>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6"/>
                                <a:stretch>
                                  <a:fillRect/>
                                </a:stretch>
                              </pic:blipFill>
                              <pic:spPr>
                                <a:xfrm>
                                  <a:off x="0" y="0"/>
                                  <a:ext cx="1483995" cy="2813407"/>
                                </a:xfrm>
                                <a:prstGeom prst="rect">
                                  <a:avLst/>
                                </a:prstGeom>
                              </pic:spPr>
                            </pic:pic>
                          </a:graphicData>
                        </a:graphic>
                      </wp:inline>
                    </w:drawing>
                  </w:r>
                </w:p>
                <w:p>
                  <w:pPr>
                    <w:pStyle w:val="null3"/>
                    <w:jc w:val="left"/>
                  </w:pPr>
                  <w:r>
                    <w:rPr>
                      <w:rFonts w:ascii="仿宋_GB2312" w:hAnsi="仿宋_GB2312" w:cs="仿宋_GB2312" w:eastAsia="仿宋_GB2312"/>
                      <w:sz w:val="24"/>
                      <w:color w:val="000000"/>
                    </w:rPr>
                    <w:t>测评流程</w:t>
                  </w:r>
                </w:p>
                <w:p>
                  <w:pPr>
                    <w:pStyle w:val="null3"/>
                    <w:ind w:firstLine="480"/>
                    <w:jc w:val="left"/>
                  </w:pPr>
                  <w:r>
                    <w:rPr>
                      <w:rFonts w:ascii="仿宋_GB2312" w:hAnsi="仿宋_GB2312" w:cs="仿宋_GB2312" w:eastAsia="仿宋_GB2312"/>
                      <w:sz w:val="24"/>
                    </w:rPr>
                    <w:t>为确保等级测评工作的顺利开展，应首先明确等级测评的工作流程，然后按工作流程中的活动内容有序地开展等级测评工作。由于不同安全保护等级信息系统的重要程度不同，安全保护力度不同，从国家等级保护的角度出发，等级测评的关注角度也应有所差异。</w:t>
                  </w:r>
                </w:p>
                <w:p>
                  <w:pPr>
                    <w:pStyle w:val="null3"/>
                    <w:ind w:firstLine="480"/>
                    <w:jc w:val="left"/>
                  </w:pPr>
                  <w:r>
                    <w:rPr>
                      <w:rFonts w:ascii="仿宋_GB2312" w:hAnsi="仿宋_GB2312" w:cs="仿宋_GB2312" w:eastAsia="仿宋_GB2312"/>
                      <w:sz w:val="24"/>
                    </w:rPr>
                    <w:t>等级测评过程可以分为四个活动内容：测评准备活动、方案编制活动、现场测评活动和报告编制活动，而测评双方之间的沟通与洽谈应贯穿整个等级测评过程。在方案编制活动中，测评对象确定和测评指标确定两个任务可以并行。</w:t>
                  </w:r>
                </w:p>
                <w:p>
                  <w:pPr>
                    <w:pStyle w:val="null3"/>
                    <w:ind w:firstLine="480"/>
                    <w:jc w:val="left"/>
                  </w:pPr>
                  <w:r>
                    <w:rPr>
                      <w:rFonts w:ascii="仿宋_GB2312" w:hAnsi="仿宋_GB2312" w:cs="仿宋_GB2312" w:eastAsia="仿宋_GB2312"/>
                      <w:sz w:val="24"/>
                    </w:rPr>
                    <w:t>1．测评准备活动</w:t>
                  </w:r>
                </w:p>
                <w:p>
                  <w:pPr>
                    <w:pStyle w:val="null3"/>
                    <w:ind w:firstLine="480"/>
                    <w:jc w:val="left"/>
                  </w:pPr>
                  <w:r>
                    <w:rPr>
                      <w:rFonts w:ascii="仿宋_GB2312" w:hAnsi="仿宋_GB2312" w:cs="仿宋_GB2312" w:eastAsia="仿宋_GB2312"/>
                      <w:sz w:val="24"/>
                    </w:rPr>
                    <w:t>测评准备活动包括：项目启动、信息收集和分析、工具和表单准备三项任务。在测评准备活动中，测评机构主要完成：</w:t>
                  </w:r>
                  <w:r>
                    <w:rPr>
                      <w:rFonts w:ascii="仿宋_GB2312" w:hAnsi="仿宋_GB2312" w:cs="仿宋_GB2312" w:eastAsia="仿宋_GB2312"/>
                      <w:sz w:val="24"/>
                    </w:rPr>
                    <w:t>1）启动测评项目，组建测评项目组；2）通过收集和分析被测系统的相关资料信息，掌握被测系统的大体情况；3）并准备测评工具和表单等测评所需的相关资料，为编制测评方案打下良好的基础。</w:t>
                  </w:r>
                </w:p>
                <w:p>
                  <w:pPr>
                    <w:pStyle w:val="null3"/>
                    <w:jc w:val="left"/>
                  </w:pPr>
                  <w:r>
                    <w:rPr>
                      <w:rFonts w:ascii="仿宋_GB2312" w:hAnsi="仿宋_GB2312" w:cs="仿宋_GB2312" w:eastAsia="仿宋_GB2312"/>
                      <w:sz w:val="24"/>
                      <w:color w:val="000000"/>
                    </w:rPr>
                    <w:t>测评准备活动</w:t>
                  </w:r>
                </w:p>
                <w:tbl>
                  <w:tblPr>
                    <w:tblBorders>
                      <w:top w:val="none" w:color="000000" w:sz="4"/>
                      <w:left w:val="none" w:color="000000" w:sz="4"/>
                      <w:bottom w:val="none" w:color="000000" w:sz="4"/>
                      <w:right w:val="none" w:color="000000" w:sz="4"/>
                      <w:insideH w:val="none"/>
                      <w:insideV w:val="none"/>
                    </w:tblBorders>
                  </w:tblPr>
                  <w:tblGrid>
                    <w:gridCol w:w="431"/>
                    <w:gridCol w:w="946"/>
                    <w:gridCol w:w="960"/>
                  </w:tblGrid>
                  <w:tr>
                    <w:tc>
                      <w:tcPr>
                        <w:tcW w:type="dxa" w:w="431"/>
                        <w:tcBorders>
                          <w:top w:val="single" w:color="000000" w:sz="4"/>
                          <w:left w:val="single" w:color="000000" w:sz="4"/>
                          <w:bottom w:val="inset" w:color="000000" w:sz="4"/>
                          <w:right w:val="single" w:color="000000" w:sz="4"/>
                        </w:tcBorders>
                        <w:shd w:fill="D9D9D9"/>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项目内容</w:t>
                        </w:r>
                      </w:p>
                    </w:tc>
                    <w:tc>
                      <w:tcPr>
                        <w:tcW w:type="dxa" w:w="946"/>
                        <w:tcBorders>
                          <w:top w:val="single" w:color="000000" w:sz="4"/>
                          <w:left w:val="none" w:color="000000" w:sz="4"/>
                          <w:bottom w:val="inset" w:color="000000" w:sz="4"/>
                          <w:right w:val="single" w:color="000000" w:sz="4"/>
                        </w:tcBorders>
                        <w:shd w:fill="D9D9D9"/>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工作内容</w:t>
                        </w:r>
                      </w:p>
                    </w:tc>
                    <w:tc>
                      <w:tcPr>
                        <w:tcW w:type="dxa" w:w="960"/>
                        <w:tcBorders>
                          <w:top w:val="single" w:color="000000" w:sz="4"/>
                          <w:left w:val="none" w:color="000000" w:sz="4"/>
                          <w:bottom w:val="inset" w:color="000000" w:sz="4"/>
                          <w:right w:val="single" w:color="000000" w:sz="4"/>
                        </w:tcBorders>
                        <w:shd w:fill="D9D9D9"/>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输出成果</w:t>
                        </w:r>
                      </w:p>
                    </w:tc>
                  </w:tr>
                  <w:tr>
                    <w:tc>
                      <w:tcPr>
                        <w:tcW w:type="dxa" w:w="431"/>
                        <w:vMerge w:val="restart"/>
                        <w:tcBorders>
                          <w:top w:val="none" w:color="000000" w:sz="4"/>
                          <w:left w:val="single" w:color="000000" w:sz="4"/>
                          <w:bottom w:val="inset"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项目启动</w:t>
                        </w:r>
                      </w:p>
                    </w:tc>
                    <w:tc>
                      <w:tcPr>
                        <w:tcW w:type="dxa" w:w="946"/>
                        <w:tcBorders>
                          <w:top w:val="none" w:color="000000" w:sz="4"/>
                          <w:left w:val="none" w:color="000000" w:sz="4"/>
                          <w:bottom w:val="inset"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1.组建测评项目组</w:t>
                        </w:r>
                      </w:p>
                    </w:tc>
                    <w:tc>
                      <w:tcPr>
                        <w:tcW w:type="dxa" w:w="960"/>
                        <w:vMerge w:val="restart"/>
                        <w:tcBorders>
                          <w:top w:val="none" w:color="000000" w:sz="4"/>
                          <w:left w:val="none" w:color="000000" w:sz="4"/>
                          <w:bottom w:val="inset"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向用户提交《项目实施计划书》</w:t>
                        </w:r>
                      </w:p>
                    </w:tc>
                  </w:tr>
                  <w:tr>
                    <w:tc>
                      <w:tcPr>
                        <w:tcW w:type="dxa" w:w="431"/>
                        <w:vMerge/>
                        <w:tcBorders>
                          <w:top w:val="none" w:color="000000" w:sz="4"/>
                          <w:left w:val="single" w:color="000000" w:sz="4"/>
                          <w:bottom w:val="inset" w:color="000000" w:sz="4"/>
                          <w:right w:val="single" w:color="000000" w:sz="4"/>
                        </w:tcBorders>
                      </w:tcPr>
                      <w:p/>
                    </w:tc>
                    <w:tc>
                      <w:tcPr>
                        <w:tcW w:type="dxa" w:w="946"/>
                        <w:tcBorders>
                          <w:top w:val="none" w:color="000000" w:sz="4"/>
                          <w:left w:val="none" w:color="000000" w:sz="4"/>
                          <w:bottom w:val="inset"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2.编制《项目计划书》</w:t>
                        </w:r>
                      </w:p>
                    </w:tc>
                    <w:tc>
                      <w:tcPr>
                        <w:tcW w:type="dxa" w:w="960"/>
                        <w:vMerge/>
                        <w:tcBorders>
                          <w:top w:val="none" w:color="000000" w:sz="4"/>
                          <w:left w:val="none" w:color="000000" w:sz="4"/>
                          <w:bottom w:val="inset" w:color="000000" w:sz="4"/>
                          <w:right w:val="single" w:color="000000" w:sz="4"/>
                        </w:tcBorders>
                      </w:tcPr>
                      <w:p/>
                    </w:tc>
                  </w:tr>
                  <w:tr>
                    <w:tc>
                      <w:tcPr>
                        <w:tcW w:type="dxa" w:w="431"/>
                        <w:vMerge/>
                        <w:tcBorders>
                          <w:top w:val="none" w:color="000000" w:sz="4"/>
                          <w:left w:val="single" w:color="000000" w:sz="4"/>
                          <w:bottom w:val="inset" w:color="000000" w:sz="4"/>
                          <w:right w:val="single" w:color="000000" w:sz="4"/>
                        </w:tcBorders>
                      </w:tcPr>
                      <w:p/>
                    </w:tc>
                    <w:tc>
                      <w:tcPr>
                        <w:tcW w:type="dxa" w:w="946"/>
                        <w:tcBorders>
                          <w:top w:val="none" w:color="000000" w:sz="4"/>
                          <w:left w:val="none" w:color="000000" w:sz="4"/>
                          <w:bottom w:val="inset"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3.确定测评委托单位应提供的资料</w:t>
                        </w:r>
                      </w:p>
                    </w:tc>
                    <w:tc>
                      <w:tcPr>
                        <w:tcW w:type="dxa" w:w="960"/>
                        <w:vMerge/>
                        <w:tcBorders>
                          <w:top w:val="none" w:color="000000" w:sz="4"/>
                          <w:left w:val="none" w:color="000000" w:sz="4"/>
                          <w:bottom w:val="inset" w:color="000000" w:sz="4"/>
                          <w:right w:val="single" w:color="000000" w:sz="4"/>
                        </w:tcBorders>
                      </w:tcPr>
                      <w:p/>
                    </w:tc>
                  </w:tr>
                  <w:tr>
                    <w:tc>
                      <w:tcPr>
                        <w:tcW w:type="dxa" w:w="431"/>
                        <w:vMerge w:val="restart"/>
                        <w:tcBorders>
                          <w:top w:val="none" w:color="000000" w:sz="4"/>
                          <w:left w:val="single" w:color="000000" w:sz="4"/>
                          <w:bottom w:val="inset"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信息收集分析</w:t>
                        </w:r>
                      </w:p>
                    </w:tc>
                    <w:tc>
                      <w:tcPr>
                        <w:tcW w:type="dxa" w:w="946"/>
                        <w:tcBorders>
                          <w:top w:val="none" w:color="000000" w:sz="4"/>
                          <w:left w:val="none" w:color="000000" w:sz="4"/>
                          <w:bottom w:val="inset"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定级报告分析</w:t>
                        </w:r>
                      </w:p>
                    </w:tc>
                    <w:tc>
                      <w:tcPr>
                        <w:tcW w:type="dxa" w:w="960"/>
                        <w:vMerge w:val="restart"/>
                        <w:tcBorders>
                          <w:top w:val="none" w:color="000000" w:sz="4"/>
                          <w:left w:val="none" w:color="000000" w:sz="4"/>
                          <w:bottom w:val="inset"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《系统基本情况调研表》</w:t>
                        </w:r>
                      </w:p>
                    </w:tc>
                  </w:tr>
                  <w:tr>
                    <w:tc>
                      <w:tcPr>
                        <w:tcW w:type="dxa" w:w="431"/>
                        <w:vMerge/>
                        <w:tcBorders>
                          <w:top w:val="none" w:color="000000" w:sz="4"/>
                          <w:left w:val="single" w:color="000000" w:sz="4"/>
                          <w:bottom w:val="inset" w:color="000000" w:sz="4"/>
                          <w:right w:val="single" w:color="000000" w:sz="4"/>
                        </w:tcBorders>
                      </w:tcPr>
                      <w:p/>
                    </w:tc>
                    <w:tc>
                      <w:tcPr>
                        <w:tcW w:type="dxa" w:w="946"/>
                        <w:tcBorders>
                          <w:top w:val="none" w:color="000000" w:sz="4"/>
                          <w:left w:val="none" w:color="000000" w:sz="4"/>
                          <w:bottom w:val="inset"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1.整理调查表单</w:t>
                        </w:r>
                      </w:p>
                    </w:tc>
                    <w:tc>
                      <w:tcPr>
                        <w:tcW w:type="dxa" w:w="960"/>
                        <w:vMerge/>
                        <w:tcBorders>
                          <w:top w:val="none" w:color="000000" w:sz="4"/>
                          <w:left w:val="none" w:color="000000" w:sz="4"/>
                          <w:bottom w:val="inset" w:color="000000" w:sz="4"/>
                          <w:right w:val="single" w:color="000000" w:sz="4"/>
                        </w:tcBorders>
                      </w:tcPr>
                      <w:p/>
                    </w:tc>
                  </w:tr>
                  <w:tr>
                    <w:tc>
                      <w:tcPr>
                        <w:tcW w:type="dxa" w:w="431"/>
                        <w:vMerge/>
                        <w:tcBorders>
                          <w:top w:val="none" w:color="000000" w:sz="4"/>
                          <w:left w:val="single" w:color="000000" w:sz="4"/>
                          <w:bottom w:val="inset" w:color="000000" w:sz="4"/>
                          <w:right w:val="single" w:color="000000" w:sz="4"/>
                        </w:tcBorders>
                      </w:tcPr>
                      <w:p/>
                    </w:tc>
                    <w:tc>
                      <w:tcPr>
                        <w:tcW w:type="dxa" w:w="946"/>
                        <w:tcBorders>
                          <w:top w:val="none" w:color="000000" w:sz="4"/>
                          <w:left w:val="none" w:color="000000" w:sz="4"/>
                          <w:bottom w:val="inset"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2.发放调查表单给测评委托单位</w:t>
                        </w:r>
                      </w:p>
                    </w:tc>
                    <w:tc>
                      <w:tcPr>
                        <w:tcW w:type="dxa" w:w="960"/>
                        <w:vMerge/>
                        <w:tcBorders>
                          <w:top w:val="none" w:color="000000" w:sz="4"/>
                          <w:left w:val="none" w:color="000000" w:sz="4"/>
                          <w:bottom w:val="inset" w:color="000000" w:sz="4"/>
                          <w:right w:val="single" w:color="000000" w:sz="4"/>
                        </w:tcBorders>
                      </w:tcPr>
                      <w:p/>
                    </w:tc>
                  </w:tr>
                  <w:tr>
                    <w:tc>
                      <w:tcPr>
                        <w:tcW w:type="dxa" w:w="431"/>
                        <w:vMerge/>
                        <w:tcBorders>
                          <w:top w:val="none" w:color="000000" w:sz="4"/>
                          <w:left w:val="single" w:color="000000" w:sz="4"/>
                          <w:bottom w:val="inset" w:color="000000" w:sz="4"/>
                          <w:right w:val="single" w:color="000000" w:sz="4"/>
                        </w:tcBorders>
                      </w:tcPr>
                      <w:p/>
                    </w:tc>
                    <w:tc>
                      <w:tcPr>
                        <w:tcW w:type="dxa" w:w="946"/>
                        <w:tcBorders>
                          <w:top w:val="none" w:color="000000" w:sz="4"/>
                          <w:left w:val="none" w:color="000000" w:sz="4"/>
                          <w:bottom w:val="inset"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3.协助测评委托单位填写调查表</w:t>
                        </w:r>
                      </w:p>
                    </w:tc>
                    <w:tc>
                      <w:tcPr>
                        <w:tcW w:type="dxa" w:w="960"/>
                        <w:vMerge/>
                        <w:tcBorders>
                          <w:top w:val="none" w:color="000000" w:sz="4"/>
                          <w:left w:val="none" w:color="000000" w:sz="4"/>
                          <w:bottom w:val="inset" w:color="000000" w:sz="4"/>
                          <w:right w:val="single" w:color="000000" w:sz="4"/>
                        </w:tcBorders>
                      </w:tcPr>
                      <w:p/>
                    </w:tc>
                  </w:tr>
                  <w:tr>
                    <w:tc>
                      <w:tcPr>
                        <w:tcW w:type="dxa" w:w="431"/>
                        <w:vMerge/>
                        <w:tcBorders>
                          <w:top w:val="none" w:color="000000" w:sz="4"/>
                          <w:left w:val="single" w:color="000000" w:sz="4"/>
                          <w:bottom w:val="inset" w:color="000000" w:sz="4"/>
                          <w:right w:val="single" w:color="000000" w:sz="4"/>
                        </w:tcBorders>
                      </w:tcPr>
                      <w:p/>
                    </w:tc>
                    <w:tc>
                      <w:tcPr>
                        <w:tcW w:type="dxa" w:w="946"/>
                        <w:tcBorders>
                          <w:top w:val="none" w:color="000000" w:sz="4"/>
                          <w:left w:val="none" w:color="000000" w:sz="4"/>
                          <w:bottom w:val="inset"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4.收回调查结果</w:t>
                        </w:r>
                      </w:p>
                    </w:tc>
                    <w:tc>
                      <w:tcPr>
                        <w:tcW w:type="dxa" w:w="960"/>
                        <w:vMerge/>
                        <w:tcBorders>
                          <w:top w:val="none" w:color="000000" w:sz="4"/>
                          <w:left w:val="none" w:color="000000" w:sz="4"/>
                          <w:bottom w:val="inset" w:color="000000" w:sz="4"/>
                          <w:right w:val="single" w:color="000000" w:sz="4"/>
                        </w:tcBorders>
                      </w:tcPr>
                      <w:p/>
                    </w:tc>
                  </w:tr>
                  <w:tr>
                    <w:tc>
                      <w:tcPr>
                        <w:tcW w:type="dxa" w:w="431"/>
                        <w:vMerge/>
                        <w:tcBorders>
                          <w:top w:val="none" w:color="000000" w:sz="4"/>
                          <w:left w:val="single" w:color="000000" w:sz="4"/>
                          <w:bottom w:val="inset" w:color="000000" w:sz="4"/>
                          <w:right w:val="single" w:color="000000" w:sz="4"/>
                        </w:tcBorders>
                      </w:tcPr>
                      <w:p/>
                    </w:tc>
                    <w:tc>
                      <w:tcPr>
                        <w:tcW w:type="dxa" w:w="946"/>
                        <w:tcBorders>
                          <w:top w:val="none" w:color="000000" w:sz="4"/>
                          <w:left w:val="none" w:color="000000" w:sz="4"/>
                          <w:bottom w:val="inset"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5.分析调查结查</w:t>
                        </w:r>
                      </w:p>
                    </w:tc>
                    <w:tc>
                      <w:tcPr>
                        <w:tcW w:type="dxa" w:w="960"/>
                        <w:vMerge/>
                        <w:tcBorders>
                          <w:top w:val="none" w:color="000000" w:sz="4"/>
                          <w:left w:val="none" w:color="000000" w:sz="4"/>
                          <w:bottom w:val="inset" w:color="000000" w:sz="4"/>
                          <w:right w:val="single" w:color="000000" w:sz="4"/>
                        </w:tcBorders>
                      </w:tcPr>
                      <w:p/>
                    </w:tc>
                  </w:tr>
                  <w:tr>
                    <w:tc>
                      <w:tcPr>
                        <w:tcW w:type="dxa" w:w="431"/>
                        <w:vMerge w:val="restart"/>
                        <w:tcBorders>
                          <w:top w:val="none" w:color="000000" w:sz="4"/>
                          <w:left w:val="single" w:color="000000" w:sz="4"/>
                          <w:bottom w:val="inset"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工具和表单准备</w:t>
                        </w:r>
                      </w:p>
                    </w:tc>
                    <w:tc>
                      <w:tcPr>
                        <w:tcW w:type="dxa" w:w="946"/>
                        <w:tcBorders>
                          <w:top w:val="none" w:color="000000" w:sz="4"/>
                          <w:left w:val="none" w:color="000000" w:sz="4"/>
                          <w:bottom w:val="inset"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1.调试测评工具</w:t>
                        </w:r>
                      </w:p>
                    </w:tc>
                    <w:tc>
                      <w:tcPr>
                        <w:tcW w:type="dxa" w:w="960"/>
                        <w:vMerge w:val="restart"/>
                        <w:tcBorders>
                          <w:top w:val="none" w:color="000000" w:sz="4"/>
                          <w:left w:val="none" w:color="000000" w:sz="4"/>
                          <w:bottom w:val="inset"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确定测评工具《现场测评记录表》</w:t>
                        </w:r>
                      </w:p>
                    </w:tc>
                  </w:tr>
                  <w:tr>
                    <w:tc>
                      <w:tcPr>
                        <w:tcW w:type="dxa" w:w="431"/>
                        <w:vMerge/>
                        <w:tcBorders>
                          <w:top w:val="none" w:color="000000" w:sz="4"/>
                          <w:left w:val="single" w:color="000000" w:sz="4"/>
                          <w:bottom w:val="inset" w:color="000000" w:sz="4"/>
                          <w:right w:val="single" w:color="000000" w:sz="4"/>
                        </w:tcBorders>
                      </w:tcPr>
                      <w:p/>
                    </w:tc>
                    <w:tc>
                      <w:tcPr>
                        <w:tcW w:type="dxa" w:w="946"/>
                        <w:tcBorders>
                          <w:top w:val="none" w:color="000000" w:sz="4"/>
                          <w:left w:val="none" w:color="000000" w:sz="4"/>
                          <w:bottom w:val="inset"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2.模拟被测系统搭建测评环境</w:t>
                        </w:r>
                      </w:p>
                    </w:tc>
                    <w:tc>
                      <w:tcPr>
                        <w:tcW w:type="dxa" w:w="960"/>
                        <w:vMerge/>
                        <w:tcBorders>
                          <w:top w:val="none" w:color="000000" w:sz="4"/>
                          <w:left w:val="none" w:color="000000" w:sz="4"/>
                          <w:bottom w:val="inset" w:color="000000" w:sz="4"/>
                          <w:right w:val="single" w:color="000000" w:sz="4"/>
                        </w:tcBorders>
                      </w:tcPr>
                      <w:p/>
                    </w:tc>
                  </w:tr>
                  <w:tr>
                    <w:tc>
                      <w:tcPr>
                        <w:tcW w:type="dxa" w:w="431"/>
                        <w:vMerge/>
                        <w:tcBorders>
                          <w:top w:val="none" w:color="000000" w:sz="4"/>
                          <w:left w:val="single" w:color="000000" w:sz="4"/>
                          <w:bottom w:val="inset" w:color="000000" w:sz="4"/>
                          <w:right w:val="single" w:color="000000" w:sz="4"/>
                        </w:tcBorders>
                      </w:tcPr>
                      <w:p/>
                    </w:tc>
                    <w:tc>
                      <w:tcPr>
                        <w:tcW w:type="dxa" w:w="946"/>
                        <w:tcBorders>
                          <w:top w:val="none" w:color="000000" w:sz="4"/>
                          <w:left w:val="none" w:color="000000" w:sz="4"/>
                          <w:bottom w:val="inset"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3.模拟测评</w:t>
                        </w:r>
                      </w:p>
                    </w:tc>
                    <w:tc>
                      <w:tcPr>
                        <w:tcW w:type="dxa" w:w="960"/>
                        <w:vMerge/>
                        <w:tcBorders>
                          <w:top w:val="none" w:color="000000" w:sz="4"/>
                          <w:left w:val="none" w:color="000000" w:sz="4"/>
                          <w:bottom w:val="inset" w:color="000000" w:sz="4"/>
                          <w:right w:val="single" w:color="000000" w:sz="4"/>
                        </w:tcBorders>
                      </w:tcPr>
                      <w:p/>
                    </w:tc>
                  </w:tr>
                  <w:tr>
                    <w:tc>
                      <w:tcPr>
                        <w:tcW w:type="dxa" w:w="431"/>
                        <w:vMerge/>
                        <w:tcBorders>
                          <w:top w:val="none" w:color="000000" w:sz="4"/>
                          <w:left w:val="single" w:color="000000" w:sz="4"/>
                          <w:bottom w:val="inset" w:color="000000" w:sz="4"/>
                          <w:right w:val="single" w:color="000000" w:sz="4"/>
                        </w:tcBorders>
                      </w:tcPr>
                      <w:p/>
                    </w:tc>
                    <w:tc>
                      <w:tcPr>
                        <w:tcW w:type="dxa" w:w="9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4.准备打印表单</w:t>
                        </w:r>
                      </w:p>
                    </w:tc>
                    <w:tc>
                      <w:tcPr>
                        <w:tcW w:type="dxa" w:w="960"/>
                        <w:vMerge/>
                        <w:tcBorders>
                          <w:top w:val="none" w:color="000000" w:sz="4"/>
                          <w:left w:val="none" w:color="000000" w:sz="4"/>
                          <w:bottom w:val="inset" w:color="000000" w:sz="4"/>
                          <w:right w:val="single" w:color="000000" w:sz="4"/>
                        </w:tcBorders>
                      </w:tcPr>
                      <w:p/>
                    </w:tc>
                  </w:tr>
                </w:tbl>
                <w:p>
                  <w:pPr>
                    <w:pStyle w:val="null3"/>
                    <w:ind w:firstLine="480"/>
                    <w:jc w:val="left"/>
                  </w:pPr>
                  <w:r>
                    <w:rPr>
                      <w:rFonts w:ascii="仿宋_GB2312" w:hAnsi="仿宋_GB2312" w:cs="仿宋_GB2312" w:eastAsia="仿宋_GB2312"/>
                      <w:sz w:val="24"/>
                    </w:rPr>
                    <w:t>2．方案编制活动</w:t>
                  </w:r>
                </w:p>
                <w:p>
                  <w:pPr>
                    <w:pStyle w:val="null3"/>
                    <w:ind w:firstLine="480"/>
                    <w:jc w:val="left"/>
                  </w:pPr>
                  <w:r>
                    <w:rPr>
                      <w:rFonts w:ascii="仿宋_GB2312" w:hAnsi="仿宋_GB2312" w:cs="仿宋_GB2312" w:eastAsia="仿宋_GB2312"/>
                      <w:sz w:val="24"/>
                    </w:rPr>
                    <w:t>方案编制活动包括：测评对象确定和测评指标确定、测评内容确定、工具测试方法确定、测评指导书开发和测评方案编制四项任务。在方案编制活动中，测评机构主要完成确定测评对象和测评指标，选择测评工具接入点，从而进一步确定测评实施内容，并从已有的测评指导书中选择本次需要用到的测评指导书或开发相应的测评指导书，最后根据上述情况编制测评实施方案。</w:t>
                  </w:r>
                </w:p>
                <w:p>
                  <w:pPr>
                    <w:pStyle w:val="null3"/>
                    <w:ind w:firstLine="480"/>
                    <w:jc w:val="left"/>
                  </w:pPr>
                  <w:r>
                    <w:rPr>
                      <w:rFonts w:ascii="仿宋_GB2312" w:hAnsi="仿宋_GB2312" w:cs="仿宋_GB2312" w:eastAsia="仿宋_GB2312"/>
                      <w:sz w:val="24"/>
                    </w:rPr>
                    <w:t>3.现场测评活动</w:t>
                  </w:r>
                </w:p>
                <w:p>
                  <w:pPr>
                    <w:pStyle w:val="null3"/>
                    <w:ind w:firstLine="480"/>
                    <w:jc w:val="left"/>
                  </w:pPr>
                  <w:r>
                    <w:rPr>
                      <w:rFonts w:ascii="仿宋_GB2312" w:hAnsi="仿宋_GB2312" w:cs="仿宋_GB2312" w:eastAsia="仿宋_GB2312"/>
                      <w:sz w:val="24"/>
                    </w:rPr>
                    <w:t>现场测评活动包括：现场测评准备、现场测评和结果记录、结果确认和资料归还三项任务。在现场测评活动中，测评机构首先应与测评委托单位就测评方案达成一致意见，并进一步确定测评配合人员，完成测评指导书各项测评内容，获取足够的测评证据。</w:t>
                  </w:r>
                </w:p>
                <w:p>
                  <w:pPr>
                    <w:pStyle w:val="null3"/>
                    <w:ind w:firstLine="480"/>
                    <w:jc w:val="left"/>
                  </w:pPr>
                  <w:r>
                    <w:rPr>
                      <w:rFonts w:ascii="仿宋_GB2312" w:hAnsi="仿宋_GB2312" w:cs="仿宋_GB2312" w:eastAsia="仿宋_GB2312"/>
                      <w:sz w:val="24"/>
                    </w:rPr>
                    <w:t>4.报告编制活动</w:t>
                  </w:r>
                </w:p>
                <w:p>
                  <w:pPr>
                    <w:pStyle w:val="null3"/>
                    <w:ind w:firstLine="480"/>
                    <w:jc w:val="left"/>
                  </w:pPr>
                  <w:r>
                    <w:rPr>
                      <w:rFonts w:ascii="仿宋_GB2312" w:hAnsi="仿宋_GB2312" w:cs="仿宋_GB2312" w:eastAsia="仿宋_GB2312"/>
                      <w:sz w:val="24"/>
                    </w:rPr>
                    <w:t>报告编制活动包括：单项测评结果判定、单元测评结果判定、整体测评、风险分析、等级测评结论形成和测评报告编制六项任务。报告编制活动中，测评人员通过分析现场测评获得的测评证据和资料，判定单项测评结果及单元测评结果，进行整体测评和风险分析，形成等级测评结论，并完成最终的《信息系统等级测评报告》。</w:t>
                  </w:r>
                </w:p>
                <w:p>
                  <w:pPr>
                    <w:pStyle w:val="null3"/>
                    <w:ind w:left="480"/>
                    <w:jc w:val="both"/>
                  </w:pPr>
                  <w:r>
                    <w:rPr>
                      <w:rFonts w:ascii="仿宋_GB2312" w:hAnsi="仿宋_GB2312" w:cs="仿宋_GB2312" w:eastAsia="仿宋_GB2312"/>
                      <w:sz w:val="28"/>
                      <w:b/>
                      <w:color w:val="000000"/>
                    </w:rPr>
                    <w:t>4.1.6服务成果</w:t>
                  </w:r>
                </w:p>
                <w:p>
                  <w:pPr>
                    <w:pStyle w:val="null3"/>
                    <w:ind w:firstLine="480"/>
                    <w:jc w:val="left"/>
                  </w:pPr>
                  <w:r>
                    <w:rPr>
                      <w:rFonts w:ascii="仿宋_GB2312" w:hAnsi="仿宋_GB2312" w:cs="仿宋_GB2312" w:eastAsia="仿宋_GB2312"/>
                      <w:sz w:val="24"/>
                    </w:rPr>
                    <w:t>等保测评服务主要包括一下服务成果（不限于）：</w:t>
                  </w:r>
                </w:p>
                <w:p>
                  <w:pPr>
                    <w:pStyle w:val="null3"/>
                    <w:ind w:firstLine="480"/>
                    <w:jc w:val="left"/>
                  </w:pPr>
                  <w:r>
                    <w:rPr>
                      <w:rFonts w:ascii="仿宋_GB2312" w:hAnsi="仿宋_GB2312" w:cs="仿宋_GB2312" w:eastAsia="仿宋_GB2312"/>
                      <w:sz w:val="24"/>
                    </w:rPr>
                    <w:t>《等级保护测评实施方案（资产收集、测评表）》</w:t>
                  </w:r>
                </w:p>
                <w:p>
                  <w:pPr>
                    <w:pStyle w:val="null3"/>
                    <w:ind w:firstLine="480"/>
                    <w:jc w:val="left"/>
                  </w:pPr>
                  <w:r>
                    <w:rPr>
                      <w:rFonts w:ascii="仿宋_GB2312" w:hAnsi="仿宋_GB2312" w:cs="仿宋_GB2312" w:eastAsia="仿宋_GB2312"/>
                      <w:sz w:val="24"/>
                    </w:rPr>
                    <w:t>《等级保护测评差距分析报告》</w:t>
                  </w:r>
                </w:p>
                <w:p>
                  <w:pPr>
                    <w:pStyle w:val="null3"/>
                    <w:ind w:firstLine="480"/>
                    <w:jc w:val="left"/>
                  </w:pPr>
                  <w:r>
                    <w:rPr>
                      <w:rFonts w:ascii="仿宋_GB2312" w:hAnsi="仿宋_GB2312" w:cs="仿宋_GB2312" w:eastAsia="仿宋_GB2312"/>
                      <w:sz w:val="24"/>
                    </w:rPr>
                    <w:t>《等级保护测评安全整改方案》</w:t>
                  </w:r>
                </w:p>
                <w:p>
                  <w:pPr>
                    <w:pStyle w:val="null3"/>
                    <w:ind w:firstLine="480"/>
                    <w:jc w:val="left"/>
                  </w:pPr>
                  <w:r>
                    <w:rPr>
                      <w:rFonts w:ascii="仿宋_GB2312" w:hAnsi="仿宋_GB2312" w:cs="仿宋_GB2312" w:eastAsia="仿宋_GB2312"/>
                      <w:sz w:val="24"/>
                    </w:rPr>
                    <w:t>《等级保护测评安全整改报告》</w:t>
                  </w:r>
                </w:p>
                <w:p>
                  <w:pPr>
                    <w:pStyle w:val="null3"/>
                    <w:ind w:left="480"/>
                    <w:jc w:val="both"/>
                  </w:pPr>
                  <w:r>
                    <w:rPr>
                      <w:rFonts w:ascii="仿宋_GB2312" w:hAnsi="仿宋_GB2312" w:cs="仿宋_GB2312" w:eastAsia="仿宋_GB2312"/>
                      <w:sz w:val="28"/>
                      <w:b/>
                      <w:color w:val="0000FF"/>
                      <w:u w:val="single"/>
                    </w:rPr>
                    <w:t>4.1.</w:t>
                  </w:r>
                  <w:r>
                    <w:rPr>
                      <w:rFonts w:ascii="仿宋_GB2312" w:hAnsi="仿宋_GB2312" w:cs="仿宋_GB2312" w:eastAsia="仿宋_GB2312"/>
                      <w:sz w:val="28"/>
                      <w:b/>
                      <w:color w:val="0000FF"/>
                      <w:u w:val="single"/>
                    </w:rPr>
                    <w:t>7</w:t>
                  </w:r>
                  <w:r>
                    <w:rPr>
                      <w:rFonts w:ascii="仿宋_GB2312" w:hAnsi="仿宋_GB2312" w:cs="仿宋_GB2312" w:eastAsia="仿宋_GB2312"/>
                      <w:sz w:val="28"/>
                      <w:b/>
                      <w:color w:val="0000FF"/>
                      <w:u w:val="single"/>
                    </w:rPr>
                    <w:t>服务</w:t>
                  </w:r>
                  <w:r>
                    <w:rPr>
                      <w:rFonts w:ascii="仿宋_GB2312" w:hAnsi="仿宋_GB2312" w:cs="仿宋_GB2312" w:eastAsia="仿宋_GB2312"/>
                      <w:sz w:val="28"/>
                      <w:b/>
                      <w:color w:val="0000FF"/>
                      <w:u w:val="single"/>
                    </w:rPr>
                    <w:t>次数</w:t>
                  </w:r>
                </w:p>
                <w:p>
                  <w:pPr>
                    <w:pStyle w:val="null3"/>
                    <w:ind w:firstLine="480"/>
                    <w:jc w:val="left"/>
                  </w:pPr>
                  <w:r>
                    <w:rPr>
                      <w:rFonts w:ascii="仿宋_GB2312" w:hAnsi="仿宋_GB2312" w:cs="仿宋_GB2312" w:eastAsia="仿宋_GB2312"/>
                      <w:sz w:val="24"/>
                      <w:color w:val="0000FF"/>
                      <w:u w:val="single"/>
                    </w:rPr>
                    <w:t>等保</w:t>
                  </w:r>
                  <w:r>
                    <w:rPr>
                      <w:rFonts w:ascii="仿宋_GB2312" w:hAnsi="仿宋_GB2312" w:cs="仿宋_GB2312" w:eastAsia="仿宋_GB2312"/>
                      <w:sz w:val="24"/>
                      <w:color w:val="0000FF"/>
                      <w:u w:val="single"/>
                    </w:rPr>
                    <w:t>测评</w:t>
                  </w:r>
                  <w:r>
                    <w:rPr>
                      <w:rFonts w:ascii="仿宋_GB2312" w:hAnsi="仿宋_GB2312" w:cs="仿宋_GB2312" w:eastAsia="仿宋_GB2312"/>
                      <w:sz w:val="24"/>
                      <w:color w:val="0000FF"/>
                      <w:u w:val="single"/>
                    </w:rPr>
                    <w:t>服务</w:t>
                  </w:r>
                  <w:r>
                    <w:rPr>
                      <w:rFonts w:ascii="仿宋_GB2312" w:hAnsi="仿宋_GB2312" w:cs="仿宋_GB2312" w:eastAsia="仿宋_GB2312"/>
                      <w:sz w:val="24"/>
                      <w:color w:val="0000FF"/>
                      <w:u w:val="single"/>
                    </w:rPr>
                    <w:t>次数</w:t>
                  </w:r>
                  <w:r>
                    <w:rPr>
                      <w:rFonts w:ascii="仿宋_GB2312" w:hAnsi="仿宋_GB2312" w:cs="仿宋_GB2312" w:eastAsia="仿宋_GB2312"/>
                      <w:sz w:val="24"/>
                      <w:color w:val="0000FF"/>
                      <w:u w:val="single"/>
                    </w:rPr>
                    <w:t>：</w:t>
                  </w:r>
                  <w:r>
                    <w:rPr>
                      <w:rFonts w:ascii="仿宋_GB2312" w:hAnsi="仿宋_GB2312" w:cs="仿宋_GB2312" w:eastAsia="仿宋_GB2312"/>
                      <w:sz w:val="24"/>
                      <w:color w:val="0000FF"/>
                      <w:u w:val="single"/>
                    </w:rPr>
                    <w:t>1</w:t>
                  </w:r>
                  <w:r>
                    <w:rPr>
                      <w:rFonts w:ascii="仿宋_GB2312" w:hAnsi="仿宋_GB2312" w:cs="仿宋_GB2312" w:eastAsia="仿宋_GB2312"/>
                      <w:sz w:val="24"/>
                      <w:color w:val="0000FF"/>
                      <w:u w:val="single"/>
                    </w:rPr>
                    <w:t>次</w:t>
                  </w:r>
                  <w:r>
                    <w:rPr>
                      <w:rFonts w:ascii="仿宋_GB2312" w:hAnsi="仿宋_GB2312" w:cs="仿宋_GB2312" w:eastAsia="仿宋_GB2312"/>
                      <w:sz w:val="24"/>
                      <w:color w:val="0000FF"/>
                      <w:u w:val="single"/>
                    </w:rPr>
                    <w:t>/</w:t>
                  </w:r>
                  <w:r>
                    <w:rPr>
                      <w:rFonts w:ascii="仿宋_GB2312" w:hAnsi="仿宋_GB2312" w:cs="仿宋_GB2312" w:eastAsia="仿宋_GB2312"/>
                      <w:sz w:val="24"/>
                      <w:color w:val="0000FF"/>
                      <w:u w:val="single"/>
                    </w:rPr>
                    <w:t>年</w:t>
                  </w:r>
                </w:p>
                <w:p>
                  <w:pPr>
                    <w:pStyle w:val="null3"/>
                    <w:ind w:left="480"/>
                    <w:jc w:val="both"/>
                  </w:pPr>
                  <w:r>
                    <w:rPr>
                      <w:rFonts w:ascii="仿宋_GB2312" w:hAnsi="仿宋_GB2312" w:cs="仿宋_GB2312" w:eastAsia="仿宋_GB2312"/>
                      <w:sz w:val="28"/>
                      <w:b/>
                      <w:color w:val="000000"/>
                    </w:rPr>
                    <w:t>4.2渗透测试服务</w:t>
                  </w:r>
                </w:p>
                <w:p>
                  <w:pPr>
                    <w:pStyle w:val="null3"/>
                    <w:ind w:left="480"/>
                    <w:jc w:val="both"/>
                  </w:pPr>
                  <w:r>
                    <w:rPr>
                      <w:rFonts w:ascii="仿宋_GB2312" w:hAnsi="仿宋_GB2312" w:cs="仿宋_GB2312" w:eastAsia="仿宋_GB2312"/>
                      <w:sz w:val="28"/>
                      <w:b/>
                      <w:color w:val="000000"/>
                    </w:rPr>
                    <w:t>4.2.1服务概述</w:t>
                  </w:r>
                </w:p>
                <w:p>
                  <w:pPr>
                    <w:pStyle w:val="null3"/>
                    <w:ind w:firstLine="480"/>
                    <w:jc w:val="left"/>
                  </w:pPr>
                  <w:r>
                    <w:rPr>
                      <w:rFonts w:ascii="仿宋_GB2312" w:hAnsi="仿宋_GB2312" w:cs="仿宋_GB2312" w:eastAsia="仿宋_GB2312"/>
                      <w:sz w:val="24"/>
                    </w:rPr>
                    <w:t>渗透测试是一种通过模拟黑客可能使用的攻击方式和漏洞挖掘行为，对目标信息系统的安全进行深入安全检测的一种评估方法。渗透测试的目的是直观的让信息系统管理人员了解自身信息系统所面临的安全问题，看到对这些漏洞的利用或攻击可以产生什么样的破坏及影响。同时，为信息系统管理人员提供安全加固建议，及时采取必要的安全防范措施，帮助其更好的保护信息系统，从而促进信息系统安全稳定运行。以等级保护测评标准为基线，结合国际化网络安全测试标准，在用户授权下和可控的范围内采取可控的、不造成较大影响的模拟黑客攻击手法，及时发现信息系统的安全漏洞以及没有被掌控到的脆弱点，以便于及时对信息系统存在的安全漏洞及脆弱点进行修复，避免网络安全攻击事件对信息系统造成不良影响。</w:t>
                  </w:r>
                </w:p>
                <w:p>
                  <w:pPr>
                    <w:pStyle w:val="null3"/>
                    <w:ind w:left="480"/>
                    <w:jc w:val="both"/>
                  </w:pPr>
                  <w:r>
                    <w:rPr>
                      <w:rFonts w:ascii="仿宋_GB2312" w:hAnsi="仿宋_GB2312" w:cs="仿宋_GB2312" w:eastAsia="仿宋_GB2312"/>
                      <w:sz w:val="28"/>
                      <w:b/>
                      <w:color w:val="000000"/>
                    </w:rPr>
                    <w:t>4.2.2服务保障要求</w:t>
                  </w:r>
                </w:p>
                <w:p>
                  <w:pPr>
                    <w:pStyle w:val="null3"/>
                    <w:ind w:firstLine="480"/>
                    <w:jc w:val="left"/>
                  </w:pPr>
                  <w:r>
                    <w:rPr>
                      <w:rFonts w:ascii="仿宋_GB2312" w:hAnsi="仿宋_GB2312" w:cs="仿宋_GB2312" w:eastAsia="仿宋_GB2312"/>
                      <w:sz w:val="24"/>
                    </w:rPr>
                    <w:t>一、服务商资质要求</w:t>
                  </w:r>
                </w:p>
                <w:p>
                  <w:pPr>
                    <w:pStyle w:val="null3"/>
                    <w:ind w:firstLine="480"/>
                    <w:jc w:val="left"/>
                  </w:pPr>
                  <w:r>
                    <w:rPr>
                      <w:rFonts w:ascii="仿宋_GB2312" w:hAnsi="仿宋_GB2312" w:cs="仿宋_GB2312" w:eastAsia="仿宋_GB2312"/>
                      <w:sz w:val="24"/>
                    </w:rPr>
                    <w:t>具有国家信息安全风险评估或安全服务资质、</w:t>
                  </w:r>
                  <w:r>
                    <w:rPr>
                      <w:rFonts w:ascii="仿宋_GB2312" w:hAnsi="仿宋_GB2312" w:cs="仿宋_GB2312" w:eastAsia="仿宋_GB2312"/>
                      <w:sz w:val="24"/>
                    </w:rPr>
                    <w:t>CNCERT网络安全应急服务支撑单位资质或CNAS检查机构认可证书或国家信息安全漏洞扫描CNNVD技术支持单位等级证书。</w:t>
                  </w:r>
                </w:p>
                <w:p>
                  <w:pPr>
                    <w:pStyle w:val="null3"/>
                    <w:ind w:firstLine="480"/>
                    <w:jc w:val="left"/>
                  </w:pPr>
                  <w:r>
                    <w:rPr>
                      <w:rFonts w:ascii="仿宋_GB2312" w:hAnsi="仿宋_GB2312" w:cs="仿宋_GB2312" w:eastAsia="仿宋_GB2312"/>
                      <w:sz w:val="24"/>
                    </w:rPr>
                    <w:t>二、其他要求</w:t>
                  </w:r>
                </w:p>
                <w:p>
                  <w:pPr>
                    <w:pStyle w:val="null3"/>
                    <w:ind w:firstLine="480"/>
                    <w:jc w:val="left"/>
                  </w:pPr>
                  <w:r>
                    <w:rPr>
                      <w:rFonts w:ascii="仿宋_GB2312" w:hAnsi="仿宋_GB2312" w:cs="仿宋_GB2312" w:eastAsia="仿宋_GB2312"/>
                      <w:sz w:val="24"/>
                    </w:rPr>
                    <w:t>测评机构自身应具备本项目所需要的安全专业技能且须直接提供服务，不接受分包和转包。</w:t>
                  </w:r>
                </w:p>
                <w:p>
                  <w:pPr>
                    <w:pStyle w:val="null3"/>
                    <w:ind w:firstLine="480"/>
                    <w:jc w:val="left"/>
                  </w:pPr>
                  <w:r>
                    <w:rPr>
                      <w:rFonts w:ascii="仿宋_GB2312" w:hAnsi="仿宋_GB2312" w:cs="仿宋_GB2312" w:eastAsia="仿宋_GB2312"/>
                      <w:sz w:val="24"/>
                    </w:rPr>
                    <w:t>测评机构不可转包或分包本项目给任何第三方，不可转包或分包本项目给分支机构或下属单位。</w:t>
                  </w:r>
                </w:p>
                <w:p>
                  <w:pPr>
                    <w:pStyle w:val="null3"/>
                    <w:ind w:firstLine="480"/>
                    <w:jc w:val="left"/>
                  </w:pPr>
                  <w:r>
                    <w:rPr>
                      <w:rFonts w:ascii="仿宋_GB2312" w:hAnsi="仿宋_GB2312" w:cs="仿宋_GB2312" w:eastAsia="仿宋_GB2312"/>
                      <w:sz w:val="24"/>
                    </w:rPr>
                    <w:t>测评机构实施人员应具备财政信息化系统上线风险评估相关项目实施经验。</w:t>
                  </w:r>
                </w:p>
                <w:p>
                  <w:pPr>
                    <w:pStyle w:val="null3"/>
                    <w:ind w:firstLine="480"/>
                    <w:jc w:val="left"/>
                  </w:pPr>
                  <w:r>
                    <w:rPr>
                      <w:rFonts w:ascii="仿宋_GB2312" w:hAnsi="仿宋_GB2312" w:cs="仿宋_GB2312" w:eastAsia="仿宋_GB2312"/>
                      <w:sz w:val="24"/>
                    </w:rPr>
                    <w:t>测评机构在服务实施方案中必须标注实施人员为现场服务人员还是后台支持人员。</w:t>
                  </w:r>
                </w:p>
                <w:p>
                  <w:pPr>
                    <w:pStyle w:val="null3"/>
                    <w:ind w:firstLine="480"/>
                    <w:jc w:val="left"/>
                  </w:pPr>
                  <w:r>
                    <w:rPr>
                      <w:rFonts w:ascii="仿宋_GB2312" w:hAnsi="仿宋_GB2312" w:cs="仿宋_GB2312" w:eastAsia="仿宋_GB2312"/>
                      <w:sz w:val="24"/>
                    </w:rPr>
                    <w:t>测评机构应提供项目经理和项目组成员的简历，包括个人基本信息、学历、工作经验、参与同类服务项目案例情况。</w:t>
                  </w:r>
                </w:p>
                <w:p>
                  <w:pPr>
                    <w:pStyle w:val="null3"/>
                    <w:ind w:firstLine="480"/>
                    <w:jc w:val="left"/>
                  </w:pPr>
                  <w:r>
                    <w:rPr>
                      <w:rFonts w:ascii="仿宋_GB2312" w:hAnsi="仿宋_GB2312" w:cs="仿宋_GB2312" w:eastAsia="仿宋_GB2312"/>
                      <w:sz w:val="24"/>
                    </w:rPr>
                    <w:t>测评机构的项目经理和项目组成员名单应注明人员的项目参与方式（现场或远程），项目组成员不少于</w:t>
                  </w:r>
                  <w:r>
                    <w:rPr>
                      <w:rFonts w:ascii="仿宋_GB2312" w:hAnsi="仿宋_GB2312" w:cs="仿宋_GB2312" w:eastAsia="仿宋_GB2312"/>
                      <w:sz w:val="24"/>
                    </w:rPr>
                    <w:t>4人，现场人员（含项目经理）不少于2人。</w:t>
                  </w:r>
                </w:p>
                <w:p>
                  <w:pPr>
                    <w:pStyle w:val="null3"/>
                    <w:ind w:firstLine="480"/>
                    <w:jc w:val="left"/>
                  </w:pPr>
                  <w:r>
                    <w:rPr>
                      <w:rFonts w:ascii="仿宋_GB2312" w:hAnsi="仿宋_GB2312" w:cs="仿宋_GB2312" w:eastAsia="仿宋_GB2312"/>
                      <w:sz w:val="24"/>
                    </w:rPr>
                    <w:t>测评机构实施人员不得将评估中有关与本项目有关、财政厅相关的信息泄露给第三方。</w:t>
                  </w:r>
                </w:p>
                <w:p>
                  <w:pPr>
                    <w:pStyle w:val="null3"/>
                    <w:ind w:firstLine="480"/>
                    <w:jc w:val="left"/>
                  </w:pPr>
                  <w:r>
                    <w:rPr>
                      <w:rFonts w:ascii="仿宋_GB2312" w:hAnsi="仿宋_GB2312" w:cs="仿宋_GB2312" w:eastAsia="仿宋_GB2312"/>
                      <w:sz w:val="24"/>
                    </w:rPr>
                    <w:t>测评机构应说明进行渗透测试的详细工作流程和具体实施步骤。</w:t>
                  </w:r>
                </w:p>
                <w:p>
                  <w:pPr>
                    <w:pStyle w:val="null3"/>
                    <w:ind w:firstLine="480"/>
                    <w:jc w:val="left"/>
                  </w:pPr>
                  <w:r>
                    <w:rPr>
                      <w:rFonts w:ascii="仿宋_GB2312" w:hAnsi="仿宋_GB2312" w:cs="仿宋_GB2312" w:eastAsia="仿宋_GB2312"/>
                      <w:sz w:val="24"/>
                    </w:rPr>
                    <w:t>测评机构应说明进行渗透测试所依照的相关评估标准（包括国内外标准、相关法规等）、漏洞库、软件缺陷库等。</w:t>
                  </w:r>
                </w:p>
                <w:p>
                  <w:pPr>
                    <w:pStyle w:val="null3"/>
                    <w:ind w:firstLine="480"/>
                    <w:jc w:val="left"/>
                  </w:pPr>
                  <w:r>
                    <w:rPr>
                      <w:rFonts w:ascii="仿宋_GB2312" w:hAnsi="仿宋_GB2312" w:cs="仿宋_GB2312" w:eastAsia="仿宋_GB2312"/>
                      <w:sz w:val="24"/>
                    </w:rPr>
                    <w:t>测评机构应说明进行渗透测试所采用的工具，如商业评估工具、开源评估工具、自开发工具</w:t>
                  </w:r>
                  <w:r>
                    <w:rPr>
                      <w:rFonts w:ascii="仿宋_GB2312" w:hAnsi="仿宋_GB2312" w:cs="仿宋_GB2312" w:eastAsia="仿宋_GB2312"/>
                      <w:sz w:val="24"/>
                    </w:rPr>
                    <w:t>/脚本、源代码安全测试工具等。</w:t>
                  </w:r>
                </w:p>
                <w:p>
                  <w:pPr>
                    <w:pStyle w:val="null3"/>
                    <w:ind w:firstLine="480"/>
                    <w:jc w:val="left"/>
                  </w:pPr>
                  <w:r>
                    <w:rPr>
                      <w:rFonts w:ascii="仿宋_GB2312" w:hAnsi="仿宋_GB2312" w:cs="仿宋_GB2312" w:eastAsia="仿宋_GB2312"/>
                      <w:sz w:val="24"/>
                    </w:rPr>
                    <w:t>测评机构应说明进行渗透测试前，财政厅应进行的准备工作，包括网络接入环境准备、办公场所准备、所需材料准备、所需配合人员等。</w:t>
                  </w:r>
                </w:p>
                <w:p>
                  <w:pPr>
                    <w:pStyle w:val="null3"/>
                    <w:ind w:firstLine="480"/>
                    <w:jc w:val="left"/>
                  </w:pPr>
                  <w:r>
                    <w:rPr>
                      <w:rFonts w:ascii="仿宋_GB2312" w:hAnsi="仿宋_GB2312" w:cs="仿宋_GB2312" w:eastAsia="仿宋_GB2312"/>
                      <w:sz w:val="24"/>
                    </w:rPr>
                    <w:t>测评机构应说明进行渗透测试各项工作时，可能对目标系统产生的影响，尤其时可能造成目标系统性能下降、数据完整性和机密性破坏的影响。应制定相关应急计划。</w:t>
                  </w:r>
                </w:p>
                <w:p>
                  <w:pPr>
                    <w:pStyle w:val="null3"/>
                    <w:ind w:left="480"/>
                    <w:jc w:val="both"/>
                  </w:pPr>
                  <w:r>
                    <w:rPr>
                      <w:rFonts w:ascii="仿宋_GB2312" w:hAnsi="仿宋_GB2312" w:cs="仿宋_GB2312" w:eastAsia="仿宋_GB2312"/>
                      <w:sz w:val="28"/>
                      <w:b/>
                      <w:color w:val="000000"/>
                    </w:rPr>
                    <w:t>4.2.3服务流程</w:t>
                  </w:r>
                </w:p>
                <w:p>
                  <w:pPr>
                    <w:pStyle w:val="null3"/>
                    <w:ind w:firstLine="480"/>
                    <w:jc w:val="left"/>
                  </w:pPr>
                  <w:r>
                    <w:rPr>
                      <w:rFonts w:ascii="仿宋_GB2312" w:hAnsi="仿宋_GB2312" w:cs="仿宋_GB2312" w:eastAsia="仿宋_GB2312"/>
                      <w:sz w:val="24"/>
                    </w:rPr>
                    <w:t>渗透测试服务的总体实施流程如下图：</w:t>
                  </w:r>
                </w:p>
                <w:p>
                  <w:pPr>
                    <w:pStyle w:val="null3"/>
                    <w:jc w:val="both"/>
                  </w:pPr>
                  <w:r>
                    <w:drawing>
                      <wp:inline distT="0" distR="0" distB="0" distL="0">
                        <wp:extent cx="1483995" cy="1423311"/>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7"/>
                                <a:stretch>
                                  <a:fillRect/>
                                </a:stretch>
                              </pic:blipFill>
                              <pic:spPr>
                                <a:xfrm>
                                  <a:off x="0" y="0"/>
                                  <a:ext cx="1483995" cy="1423311"/>
                                </a:xfrm>
                                <a:prstGeom prst="rect">
                                  <a:avLst/>
                                </a:prstGeom>
                              </pic:spPr>
                            </pic:pic>
                          </a:graphicData>
                        </a:graphic>
                      </wp:inline>
                    </w:drawing>
                  </w:r>
                </w:p>
                <w:p>
                  <w:pPr>
                    <w:pStyle w:val="null3"/>
                    <w:jc w:val="center"/>
                  </w:pPr>
                  <w:r>
                    <w:rPr>
                      <w:rFonts w:ascii="仿宋_GB2312" w:hAnsi="仿宋_GB2312" w:cs="仿宋_GB2312" w:eastAsia="仿宋_GB2312"/>
                      <w:sz w:val="21"/>
                      <w:color w:val="000000"/>
                    </w:rPr>
                    <w:t>图</w:t>
                  </w:r>
                  <w:r>
                    <w:rPr>
                      <w:rFonts w:ascii="仿宋_GB2312" w:hAnsi="仿宋_GB2312" w:cs="仿宋_GB2312" w:eastAsia="仿宋_GB2312"/>
                      <w:sz w:val="21"/>
                      <w:color w:val="000000"/>
                    </w:rPr>
                    <w:t>5?14渗透测试服务流程</w:t>
                  </w:r>
                </w:p>
                <w:p>
                  <w:pPr>
                    <w:pStyle w:val="null3"/>
                    <w:ind w:left="480"/>
                    <w:jc w:val="both"/>
                  </w:pPr>
                  <w:r>
                    <w:rPr>
                      <w:rFonts w:ascii="仿宋_GB2312" w:hAnsi="仿宋_GB2312" w:cs="仿宋_GB2312" w:eastAsia="仿宋_GB2312"/>
                      <w:sz w:val="28"/>
                      <w:b/>
                      <w:color w:val="000000"/>
                    </w:rPr>
                    <w:t>4.2.4服务内容</w:t>
                  </w:r>
                </w:p>
                <w:p>
                  <w:pPr>
                    <w:pStyle w:val="null3"/>
                    <w:ind w:firstLine="480"/>
                    <w:jc w:val="left"/>
                  </w:pPr>
                  <w:r>
                    <w:rPr>
                      <w:rFonts w:ascii="仿宋_GB2312" w:hAnsi="仿宋_GB2312" w:cs="仿宋_GB2312" w:eastAsia="仿宋_GB2312"/>
                      <w:sz w:val="24"/>
                    </w:rPr>
                    <w:t>渗透测试将覆盖一系列的渗透测试项，渗透测试模拟攻击的目标范围包括信息系统中的应用系统、主机操作系统、数据库系统、网络设备等。</w:t>
                  </w:r>
                </w:p>
                <w:p>
                  <w:pPr>
                    <w:pStyle w:val="null3"/>
                    <w:ind w:firstLine="480"/>
                    <w:jc w:val="center"/>
                  </w:pPr>
                  <w:r>
                    <w:rPr>
                      <w:rFonts w:ascii="仿宋_GB2312" w:hAnsi="仿宋_GB2312" w:cs="仿宋_GB2312" w:eastAsia="仿宋_GB2312"/>
                      <w:sz w:val="24"/>
                    </w:rPr>
                    <w:t>渗透测试服务内容</w:t>
                  </w:r>
                </w:p>
                <w:tbl>
                  <w:tblPr>
                    <w:tblBorders>
                      <w:top w:val="none" w:color="000000" w:sz="4"/>
                      <w:left w:val="none" w:color="000000" w:sz="4"/>
                      <w:bottom w:val="none" w:color="000000" w:sz="4"/>
                      <w:right w:val="none" w:color="000000" w:sz="4"/>
                      <w:insideH w:val="none"/>
                      <w:insideV w:val="none"/>
                    </w:tblBorders>
                  </w:tblPr>
                  <w:tblGrid>
                    <w:gridCol w:w="126"/>
                    <w:gridCol w:w="182"/>
                    <w:gridCol w:w="938"/>
                    <w:gridCol w:w="728"/>
                    <w:gridCol w:w="364"/>
                  </w:tblGrid>
                  <w:tr>
                    <w:tc>
                      <w:tcPr>
                        <w:tcW w:type="dxa" w:w="126"/>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序号</w:t>
                        </w:r>
                      </w:p>
                    </w:tc>
                    <w:tc>
                      <w:tcPr>
                        <w:tcW w:type="dxa" w:w="182"/>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服务内容</w:t>
                        </w:r>
                      </w:p>
                    </w:tc>
                    <w:tc>
                      <w:tcPr>
                        <w:tcW w:type="dxa" w:w="938"/>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服务说明</w:t>
                        </w:r>
                      </w:p>
                    </w:tc>
                    <w:tc>
                      <w:tcPr>
                        <w:tcW w:type="dxa" w:w="728"/>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服务对象</w:t>
                        </w:r>
                      </w:p>
                    </w:tc>
                    <w:tc>
                      <w:tcPr>
                        <w:tcW w:type="dxa" w:w="364"/>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服务类型</w:t>
                        </w:r>
                      </w:p>
                    </w:tc>
                  </w:tr>
                  <w:tr>
                    <w:tc>
                      <w:tcPr>
                        <w:tcW w:type="dxa" w:w="12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1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渗透测试服务</w:t>
                        </w:r>
                      </w:p>
                    </w:tc>
                    <w:tc>
                      <w:tcPr>
                        <w:tcW w:type="dxa" w:w="9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1.渗透测试将覆盖一系列的渗透测试项；</w:t>
                        </w:r>
                      </w:p>
                      <w:p>
                        <w:pPr>
                          <w:pStyle w:val="null3"/>
                          <w:jc w:val="both"/>
                        </w:pPr>
                        <w:r>
                          <w:rPr>
                            <w:rFonts w:ascii="仿宋_GB2312" w:hAnsi="仿宋_GB2312" w:cs="仿宋_GB2312" w:eastAsia="仿宋_GB2312"/>
                            <w:sz w:val="21"/>
                            <w:color w:val="000000"/>
                          </w:rPr>
                          <w:t>2.渗透测试模拟攻击的目标范围包括信息系统中的应用系统、主机操作系统、数据库系统、网络设备等；</w:t>
                        </w:r>
                      </w:p>
                      <w:p>
                        <w:pPr>
                          <w:pStyle w:val="null3"/>
                          <w:jc w:val="both"/>
                        </w:pPr>
                        <w:r>
                          <w:rPr>
                            <w:rFonts w:ascii="仿宋_GB2312" w:hAnsi="仿宋_GB2312" w:cs="仿宋_GB2312" w:eastAsia="仿宋_GB2312"/>
                            <w:sz w:val="21"/>
                            <w:color w:val="000000"/>
                          </w:rPr>
                          <w:t>3.提供渗透测试服务，出具渗透测试报告并针对整改进行一次高危风险复核。</w:t>
                        </w:r>
                      </w:p>
                      <w:p>
                        <w:pPr>
                          <w:pStyle w:val="null3"/>
                          <w:spacing w:after="120"/>
                          <w:jc w:val="both"/>
                        </w:pPr>
                        <w:r>
                          <w:rPr>
                            <w:rFonts w:ascii="仿宋_GB2312" w:hAnsi="仿宋_GB2312" w:cs="仿宋_GB2312" w:eastAsia="仿宋_GB2312"/>
                            <w:sz w:val="24"/>
                            <w:color w:val="000000"/>
                          </w:rPr>
                          <w:t>渗透测试需要配备专业杀毒工具：</w:t>
                        </w:r>
                      </w:p>
                      <w:p>
                        <w:pPr>
                          <w:pStyle w:val="null3"/>
                          <w:spacing w:after="120"/>
                          <w:jc w:val="both"/>
                        </w:pPr>
                        <w:r>
                          <w:rPr>
                            <w:rFonts w:ascii="仿宋_GB2312" w:hAnsi="仿宋_GB2312" w:cs="仿宋_GB2312" w:eastAsia="仿宋_GB2312"/>
                            <w:sz w:val="24"/>
                            <w:color w:val="000000"/>
                          </w:rPr>
                          <w:t>1、无需再终端中安装任何软件或系驱动，即可通过指定位置扫描，快速扫描，全盘扫描对终端设备进行安全检测，可以针对进程扫描、关键未知扫描、开机启动项扫描、系统服务扫描；即插即用无需在目标主机系统上安装任何软件，即可进行恶意软件检测和删除。</w:t>
                        </w:r>
                      </w:p>
                      <w:p>
                        <w:pPr>
                          <w:pStyle w:val="null3"/>
                          <w:spacing w:after="120"/>
                          <w:jc w:val="both"/>
                        </w:pPr>
                        <w:r>
                          <w:rPr>
                            <w:rFonts w:ascii="仿宋_GB2312" w:hAnsi="仿宋_GB2312" w:cs="仿宋_GB2312" w:eastAsia="仿宋_GB2312"/>
                            <w:sz w:val="24"/>
                            <w:color w:val="000000"/>
                          </w:rPr>
                          <w:t>2、支持检测感染式病毒、蠕虫、木马、黑客工具、风险软件、灰色软件、垃圾文件、测试文件等6万余家族、1500万余变种的恶意代码。</w:t>
                        </w:r>
                      </w:p>
                      <w:p>
                        <w:pPr>
                          <w:pStyle w:val="null3"/>
                          <w:spacing w:after="120"/>
                          <w:jc w:val="both"/>
                        </w:pPr>
                        <w:r>
                          <w:rPr>
                            <w:rFonts w:ascii="仿宋_GB2312" w:hAnsi="仿宋_GB2312" w:cs="仿宋_GB2312" w:eastAsia="仿宋_GB2312"/>
                            <w:sz w:val="24"/>
                            <w:color w:val="000000"/>
                          </w:rPr>
                          <w:t>3、检测文件格式：支持执行文件、文档、媒体文件、图片文件、软件关联格式、脚本、文本格式。</w:t>
                        </w:r>
                      </w:p>
                      <w:p>
                        <w:pPr>
                          <w:pStyle w:val="null3"/>
                          <w:spacing w:after="120"/>
                          <w:jc w:val="both"/>
                        </w:pPr>
                        <w:r>
                          <w:rPr>
                            <w:rFonts w:ascii="仿宋_GB2312" w:hAnsi="仿宋_GB2312" w:cs="仿宋_GB2312" w:eastAsia="仿宋_GB2312"/>
                            <w:sz w:val="24"/>
                            <w:color w:val="000000"/>
                          </w:rPr>
                          <w:t>4、复合文件检测：office：rtf，doc，ppt，xls，docx，pptx，xlsx。adobe：pdf，swf。mail：eml，msg，tnef。</w:t>
                        </w:r>
                      </w:p>
                      <w:p>
                        <w:pPr>
                          <w:pStyle w:val="null3"/>
                          <w:spacing w:after="120"/>
                          <w:jc w:val="both"/>
                        </w:pPr>
                        <w:r>
                          <w:rPr>
                            <w:rFonts w:ascii="仿宋_GB2312" w:hAnsi="仿宋_GB2312" w:cs="仿宋_GB2312" w:eastAsia="仿宋_GB2312"/>
                            <w:sz w:val="24"/>
                            <w:color w:val="000000"/>
                          </w:rPr>
                          <w:t>5、压缩包检测：支持分析检测种类为58种以上，含压缩包，自解压包，安装包及其他包裹类。</w:t>
                        </w:r>
                      </w:p>
                      <w:p>
                        <w:pPr>
                          <w:pStyle w:val="null3"/>
                          <w:spacing w:after="120"/>
                          <w:jc w:val="both"/>
                        </w:pPr>
                        <w:r>
                          <w:rPr>
                            <w:rFonts w:ascii="仿宋_GB2312" w:hAnsi="仿宋_GB2312" w:cs="仿宋_GB2312" w:eastAsia="仿宋_GB2312"/>
                            <w:sz w:val="24"/>
                            <w:color w:val="000000"/>
                          </w:rPr>
                          <w:t>6、恶意文件样本量：支持检测6万余家族、1500万余变种的恶意代码。</w:t>
                        </w:r>
                      </w:p>
                    </w:tc>
                    <w:tc>
                      <w:tcPr>
                        <w:tcW w:type="dxa" w:w="7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省电子凭证会计数据标准化平台建设项目涉及到的所有系统，包括新建系统电子凭证汇聚子系统；公务报账子系统、非税收入征缴信息管理子系统、会计档案管理子系统、财政电子票据管理子系统等四个原有子系统本次升级改造部分。</w:t>
                        </w:r>
                      </w:p>
                    </w:tc>
                    <w:tc>
                      <w:tcPr>
                        <w:tcW w:type="dxa" w:w="3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远程服务</w:t>
                        </w:r>
                      </w:p>
                      <w:p>
                        <w:pPr>
                          <w:pStyle w:val="null3"/>
                          <w:jc w:val="both"/>
                        </w:pPr>
                        <w:r>
                          <w:rPr>
                            <w:rFonts w:ascii="仿宋_GB2312" w:hAnsi="仿宋_GB2312" w:cs="仿宋_GB2312" w:eastAsia="仿宋_GB2312"/>
                            <w:sz w:val="21"/>
                            <w:color w:val="000000"/>
                          </w:rPr>
                          <w:t>现场服务</w:t>
                        </w:r>
                      </w:p>
                    </w:tc>
                  </w:tr>
                </w:tbl>
                <w:p>
                  <w:pPr>
                    <w:pStyle w:val="null3"/>
                    <w:ind w:left="480"/>
                    <w:jc w:val="both"/>
                  </w:pPr>
                  <w:r>
                    <w:rPr>
                      <w:rFonts w:ascii="仿宋_GB2312" w:hAnsi="仿宋_GB2312" w:cs="仿宋_GB2312" w:eastAsia="仿宋_GB2312"/>
                      <w:sz w:val="28"/>
                      <w:b/>
                      <w:color w:val="000000"/>
                    </w:rPr>
                    <w:t>4.2.5服务次数</w:t>
                  </w:r>
                </w:p>
                <w:p>
                  <w:pPr>
                    <w:pStyle w:val="null3"/>
                    <w:ind w:firstLine="480"/>
                    <w:jc w:val="left"/>
                  </w:pPr>
                  <w:r>
                    <w:rPr>
                      <w:rFonts w:ascii="仿宋_GB2312" w:hAnsi="仿宋_GB2312" w:cs="仿宋_GB2312" w:eastAsia="仿宋_GB2312"/>
                      <w:sz w:val="24"/>
                    </w:rPr>
                    <w:t>渗透测试服务：</w:t>
                  </w:r>
                  <w:r>
                    <w:rPr>
                      <w:rFonts w:ascii="仿宋_GB2312" w:hAnsi="仿宋_GB2312" w:cs="仿宋_GB2312" w:eastAsia="仿宋_GB2312"/>
                      <w:sz w:val="24"/>
                    </w:rPr>
                    <w:t>1次/年。</w:t>
                  </w:r>
                </w:p>
                <w:p>
                  <w:pPr>
                    <w:pStyle w:val="null3"/>
                    <w:ind w:left="480"/>
                    <w:jc w:val="both"/>
                  </w:pPr>
                  <w:r>
                    <w:rPr>
                      <w:rFonts w:ascii="仿宋_GB2312" w:hAnsi="仿宋_GB2312" w:cs="仿宋_GB2312" w:eastAsia="仿宋_GB2312"/>
                      <w:sz w:val="28"/>
                      <w:b/>
                      <w:color w:val="000000"/>
                    </w:rPr>
                    <w:t>4.2.6服务成果</w:t>
                  </w:r>
                </w:p>
                <w:p>
                  <w:pPr>
                    <w:pStyle w:val="null3"/>
                    <w:ind w:firstLine="480"/>
                    <w:jc w:val="left"/>
                  </w:pPr>
                  <w:r>
                    <w:rPr>
                      <w:rFonts w:ascii="仿宋_GB2312" w:hAnsi="仿宋_GB2312" w:cs="仿宋_GB2312" w:eastAsia="仿宋_GB2312"/>
                      <w:sz w:val="24"/>
                    </w:rPr>
                    <w:t>通过渗透测试服务，模拟入侵者对指定系统进行攻击测试，可以对用户信息平台的安全性得到较深刻的认知，验证经过安全保护后的系统是否真实的达到了预定安全目标。完成渗透测试服务工作后，汇总出具《渗透测试报告》，并提出具有针对性的安全加固建议。</w:t>
                  </w:r>
                </w:p>
                <w:p>
                  <w:pPr>
                    <w:pStyle w:val="null3"/>
                    <w:ind w:left="480"/>
                    <w:jc w:val="both"/>
                  </w:pPr>
                  <w:r>
                    <w:rPr>
                      <w:rFonts w:ascii="仿宋_GB2312" w:hAnsi="仿宋_GB2312" w:cs="仿宋_GB2312" w:eastAsia="仿宋_GB2312"/>
                      <w:sz w:val="28"/>
                      <w:b/>
                      <w:color w:val="000000"/>
                    </w:rPr>
                    <w:t>4.3代码审计服务</w:t>
                  </w:r>
                </w:p>
                <w:p>
                  <w:pPr>
                    <w:pStyle w:val="null3"/>
                    <w:ind w:left="480"/>
                    <w:jc w:val="both"/>
                  </w:pPr>
                  <w:r>
                    <w:rPr>
                      <w:rFonts w:ascii="仿宋_GB2312" w:hAnsi="仿宋_GB2312" w:cs="仿宋_GB2312" w:eastAsia="仿宋_GB2312"/>
                      <w:sz w:val="28"/>
                      <w:b/>
                      <w:color w:val="000000"/>
                    </w:rPr>
                    <w:t>4.3.1服务概述</w:t>
                  </w:r>
                </w:p>
                <w:p>
                  <w:pPr>
                    <w:pStyle w:val="null3"/>
                    <w:ind w:firstLine="480"/>
                    <w:jc w:val="left"/>
                  </w:pPr>
                  <w:r>
                    <w:rPr>
                      <w:rFonts w:ascii="仿宋_GB2312" w:hAnsi="仿宋_GB2312" w:cs="仿宋_GB2312" w:eastAsia="仿宋_GB2312"/>
                      <w:sz w:val="24"/>
                    </w:rPr>
                    <w:t>网络技术日新月异，以应用系统为核心的信息化进程在不断推进，网络攻击矛头逐步转向各类应用系统。通常情况下，应用系统的安全防护往往依赖于上线前的安全测试和与之关联的外围安全产品所能提供的外在防护，往往忽略了源代码的自身安全，这是导致基于应用系统的安全事件不断涌现的主要原因。据统计，</w:t>
                  </w:r>
                  <w:r>
                    <w:rPr>
                      <w:rFonts w:ascii="仿宋_GB2312" w:hAnsi="仿宋_GB2312" w:cs="仿宋_GB2312" w:eastAsia="仿宋_GB2312"/>
                      <w:sz w:val="24"/>
                    </w:rPr>
                    <w:t>92%的漏洞源自于应用系统，黑客乐此不疲地在不断挖掘和利用着这些漏洞，以期达到各类不可告人的非法目的，许多单位因此蒙受了重大损失，这些漏洞往往是由不安全的编码、不良架构和错误的配置产生的。</w:t>
                  </w:r>
                </w:p>
                <w:p>
                  <w:pPr>
                    <w:pStyle w:val="null3"/>
                    <w:ind w:firstLine="480"/>
                    <w:jc w:val="left"/>
                  </w:pPr>
                  <w:r>
                    <w:rPr>
                      <w:rFonts w:ascii="仿宋_GB2312" w:hAnsi="仿宋_GB2312" w:cs="仿宋_GB2312" w:eastAsia="仿宋_GB2312"/>
                      <w:sz w:val="24"/>
                    </w:rPr>
                    <w:t>代码审计服务的目的在于充分挖掘应用系统代码中存在的安全缺陷及规范性缺陷，从而让开发人员了解其开发的应用系统可能会面临的威胁，并指导开发人员正确修复代码缺陷。将以网络安全等级保护标准规范为基线，由具备丰富编码经验并对安全编码原则及应用安全具有深刻理解的安全服务人员，结合国际化网络安全测试标准，在用户授权许可和安全可控的范围内采用静态分析、动态检测的分析方法，对应用系统源代码和软件架构的安全性、可靠性进行全面的安全检测，发现各类应用系统中存在的安全缺陷和规范性缺陷，从而保障应用系统安全、可靠。</w:t>
                  </w:r>
                </w:p>
                <w:p>
                  <w:pPr>
                    <w:pStyle w:val="null3"/>
                    <w:ind w:left="480"/>
                    <w:jc w:val="both"/>
                  </w:pPr>
                  <w:r>
                    <w:rPr>
                      <w:rFonts w:ascii="仿宋_GB2312" w:hAnsi="仿宋_GB2312" w:cs="仿宋_GB2312" w:eastAsia="仿宋_GB2312"/>
                      <w:sz w:val="28"/>
                      <w:b/>
                      <w:color w:val="000000"/>
                    </w:rPr>
                    <w:t>4.3.2服务流程</w:t>
                  </w:r>
                  <w:r>
                    <w:drawing>
                      <wp:inline distT="0" distR="0" distB="0" distL="0">
                        <wp:extent cx="1483995" cy="893119"/>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8"/>
                                <a:stretch>
                                  <a:fillRect/>
                                </a:stretch>
                              </pic:blipFill>
                              <pic:spPr>
                                <a:xfrm>
                                  <a:off x="0" y="0"/>
                                  <a:ext cx="1483995" cy="893119"/>
                                </a:xfrm>
                                <a:prstGeom prst="rect">
                                  <a:avLst/>
                                </a:prstGeom>
                              </pic:spPr>
                            </pic:pic>
                          </a:graphicData>
                        </a:graphic>
                      </wp:inline>
                    </w:drawing>
                  </w:r>
                </w:p>
                <w:p>
                  <w:pPr>
                    <w:pStyle w:val="null3"/>
                    <w:jc w:val="center"/>
                  </w:pPr>
                  <w:r>
                    <w:rPr>
                      <w:rFonts w:ascii="仿宋_GB2312" w:hAnsi="仿宋_GB2312" w:cs="仿宋_GB2312" w:eastAsia="仿宋_GB2312"/>
                      <w:sz w:val="21"/>
                      <w:color w:val="000000"/>
                    </w:rPr>
                    <w:t>图</w:t>
                  </w:r>
                  <w:r>
                    <w:rPr>
                      <w:rFonts w:ascii="仿宋_GB2312" w:hAnsi="仿宋_GB2312" w:cs="仿宋_GB2312" w:eastAsia="仿宋_GB2312"/>
                      <w:sz w:val="21"/>
                      <w:color w:val="000000"/>
                    </w:rPr>
                    <w:t>5?15代码审计服务流程</w:t>
                  </w:r>
                </w:p>
                <w:p>
                  <w:pPr>
                    <w:pStyle w:val="null3"/>
                    <w:ind w:left="480"/>
                    <w:jc w:val="both"/>
                  </w:pPr>
                  <w:r>
                    <w:rPr>
                      <w:rFonts w:ascii="仿宋_GB2312" w:hAnsi="仿宋_GB2312" w:cs="仿宋_GB2312" w:eastAsia="仿宋_GB2312"/>
                      <w:sz w:val="28"/>
                      <w:b/>
                      <w:color w:val="000000"/>
                    </w:rPr>
                    <w:t>4.3.3服务内容</w:t>
                  </w:r>
                </w:p>
                <w:p>
                  <w:pPr>
                    <w:pStyle w:val="null3"/>
                    <w:ind w:firstLine="480"/>
                    <w:jc w:val="left"/>
                  </w:pPr>
                  <w:r>
                    <w:rPr>
                      <w:rFonts w:ascii="仿宋_GB2312" w:hAnsi="仿宋_GB2312" w:cs="仿宋_GB2312" w:eastAsia="仿宋_GB2312"/>
                      <w:sz w:val="24"/>
                    </w:rPr>
                    <w:t>静态代码审计适用于以</w:t>
                  </w:r>
                  <w:r>
                    <w:rPr>
                      <w:rFonts w:ascii="仿宋_GB2312" w:hAnsi="仿宋_GB2312" w:cs="仿宋_GB2312" w:eastAsia="仿宋_GB2312"/>
                      <w:sz w:val="24"/>
                    </w:rPr>
                    <w:t>C、C++、C#、Java等语言开发的应用程序，以及以Ruby、PHP、ASP、JSP、JavaScript和Perl等在内的各种Web技术编写的应用程序，可以是应用程序的全部代码，也可以是一部分完整的代码，只需搭建与用户单位无关的独立的代码分析环境，无需搭建代码运行环境。动态代码审计适用于以Java语言开发的应用程序，需搭建与生产环境类似的功能齐全的应用运行环境（缺失的功能将无法被审计）。源码安全分析人员会使用审计工具和手工分析对程序中的数据流、控制流、语义、结构、配置文件五个层面的脆弱性和安全缺陷进行分析，然后对重点代码进行人工审计。</w:t>
                  </w:r>
                </w:p>
                <w:p>
                  <w:pPr>
                    <w:pStyle w:val="null3"/>
                    <w:ind w:firstLine="480"/>
                    <w:jc w:val="left"/>
                  </w:pPr>
                  <w:r>
                    <w:rPr>
                      <w:rFonts w:ascii="仿宋_GB2312" w:hAnsi="仿宋_GB2312" w:cs="仿宋_GB2312" w:eastAsia="仿宋_GB2312"/>
                      <w:sz w:val="24"/>
                    </w:rPr>
                    <w:t>本项目采用静态代码审计的方式。</w:t>
                  </w:r>
                </w:p>
                <w:p>
                  <w:pPr>
                    <w:pStyle w:val="null3"/>
                    <w:ind w:firstLine="480"/>
                    <w:jc w:val="left"/>
                  </w:pPr>
                  <w:r>
                    <w:rPr>
                      <w:rFonts w:ascii="仿宋_GB2312" w:hAnsi="仿宋_GB2312" w:cs="仿宋_GB2312" w:eastAsia="仿宋_GB2312"/>
                      <w:sz w:val="24"/>
                    </w:rPr>
                    <w:t>审计环境部署：静态代码审计只需部署分析环境，无需部署代码运行环境，同时需要提供源代码，可进行现场审计，亦可实施异地审计。动态代码审计需提供与生产环境类似的功能齐全的应用运行环境（缺失的功能将无法被审计），以现场审计为主，远程协助为辅；</w:t>
                  </w:r>
                </w:p>
                <w:p>
                  <w:pPr>
                    <w:pStyle w:val="null3"/>
                    <w:ind w:firstLine="480"/>
                    <w:jc w:val="left"/>
                  </w:pPr>
                  <w:r>
                    <w:rPr>
                      <w:rFonts w:ascii="仿宋_GB2312" w:hAnsi="仿宋_GB2312" w:cs="仿宋_GB2312" w:eastAsia="仿宋_GB2312"/>
                      <w:sz w:val="24"/>
                    </w:rPr>
                    <w:t>静态代码审计：采用自动静态分析技术扫描某个应用程序的源代码，通过甄别和定位可能存在的薄弱环节数量，以验证该应用程序存在的风险；</w:t>
                  </w:r>
                </w:p>
                <w:p>
                  <w:pPr>
                    <w:pStyle w:val="null3"/>
                    <w:ind w:firstLine="480"/>
                    <w:jc w:val="left"/>
                  </w:pPr>
                  <w:r>
                    <w:rPr>
                      <w:rFonts w:ascii="仿宋_GB2312" w:hAnsi="仿宋_GB2312" w:cs="仿宋_GB2312" w:eastAsia="仿宋_GB2312"/>
                      <w:sz w:val="24"/>
                    </w:rPr>
                    <w:t>人工验证：针对审计结果，进行人工验证，剔除误报，客观和全面地发现软件系统自身的安全隐患。</w:t>
                  </w:r>
                </w:p>
                <w:p>
                  <w:pPr>
                    <w:pStyle w:val="null3"/>
                    <w:jc w:val="center"/>
                  </w:pPr>
                  <w:r>
                    <w:rPr>
                      <w:rFonts w:ascii="仿宋_GB2312" w:hAnsi="仿宋_GB2312" w:cs="仿宋_GB2312" w:eastAsia="仿宋_GB2312"/>
                      <w:sz w:val="21"/>
                      <w:color w:val="000000"/>
                    </w:rPr>
                    <w:t>表</w:t>
                  </w:r>
                  <w:r>
                    <w:rPr>
                      <w:rFonts w:ascii="仿宋_GB2312" w:hAnsi="仿宋_GB2312" w:cs="仿宋_GB2312" w:eastAsia="仿宋_GB2312"/>
                      <w:sz w:val="21"/>
                      <w:color w:val="000000"/>
                    </w:rPr>
                    <w:t>427代码审计服务内容</w:t>
                  </w:r>
                </w:p>
                <w:tbl>
                  <w:tblPr>
                    <w:tblBorders>
                      <w:top w:val="none" w:color="000000" w:sz="4"/>
                      <w:left w:val="none" w:color="000000" w:sz="4"/>
                      <w:bottom w:val="none" w:color="000000" w:sz="4"/>
                      <w:right w:val="none" w:color="000000" w:sz="4"/>
                      <w:insideH w:val="none"/>
                      <w:insideV w:val="none"/>
                    </w:tblBorders>
                  </w:tblPr>
                  <w:tblGrid>
                    <w:gridCol w:w="139"/>
                    <w:gridCol w:w="236"/>
                    <w:gridCol w:w="1029"/>
                    <w:gridCol w:w="362"/>
                    <w:gridCol w:w="320"/>
                    <w:gridCol w:w="250"/>
                  </w:tblGrid>
                  <w:tr>
                    <w:tc>
                      <w:tcPr>
                        <w:tcW w:type="dxa" w:w="139"/>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序号</w:t>
                        </w:r>
                      </w:p>
                    </w:tc>
                    <w:tc>
                      <w:tcPr>
                        <w:tcW w:type="dxa" w:w="236"/>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服务内容</w:t>
                        </w:r>
                      </w:p>
                    </w:tc>
                    <w:tc>
                      <w:tcPr>
                        <w:tcW w:type="dxa" w:w="1029"/>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服务说明</w:t>
                        </w:r>
                      </w:p>
                    </w:tc>
                    <w:tc>
                      <w:tcPr>
                        <w:tcW w:type="dxa" w:w="362"/>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服务对象</w:t>
                        </w:r>
                      </w:p>
                    </w:tc>
                    <w:tc>
                      <w:tcPr>
                        <w:tcW w:type="dxa" w:w="320"/>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主要成果文档</w:t>
                        </w:r>
                      </w:p>
                    </w:tc>
                    <w:tc>
                      <w:tcPr>
                        <w:tcW w:type="dxa" w:w="250"/>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服务类型</w:t>
                        </w:r>
                      </w:p>
                    </w:tc>
                  </w:tr>
                  <w:tr>
                    <w:tc>
                      <w:tcPr>
                        <w:tcW w:type="dxa" w:w="13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2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代码审计服务</w:t>
                        </w:r>
                      </w:p>
                    </w:tc>
                    <w:tc>
                      <w:tcPr>
                        <w:tcW w:type="dxa" w:w="102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color w:val="000000"/>
                          </w:rPr>
                          <w:t>采用自动静态分析技术扫描某个应用程序的源代码，通过甄别和定位可能存在的薄弱环节数量，以验证该应用程序存在的风险；</w:t>
                        </w:r>
                      </w:p>
                      <w:p>
                        <w:pPr>
                          <w:pStyle w:val="null3"/>
                          <w:numPr>
                            <w:ilvl w:val="0"/>
                            <w:numId w:val="1"/>
                          </w:numPr>
                          <w:jc w:val="both"/>
                        </w:pPr>
                        <w:r>
                          <w:rPr>
                            <w:rFonts w:ascii="仿宋_GB2312" w:hAnsi="仿宋_GB2312" w:cs="仿宋_GB2312" w:eastAsia="仿宋_GB2312"/>
                            <w:sz w:val="21"/>
                            <w:color w:val="000000"/>
                          </w:rPr>
                          <w:t>对于无法提供源代码的系统，通过在应用程序的字节码中动态插桩检测</w:t>
                        </w:r>
                        <w:r>
                          <w:rPr>
                            <w:rFonts w:ascii="仿宋_GB2312" w:hAnsi="仿宋_GB2312" w:cs="仿宋_GB2312" w:eastAsia="仿宋_GB2312"/>
                            <w:sz w:val="21"/>
                            <w:color w:val="000000"/>
                          </w:rPr>
                          <w:t>“探针”，获取应用程序各种运行时的上下文信息，在应用程序运行的同时，实时分析程序的安全弱点；</w:t>
                        </w:r>
                      </w:p>
                      <w:p>
                        <w:pPr>
                          <w:pStyle w:val="null3"/>
                          <w:numPr>
                            <w:ilvl w:val="0"/>
                            <w:numId w:val="1"/>
                          </w:numPr>
                          <w:jc w:val="both"/>
                        </w:pPr>
                        <w:r>
                          <w:rPr>
                            <w:rFonts w:ascii="仿宋_GB2312" w:hAnsi="仿宋_GB2312" w:cs="仿宋_GB2312" w:eastAsia="仿宋_GB2312"/>
                            <w:sz w:val="21"/>
                            <w:color w:val="000000"/>
                          </w:rPr>
                          <w:t>协针对审计结果，进行人工验证，剔除误报，客观和全面地发现软件系统自身的安全隐患，出具代码审计报告；</w:t>
                        </w:r>
                      </w:p>
                      <w:p>
                        <w:pPr>
                          <w:pStyle w:val="null3"/>
                          <w:numPr>
                            <w:ilvl w:val="0"/>
                            <w:numId w:val="1"/>
                          </w:numPr>
                          <w:jc w:val="both"/>
                        </w:pPr>
                        <w:r>
                          <w:rPr>
                            <w:rFonts w:ascii="仿宋_GB2312" w:hAnsi="仿宋_GB2312" w:cs="仿宋_GB2312" w:eastAsia="仿宋_GB2312"/>
                            <w:sz w:val="21"/>
                            <w:color w:val="000000"/>
                          </w:rPr>
                          <w:t>在代码风险整改后提供一次审计复核服务。</w:t>
                        </w:r>
                      </w:p>
                    </w:tc>
                    <w:tc>
                      <w:tcPr>
                        <w:tcW w:type="dxa" w:w="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省电子凭证会计数据标准化平台建设项目涉及到的所有系统，包括新建系统电子凭证汇聚子系统；公务报账子系统、非税收入征缴信息管理子系统、会计档案管理子系统、财政电子票据管理子系统等四个原有子系统本次升级改造部分。</w:t>
                        </w:r>
                      </w:p>
                    </w:tc>
                    <w:tc>
                      <w:tcPr>
                        <w:tcW w:type="dxa" w:w="3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《应用系统代码审计报告》</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现场服务</w:t>
                        </w:r>
                      </w:p>
                    </w:tc>
                  </w:tr>
                </w:tbl>
                <w:p>
                  <w:pPr>
                    <w:pStyle w:val="null3"/>
                    <w:ind w:left="480"/>
                    <w:jc w:val="both"/>
                  </w:pPr>
                  <w:r>
                    <w:rPr>
                      <w:rFonts w:ascii="仿宋_GB2312" w:hAnsi="仿宋_GB2312" w:cs="仿宋_GB2312" w:eastAsia="仿宋_GB2312"/>
                      <w:sz w:val="28"/>
                      <w:b/>
                      <w:color w:val="000000"/>
                    </w:rPr>
                    <w:t>4.3.4服务次数</w:t>
                  </w:r>
                </w:p>
                <w:p>
                  <w:pPr>
                    <w:pStyle w:val="null3"/>
                    <w:ind w:firstLine="480"/>
                    <w:jc w:val="left"/>
                  </w:pPr>
                  <w:r>
                    <w:rPr>
                      <w:rFonts w:ascii="仿宋_GB2312" w:hAnsi="仿宋_GB2312" w:cs="仿宋_GB2312" w:eastAsia="仿宋_GB2312"/>
                      <w:sz w:val="24"/>
                    </w:rPr>
                    <w:t>代码审计服务：</w:t>
                  </w:r>
                  <w:r>
                    <w:rPr>
                      <w:rFonts w:ascii="仿宋_GB2312" w:hAnsi="仿宋_GB2312" w:cs="仿宋_GB2312" w:eastAsia="仿宋_GB2312"/>
                      <w:sz w:val="24"/>
                    </w:rPr>
                    <w:t>1次/年。</w:t>
                  </w:r>
                </w:p>
                <w:p>
                  <w:pPr>
                    <w:pStyle w:val="null3"/>
                    <w:ind w:left="480"/>
                    <w:jc w:val="both"/>
                  </w:pPr>
                  <w:r>
                    <w:rPr>
                      <w:rFonts w:ascii="仿宋_GB2312" w:hAnsi="仿宋_GB2312" w:cs="仿宋_GB2312" w:eastAsia="仿宋_GB2312"/>
                      <w:sz w:val="28"/>
                      <w:b/>
                      <w:color w:val="000000"/>
                    </w:rPr>
                    <w:t>4.3.5服务成果</w:t>
                  </w:r>
                </w:p>
                <w:p>
                  <w:pPr>
                    <w:pStyle w:val="null3"/>
                    <w:ind w:firstLine="480"/>
                    <w:jc w:val="left"/>
                  </w:pPr>
                  <w:r>
                    <w:rPr>
                      <w:rFonts w:ascii="仿宋_GB2312" w:hAnsi="仿宋_GB2312" w:cs="仿宋_GB2312" w:eastAsia="仿宋_GB2312"/>
                      <w:sz w:val="24"/>
                    </w:rPr>
                    <w:t>通过代码审计服务对新建信息系统开展代码审计工作，对程序源代码逐条进行检查和分析，发现这些源代码缺陷引发的安全漏洞，并提供代码修订措施和建议，输出《应用系统代码审计报告》。</w:t>
                  </w:r>
                </w:p>
                <w:p>
                  <w:pPr>
                    <w:pStyle w:val="null3"/>
                    <w:spacing w:before="195"/>
                    <w:ind w:left="15"/>
                    <w:jc w:val="both"/>
                  </w:pPr>
                  <w:r>
                    <w:rPr>
                      <w:rFonts w:ascii="仿宋_GB2312" w:hAnsi="仿宋_GB2312" w:cs="仿宋_GB2312" w:eastAsia="仿宋_GB2312"/>
                      <w:sz w:val="28"/>
                      <w:b/>
                    </w:rPr>
                    <w:t>五、付款方式</w:t>
                  </w:r>
                </w:p>
                <w:p>
                  <w:pPr>
                    <w:pStyle w:val="null3"/>
                    <w:ind w:firstLine="480"/>
                    <w:jc w:val="both"/>
                  </w:pPr>
                  <w:r>
                    <w:rPr>
                      <w:rFonts w:ascii="仿宋_GB2312" w:hAnsi="仿宋_GB2312" w:cs="仿宋_GB2312" w:eastAsia="仿宋_GB2312"/>
                      <w:sz w:val="24"/>
                    </w:rPr>
                    <w:t>1.当采购人和供应商双方签订合同后，采购人在收到供应商所开具的合法发票在5个工作日内，采购人支付给供应商合同总金额50%。</w:t>
                  </w:r>
                </w:p>
                <w:p>
                  <w:pPr>
                    <w:pStyle w:val="null3"/>
                    <w:ind w:firstLine="480"/>
                    <w:jc w:val="both"/>
                  </w:pPr>
                  <w:r>
                    <w:rPr>
                      <w:rFonts w:ascii="仿宋_GB2312" w:hAnsi="仿宋_GB2312" w:cs="仿宋_GB2312" w:eastAsia="仿宋_GB2312"/>
                      <w:sz w:val="24"/>
                    </w:rPr>
                    <w:t>2.当采购人收到供应商最终的测评报告后，采购人在收到供应商所开具的合法发票在5个工作日内，采购人支付给供应商合同总金额40%。</w:t>
                  </w:r>
                </w:p>
                <w:p>
                  <w:pPr>
                    <w:pStyle w:val="null3"/>
                    <w:ind w:firstLine="480"/>
                    <w:jc w:val="both"/>
                  </w:pPr>
                  <w:r>
                    <w:rPr>
                      <w:rFonts w:ascii="仿宋_GB2312" w:hAnsi="仿宋_GB2312" w:cs="仿宋_GB2312" w:eastAsia="仿宋_GB2312"/>
                      <w:sz w:val="24"/>
                    </w:rPr>
                    <w:t>3.当项目竣工验收通过后，采购人在收到供应商所开具的合法发票在5个工作日内，采购人支付给供应商合同总金额10%。</w:t>
                  </w:r>
                </w:p>
                <w:p>
                  <w:pPr>
                    <w:pStyle w:val="null3"/>
                    <w:spacing w:before="195"/>
                    <w:ind w:left="15"/>
                    <w:jc w:val="both"/>
                  </w:pPr>
                  <w:r>
                    <w:rPr>
                      <w:rFonts w:ascii="仿宋_GB2312" w:hAnsi="仿宋_GB2312" w:cs="仿宋_GB2312" w:eastAsia="仿宋_GB2312"/>
                      <w:sz w:val="28"/>
                      <w:b/>
                    </w:rPr>
                    <w:t>六、验收标准及要求</w:t>
                  </w:r>
                </w:p>
                <w:p>
                  <w:pPr>
                    <w:pStyle w:val="null3"/>
                    <w:ind w:firstLine="480"/>
                    <w:jc w:val="both"/>
                  </w:pPr>
                  <w:r>
                    <w:rPr>
                      <w:rFonts w:ascii="仿宋_GB2312" w:hAnsi="仿宋_GB2312" w:cs="仿宋_GB2312" w:eastAsia="仿宋_GB2312"/>
                      <w:sz w:val="24"/>
                    </w:rPr>
                    <w:t>项目服务完成后，服务成果完全符合采购人需求及合同内容，出具完整的报告，各项服务内容成果需要通过主管部门竣工验收。</w:t>
                  </w:r>
                </w:p>
              </w:tc>
            </w:tr>
          </w:tbl>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标的名称：软件测评服务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8"/>
                      <w:b/>
                    </w:rPr>
                    <w:t>一、项目概况</w:t>
                  </w:r>
                </w:p>
                <w:p>
                  <w:pPr>
                    <w:pStyle w:val="null3"/>
                    <w:spacing w:before="210"/>
                    <w:ind w:right="75" w:firstLine="480"/>
                    <w:jc w:val="both"/>
                  </w:pPr>
                  <w:r>
                    <w:rPr>
                      <w:rFonts w:ascii="仿宋_GB2312" w:hAnsi="仿宋_GB2312" w:cs="仿宋_GB2312" w:eastAsia="仿宋_GB2312"/>
                      <w:sz w:val="24"/>
                    </w:rPr>
                    <w:t>采购内容：系统第三方软件测评服务。</w:t>
                  </w:r>
                </w:p>
                <w:p>
                  <w:pPr>
                    <w:pStyle w:val="null3"/>
                    <w:spacing w:before="195"/>
                    <w:ind w:left="15"/>
                    <w:jc w:val="both"/>
                  </w:pPr>
                  <w:r>
                    <w:rPr>
                      <w:rFonts w:ascii="仿宋_GB2312" w:hAnsi="仿宋_GB2312" w:cs="仿宋_GB2312" w:eastAsia="仿宋_GB2312"/>
                      <w:sz w:val="28"/>
                      <w:b/>
                    </w:rPr>
                    <w:t>二、服务内容</w:t>
                  </w:r>
                </w:p>
                <w:p>
                  <w:pPr>
                    <w:pStyle w:val="null3"/>
                    <w:ind w:firstLine="480"/>
                    <w:jc w:val="left"/>
                  </w:pPr>
                  <w:r>
                    <w:rPr>
                      <w:rFonts w:ascii="仿宋_GB2312" w:hAnsi="仿宋_GB2312" w:cs="仿宋_GB2312" w:eastAsia="仿宋_GB2312"/>
                      <w:sz w:val="24"/>
                    </w:rPr>
                    <w:t>为客观公正评估本项目是否满足设计方案的要求，提高信息系统的质量、降低运营风险、减少后期维护成本、保障软件工程质量，现引入第三方测评机构对本项目的功能性、性能效率等质量特性进行专业测评。在系统测评过程中，第三方机构将对软件产品质量进行合理评估，对出现的系统问题，配合应用系统开发单位进行故障定位和优化。提供权威的第三方软件测试报告，对系统建设的质量把关，确保平台建设实现预期建设目标，符合设计需求，符合信息化技术的发展方向，满足业务的应用和开展。</w:t>
                  </w:r>
                </w:p>
                <w:p>
                  <w:pPr>
                    <w:pStyle w:val="null3"/>
                    <w:spacing w:before="195"/>
                    <w:ind w:left="15"/>
                    <w:jc w:val="both"/>
                  </w:pPr>
                  <w:r>
                    <w:rPr>
                      <w:rFonts w:ascii="仿宋_GB2312" w:hAnsi="仿宋_GB2312" w:cs="仿宋_GB2312" w:eastAsia="仿宋_GB2312"/>
                      <w:sz w:val="28"/>
                      <w:b/>
                    </w:rPr>
                    <w:t>三、服务周期</w:t>
                  </w:r>
                </w:p>
                <w:p>
                  <w:pPr>
                    <w:pStyle w:val="null3"/>
                    <w:ind w:firstLine="480"/>
                    <w:jc w:val="left"/>
                  </w:pPr>
                  <w:r>
                    <w:rPr>
                      <w:rFonts w:ascii="仿宋_GB2312" w:hAnsi="仿宋_GB2312" w:cs="仿宋_GB2312" w:eastAsia="仿宋_GB2312"/>
                      <w:sz w:val="24"/>
                    </w:rPr>
                    <w:t>本项目软件测评服务周期自签订合同之日起，至建设项目完成竣工验收。</w:t>
                  </w:r>
                </w:p>
                <w:p>
                  <w:pPr>
                    <w:pStyle w:val="null3"/>
                    <w:spacing w:before="195"/>
                    <w:ind w:left="15"/>
                    <w:jc w:val="both"/>
                  </w:pPr>
                  <w:r>
                    <w:rPr>
                      <w:rFonts w:ascii="仿宋_GB2312" w:hAnsi="仿宋_GB2312" w:cs="仿宋_GB2312" w:eastAsia="仿宋_GB2312"/>
                      <w:sz w:val="28"/>
                      <w:b/>
                    </w:rPr>
                    <w:t>四、服务对象</w:t>
                  </w:r>
                </w:p>
                <w:p>
                  <w:pPr>
                    <w:pStyle w:val="null3"/>
                    <w:ind w:firstLine="480"/>
                    <w:jc w:val="left"/>
                  </w:pPr>
                  <w:r>
                    <w:rPr>
                      <w:rFonts w:ascii="仿宋_GB2312" w:hAnsi="仿宋_GB2312" w:cs="仿宋_GB2312" w:eastAsia="仿宋_GB2312"/>
                      <w:sz w:val="24"/>
                    </w:rPr>
                    <w:t>完成省电子凭证会计数据标准化平台建设项目所有系统的软件测评工作，提供整改建议并协助项目承建方整改，出具测评报告。</w:t>
                  </w:r>
                </w:p>
                <w:p>
                  <w:pPr>
                    <w:pStyle w:val="null3"/>
                    <w:spacing w:before="195"/>
                    <w:ind w:left="15"/>
                    <w:jc w:val="both"/>
                  </w:pPr>
                  <w:r>
                    <w:rPr>
                      <w:rFonts w:ascii="仿宋_GB2312" w:hAnsi="仿宋_GB2312" w:cs="仿宋_GB2312" w:eastAsia="仿宋_GB2312"/>
                      <w:sz w:val="28"/>
                      <w:b/>
                    </w:rPr>
                    <w:t>五、服务要求</w:t>
                  </w:r>
                </w:p>
                <w:p>
                  <w:pPr>
                    <w:pStyle w:val="null3"/>
                    <w:ind w:firstLine="480"/>
                    <w:jc w:val="left"/>
                  </w:pPr>
                  <w:r>
                    <w:rPr>
                      <w:rFonts w:ascii="仿宋_GB2312" w:hAnsi="仿宋_GB2312" w:cs="仿宋_GB2312" w:eastAsia="仿宋_GB2312"/>
                      <w:sz w:val="24"/>
                    </w:rPr>
                    <w:t>对本项目开展软件测评服务，对出现的系统问题，配合承建方进行问题定位和优化。并在系统验收前提供权威的软件测评报告。</w:t>
                  </w:r>
                </w:p>
                <w:p>
                  <w:pPr>
                    <w:pStyle w:val="null3"/>
                    <w:ind w:firstLine="480"/>
                    <w:jc w:val="left"/>
                  </w:pPr>
                  <w:r>
                    <w:rPr>
                      <w:rFonts w:ascii="仿宋_GB2312" w:hAnsi="仿宋_GB2312" w:cs="仿宋_GB2312" w:eastAsia="仿宋_GB2312"/>
                      <w:sz w:val="24"/>
                    </w:rPr>
                    <w:t>1.测评标准及规范</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1）GB/T 25000.51:2016《系统与软件工程 系统与软件质量要求和评价(SQuaRE) 第 51 部分:就绪可用软件产品(RUSP)的质量要求和测试细则》；</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2）GB/T 25000.10:2016 《系统与软件工程 系统与软件质量要求和评价(SQuaRE) 第 10 部分:系统与软件质量模型》。</w:t>
                  </w:r>
                </w:p>
                <w:p>
                  <w:pPr>
                    <w:pStyle w:val="null3"/>
                    <w:ind w:firstLine="480"/>
                    <w:jc w:val="left"/>
                  </w:pPr>
                  <w:r>
                    <w:rPr>
                      <w:rFonts w:ascii="仿宋_GB2312" w:hAnsi="仿宋_GB2312" w:cs="仿宋_GB2312" w:eastAsia="仿宋_GB2312"/>
                      <w:sz w:val="24"/>
                    </w:rPr>
                    <w:t>2.测评内容和要求</w:t>
                  </w:r>
                </w:p>
                <w:p>
                  <w:pPr>
                    <w:pStyle w:val="null3"/>
                    <w:ind w:firstLine="480"/>
                    <w:jc w:val="left"/>
                  </w:pPr>
                  <w:r>
                    <w:rPr>
                      <w:rFonts w:ascii="仿宋_GB2312" w:hAnsi="仿宋_GB2312" w:cs="仿宋_GB2312" w:eastAsia="仿宋_GB2312"/>
                      <w:sz w:val="24"/>
                    </w:rPr>
                    <w:t>软件测评对象为本项目开发的应用软件，测评内容包括软件产品的功能性、性能效率用户文档集方面的质量特性。测评人员应以公正、科学、客观、准确的态度，严格按照</w:t>
                  </w:r>
                  <w:r>
                    <w:rPr>
                      <w:rFonts w:ascii="仿宋_GB2312" w:hAnsi="仿宋_GB2312" w:cs="仿宋_GB2312" w:eastAsia="仿宋_GB2312"/>
                      <w:sz w:val="24"/>
                    </w:rPr>
                    <w:t>GB/T 25000.51:2016《系统与软件工程 系统与软件质量要求和评价(SQuaRE) 第 51 部分:就绪可用软件产品(RUSP)的质量要求和测试细则》等国家、国际有关标准规定的检测方法，开展项目软件测评工作。在测评过程中，须及时向采购人及承建单位通报在系统中发现的问题，并于系统测评完成时向采购人提供一份详实的测评报告。如测评中发现要修正的问题，待采购人安排承建方修改完后，要进行回归测评。</w:t>
                  </w:r>
                </w:p>
                <w:p>
                  <w:pPr>
                    <w:pStyle w:val="null3"/>
                    <w:ind w:firstLine="480"/>
                    <w:jc w:val="left"/>
                  </w:pPr>
                  <w:r>
                    <w:rPr>
                      <w:rFonts w:ascii="仿宋_GB2312" w:hAnsi="仿宋_GB2312" w:cs="仿宋_GB2312" w:eastAsia="仿宋_GB2312"/>
                      <w:sz w:val="24"/>
                    </w:rPr>
                    <w:t>本次第三方软件测评服务内容包含以下方面：</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1）功能性测评</w:t>
                  </w:r>
                </w:p>
                <w:p>
                  <w:pPr>
                    <w:pStyle w:val="null3"/>
                    <w:ind w:firstLine="480"/>
                    <w:jc w:val="left"/>
                  </w:pPr>
                  <w:r>
                    <w:rPr>
                      <w:rFonts w:ascii="仿宋_GB2312" w:hAnsi="仿宋_GB2312" w:cs="仿宋_GB2312" w:eastAsia="仿宋_GB2312"/>
                      <w:sz w:val="24"/>
                    </w:rPr>
                    <w:t>功能性测评需要依据需求说明说书和平台建设的有关技术要求，结合用户对系统建设的整体功能方向，对系统涉及到的所有业务逻辑、功能逻辑、功能项等进行全覆盖的测评，及时发现软件系统中存在的问题并提出系统改进意见。</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2）性能效率测评</w:t>
                  </w:r>
                </w:p>
                <w:p>
                  <w:pPr>
                    <w:pStyle w:val="null3"/>
                    <w:ind w:firstLine="480"/>
                    <w:jc w:val="left"/>
                  </w:pPr>
                  <w:r>
                    <w:rPr>
                      <w:rFonts w:ascii="仿宋_GB2312" w:hAnsi="仿宋_GB2312" w:cs="仿宋_GB2312" w:eastAsia="仿宋_GB2312"/>
                      <w:sz w:val="24"/>
                    </w:rPr>
                    <w:t>通过站在用户体验的角度，使用专业的负载生成设备，在性能模型的基础上验证系统是否能够达到用户提出的性能指标，是否符合用户文档中对系统设计时的性能关注点。</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3）用户文档集特性测评</w:t>
                  </w:r>
                </w:p>
                <w:p>
                  <w:pPr>
                    <w:pStyle w:val="null3"/>
                    <w:ind w:firstLine="480"/>
                    <w:jc w:val="left"/>
                  </w:pPr>
                  <w:r>
                    <w:rPr>
                      <w:rFonts w:ascii="仿宋_GB2312" w:hAnsi="仿宋_GB2312" w:cs="仿宋_GB2312" w:eastAsia="仿宋_GB2312"/>
                      <w:sz w:val="24"/>
                    </w:rPr>
                    <w:t>通过用户文档集测试，对系统所属的文档集进行查缺，对单一文档是否可以正确、简明的指引用户对系统的认识、理解、维护的能力进行评价。</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4）易用性测评</w:t>
                  </w:r>
                </w:p>
                <w:p>
                  <w:pPr>
                    <w:pStyle w:val="null3"/>
                    <w:ind w:firstLine="480"/>
                    <w:jc w:val="left"/>
                  </w:pPr>
                  <w:r>
                    <w:rPr>
                      <w:rFonts w:ascii="仿宋_GB2312" w:hAnsi="仿宋_GB2312" w:cs="仿宋_GB2312" w:eastAsia="仿宋_GB2312"/>
                      <w:sz w:val="24"/>
                    </w:rPr>
                    <w:t>①软件系统各项功能应不仅需要明显且正确的显示，确保用户能够准确定位功能，同时还应对于一些特定任务要求的功能，数据应提供响应的提示信息，确保用户能够正确理解。</w:t>
                  </w:r>
                </w:p>
                <w:p>
                  <w:pPr>
                    <w:pStyle w:val="null3"/>
                    <w:ind w:firstLine="480"/>
                    <w:jc w:val="left"/>
                  </w:pPr>
                  <w:r>
                    <w:rPr>
                      <w:rFonts w:ascii="仿宋_GB2312" w:hAnsi="仿宋_GB2312" w:cs="仿宋_GB2312" w:eastAsia="仿宋_GB2312"/>
                      <w:sz w:val="24"/>
                    </w:rPr>
                    <w:t>②易学性方面，除了提供配套的使用手册或文档，以便用户能够查阅并学习系统的使用以外，系统自身还应为用户提供相应的在线帮助功能，达到边用边学的效果。</w:t>
                  </w:r>
                </w:p>
                <w:p>
                  <w:pPr>
                    <w:pStyle w:val="null3"/>
                    <w:ind w:firstLine="480"/>
                    <w:jc w:val="left"/>
                  </w:pPr>
                  <w:r>
                    <w:rPr>
                      <w:rFonts w:ascii="仿宋_GB2312" w:hAnsi="仿宋_GB2312" w:cs="仿宋_GB2312" w:eastAsia="仿宋_GB2312"/>
                      <w:sz w:val="24"/>
                    </w:rPr>
                    <w:t>③对于易操作性相关要求，则应便于用户清楚功能的操作与数据的输入，便于用户快速进行功能的操作与数据的输入，便于用户理解当前的操作状态或结果。</w:t>
                  </w:r>
                </w:p>
                <w:p>
                  <w:pPr>
                    <w:pStyle w:val="null3"/>
                    <w:ind w:firstLine="480"/>
                    <w:jc w:val="left"/>
                  </w:pPr>
                  <w:r>
                    <w:rPr>
                      <w:rFonts w:ascii="仿宋_GB2312" w:hAnsi="仿宋_GB2312" w:cs="仿宋_GB2312" w:eastAsia="仿宋_GB2312"/>
                      <w:sz w:val="24"/>
                    </w:rPr>
                    <w:t>④最需要关注的是系统吸引用户的能力，那么系统应采用统一的界面、统一的菜单、标题、统一的图标和按钮，以及美观的输入框。</w:t>
                  </w:r>
                </w:p>
                <w:p>
                  <w:pPr>
                    <w:pStyle w:val="null3"/>
                    <w:ind w:firstLine="480"/>
                    <w:jc w:val="left"/>
                  </w:pPr>
                  <w:r>
                    <w:rPr>
                      <w:rFonts w:ascii="仿宋_GB2312" w:hAnsi="仿宋_GB2312" w:cs="仿宋_GB2312" w:eastAsia="仿宋_GB2312"/>
                      <w:sz w:val="24"/>
                    </w:rPr>
                    <w:t>3.技术方案</w:t>
                  </w:r>
                </w:p>
                <w:p>
                  <w:pPr>
                    <w:pStyle w:val="null3"/>
                    <w:ind w:firstLine="480"/>
                    <w:jc w:val="left"/>
                  </w:pPr>
                  <w:r>
                    <w:rPr>
                      <w:rFonts w:ascii="仿宋_GB2312" w:hAnsi="仿宋_GB2312" w:cs="仿宋_GB2312" w:eastAsia="仿宋_GB2312"/>
                      <w:sz w:val="24"/>
                    </w:rPr>
                    <w:t>供应商应针对测试范围和测试内容进行分析，制定完整的测试方案，包括但不限于测试策略、测试方法、测试环境等内容。</w:t>
                  </w:r>
                </w:p>
                <w:p>
                  <w:pPr>
                    <w:pStyle w:val="null3"/>
                    <w:ind w:firstLine="480"/>
                    <w:jc w:val="left"/>
                  </w:pPr>
                  <w:r>
                    <w:rPr>
                      <w:rFonts w:ascii="仿宋_GB2312" w:hAnsi="仿宋_GB2312" w:cs="仿宋_GB2312" w:eastAsia="仿宋_GB2312"/>
                      <w:sz w:val="24"/>
                    </w:rPr>
                    <w:t>4.项目实施要求</w:t>
                  </w:r>
                </w:p>
                <w:p>
                  <w:pPr>
                    <w:pStyle w:val="null3"/>
                    <w:ind w:firstLine="480"/>
                    <w:jc w:val="left"/>
                  </w:pPr>
                  <w:r>
                    <w:rPr>
                      <w:rFonts w:ascii="仿宋_GB2312" w:hAnsi="仿宋_GB2312" w:cs="仿宋_GB2312" w:eastAsia="仿宋_GB2312"/>
                      <w:sz w:val="24"/>
                    </w:rPr>
                    <w:t>供应商应针对本项目制定完整的实施方案，包括但不限于进度安排、人力资源计划、质量保证、风险管理、沟通管理等内容。</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1）资源配置</w:t>
                  </w:r>
                </w:p>
                <w:p>
                  <w:pPr>
                    <w:pStyle w:val="null3"/>
                    <w:ind w:firstLine="480"/>
                    <w:jc w:val="left"/>
                  </w:pPr>
                  <w:r>
                    <w:rPr>
                      <w:rFonts w:ascii="仿宋_GB2312" w:hAnsi="仿宋_GB2312" w:cs="仿宋_GB2312" w:eastAsia="仿宋_GB2312"/>
                      <w:sz w:val="24"/>
                    </w:rPr>
                    <w:t>供应商须在其响应文件中清晰陈述对于该项目实施过程中的资源配置情况。包括：</w:t>
                  </w:r>
                </w:p>
                <w:p>
                  <w:pPr>
                    <w:pStyle w:val="null3"/>
                    <w:ind w:firstLine="480"/>
                    <w:jc w:val="left"/>
                  </w:pPr>
                  <w:r>
                    <w:rPr>
                      <w:rFonts w:ascii="仿宋_GB2312" w:hAnsi="仿宋_GB2312" w:cs="仿宋_GB2312" w:eastAsia="仿宋_GB2312"/>
                      <w:sz w:val="24"/>
                    </w:rPr>
                    <w:t>项目的组织结构与职责分工</w:t>
                  </w:r>
                </w:p>
                <w:p>
                  <w:pPr>
                    <w:pStyle w:val="null3"/>
                    <w:ind w:firstLine="480"/>
                    <w:jc w:val="left"/>
                  </w:pPr>
                  <w:r>
                    <w:rPr>
                      <w:rFonts w:ascii="仿宋_GB2312" w:hAnsi="仿宋_GB2312" w:cs="仿宋_GB2312" w:eastAsia="仿宋_GB2312"/>
                      <w:sz w:val="24"/>
                    </w:rPr>
                    <w:t>项目组配备人员的能力与资质</w:t>
                  </w:r>
                </w:p>
                <w:p>
                  <w:pPr>
                    <w:pStyle w:val="null3"/>
                    <w:ind w:firstLine="480"/>
                    <w:jc w:val="left"/>
                  </w:pPr>
                  <w:r>
                    <w:rPr>
                      <w:rFonts w:ascii="仿宋_GB2312" w:hAnsi="仿宋_GB2312" w:cs="仿宋_GB2312" w:eastAsia="仿宋_GB2312"/>
                      <w:sz w:val="24"/>
                    </w:rPr>
                    <w:t>测试环境构建方案</w:t>
                  </w:r>
                </w:p>
                <w:p>
                  <w:pPr>
                    <w:pStyle w:val="null3"/>
                    <w:ind w:firstLine="480"/>
                    <w:jc w:val="left"/>
                  </w:pPr>
                  <w:r>
                    <w:rPr>
                      <w:rFonts w:ascii="仿宋_GB2312" w:hAnsi="仿宋_GB2312" w:cs="仿宋_GB2312" w:eastAsia="仿宋_GB2312"/>
                      <w:sz w:val="24"/>
                    </w:rPr>
                    <w:t>测试工具说明</w:t>
                  </w:r>
                </w:p>
                <w:p>
                  <w:pPr>
                    <w:pStyle w:val="null3"/>
                    <w:ind w:firstLine="480"/>
                    <w:jc w:val="left"/>
                  </w:pPr>
                  <w:r>
                    <w:rPr>
                      <w:rFonts w:ascii="仿宋_GB2312" w:hAnsi="仿宋_GB2312" w:cs="仿宋_GB2312" w:eastAsia="仿宋_GB2312"/>
                      <w:sz w:val="24"/>
                    </w:rPr>
                    <w:t>供应商应在其技术方案中陈述拟安排的资源和可用性保障条件，明确拟投入项目人员的专业背景、项目实践经验、资质及技术能力说明、人员可用性保障说明、测试环境、测试工具可用性保障说明。根据测试的实际需要考虑现场测试，差旅费包含在整体报价中。性能效率测试应采用业界主流的测试工具进行测试，由供应商提供，如果出现知识产权问题，责任归供应商。</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2）工作流程</w:t>
                  </w:r>
                </w:p>
                <w:p>
                  <w:pPr>
                    <w:pStyle w:val="null3"/>
                    <w:ind w:firstLine="480"/>
                    <w:jc w:val="left"/>
                  </w:pPr>
                  <w:r>
                    <w:rPr>
                      <w:rFonts w:ascii="仿宋_GB2312" w:hAnsi="仿宋_GB2312" w:cs="仿宋_GB2312" w:eastAsia="仿宋_GB2312"/>
                      <w:sz w:val="24"/>
                    </w:rPr>
                    <w:t>供应商的技术方案中须清晰描述其如何安排项目实施的工作流程，包含但不限于以下环节：</w:t>
                  </w:r>
                </w:p>
                <w:p>
                  <w:pPr>
                    <w:pStyle w:val="null3"/>
                    <w:ind w:firstLine="480"/>
                    <w:jc w:val="left"/>
                  </w:pPr>
                  <w:r>
                    <w:rPr>
                      <w:rFonts w:ascii="仿宋_GB2312" w:hAnsi="仿宋_GB2312" w:cs="仿宋_GB2312" w:eastAsia="仿宋_GB2312"/>
                      <w:sz w:val="24"/>
                    </w:rPr>
                    <w:t>测试调研：对被测系统进行调研，熟悉测试需求。</w:t>
                  </w:r>
                </w:p>
                <w:p>
                  <w:pPr>
                    <w:pStyle w:val="null3"/>
                    <w:ind w:firstLine="480"/>
                    <w:jc w:val="left"/>
                  </w:pPr>
                  <w:r>
                    <w:rPr>
                      <w:rFonts w:ascii="仿宋_GB2312" w:hAnsi="仿宋_GB2312" w:cs="仿宋_GB2312" w:eastAsia="仿宋_GB2312"/>
                      <w:sz w:val="24"/>
                    </w:rPr>
                    <w:t>测试准备：测试计划、测评方案、测试用例集等的编制和准备。</w:t>
                  </w:r>
                </w:p>
                <w:p>
                  <w:pPr>
                    <w:pStyle w:val="null3"/>
                    <w:ind w:firstLine="480"/>
                    <w:jc w:val="left"/>
                  </w:pPr>
                  <w:r>
                    <w:rPr>
                      <w:rFonts w:ascii="仿宋_GB2312" w:hAnsi="仿宋_GB2312" w:cs="仿宋_GB2312" w:eastAsia="仿宋_GB2312"/>
                      <w:sz w:val="24"/>
                    </w:rPr>
                    <w:t>测试执行：完成实施方案中要求的所有内容，并填写详细测试记录。</w:t>
                  </w:r>
                </w:p>
                <w:p>
                  <w:pPr>
                    <w:pStyle w:val="null3"/>
                    <w:ind w:firstLine="480"/>
                    <w:jc w:val="left"/>
                  </w:pPr>
                  <w:r>
                    <w:rPr>
                      <w:rFonts w:ascii="仿宋_GB2312" w:hAnsi="仿宋_GB2312" w:cs="仿宋_GB2312" w:eastAsia="仿宋_GB2312"/>
                      <w:sz w:val="24"/>
                    </w:rPr>
                    <w:t>测试问题报告提交：提交完整的问题报告。</w:t>
                  </w:r>
                </w:p>
                <w:p>
                  <w:pPr>
                    <w:pStyle w:val="null3"/>
                    <w:ind w:firstLine="480"/>
                    <w:jc w:val="left"/>
                  </w:pPr>
                  <w:r>
                    <w:rPr>
                      <w:rFonts w:ascii="仿宋_GB2312" w:hAnsi="仿宋_GB2312" w:cs="仿宋_GB2312" w:eastAsia="仿宋_GB2312"/>
                      <w:sz w:val="24"/>
                    </w:rPr>
                    <w:t>回归测试：对测试中发现的问题及影响范围进行回归测试。</w:t>
                  </w:r>
                </w:p>
                <w:p>
                  <w:pPr>
                    <w:pStyle w:val="null3"/>
                    <w:ind w:firstLine="480"/>
                    <w:jc w:val="left"/>
                  </w:pPr>
                  <w:r>
                    <w:rPr>
                      <w:rFonts w:ascii="仿宋_GB2312" w:hAnsi="仿宋_GB2312" w:cs="仿宋_GB2312" w:eastAsia="仿宋_GB2312"/>
                      <w:sz w:val="24"/>
                    </w:rPr>
                    <w:t>测试报告提交：提交正式验收测试报告。</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3）质量控制和保障</w:t>
                  </w:r>
                </w:p>
                <w:p>
                  <w:pPr>
                    <w:pStyle w:val="null3"/>
                    <w:ind w:firstLine="480"/>
                    <w:jc w:val="left"/>
                  </w:pPr>
                  <w:r>
                    <w:rPr>
                      <w:rFonts w:ascii="仿宋_GB2312" w:hAnsi="仿宋_GB2312" w:cs="仿宋_GB2312" w:eastAsia="仿宋_GB2312"/>
                      <w:sz w:val="24"/>
                    </w:rPr>
                    <w:t>供应商技术方案中须清晰陈述其对项目实施质量控制和质量保障的方法、控制的目标、内容与流程、项目沟通制度、对于变更的管理等。</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4）项目风险管理</w:t>
                  </w:r>
                </w:p>
                <w:p>
                  <w:pPr>
                    <w:pStyle w:val="null3"/>
                    <w:ind w:firstLine="480"/>
                    <w:jc w:val="left"/>
                  </w:pPr>
                  <w:r>
                    <w:rPr>
                      <w:rFonts w:ascii="仿宋_GB2312" w:hAnsi="仿宋_GB2312" w:cs="仿宋_GB2312" w:eastAsia="仿宋_GB2312"/>
                      <w:sz w:val="24"/>
                    </w:rPr>
                    <w:t>供应商技术方案中须清晰陈述其对项目实施风险管理的方法、以及对项目实施的风险评估和对策，充分考虑项目实施过程风险控制，对可能出现的各种情况有应急预案。</w:t>
                  </w:r>
                </w:p>
                <w:p>
                  <w:pPr>
                    <w:pStyle w:val="null3"/>
                    <w:ind w:firstLine="480"/>
                    <w:jc w:val="left"/>
                  </w:pPr>
                  <w:r>
                    <w:rPr>
                      <w:rFonts w:ascii="仿宋_GB2312" w:hAnsi="仿宋_GB2312" w:cs="仿宋_GB2312" w:eastAsia="仿宋_GB2312"/>
                      <w:sz w:val="24"/>
                    </w:rPr>
                    <w:t>5.服务保密要求</w:t>
                  </w:r>
                </w:p>
                <w:p>
                  <w:pPr>
                    <w:pStyle w:val="null3"/>
                    <w:ind w:firstLine="480"/>
                    <w:jc w:val="left"/>
                  </w:pPr>
                  <w:r>
                    <w:rPr>
                      <w:rFonts w:ascii="仿宋_GB2312" w:hAnsi="仿宋_GB2312" w:cs="仿宋_GB2312" w:eastAsia="仿宋_GB2312"/>
                      <w:sz w:val="24"/>
                    </w:rPr>
                    <w:t>供应商的服务人员均应与采购人签订保密协议。在执行服务过程中应严格按照保密协议相关要求执行。</w:t>
                  </w:r>
                </w:p>
                <w:p>
                  <w:pPr>
                    <w:pStyle w:val="null3"/>
                    <w:spacing w:before="195"/>
                    <w:ind w:left="15"/>
                    <w:jc w:val="both"/>
                  </w:pPr>
                  <w:r>
                    <w:rPr>
                      <w:rFonts w:ascii="仿宋_GB2312" w:hAnsi="仿宋_GB2312" w:cs="仿宋_GB2312" w:eastAsia="仿宋_GB2312"/>
                      <w:sz w:val="19"/>
                    </w:rPr>
                    <w:t xml:space="preserve"> </w:t>
                  </w:r>
                </w:p>
                <w:p>
                  <w:pPr>
                    <w:pStyle w:val="null3"/>
                    <w:spacing w:before="195"/>
                    <w:ind w:left="15"/>
                    <w:jc w:val="both"/>
                  </w:pPr>
                  <w:r>
                    <w:rPr>
                      <w:rFonts w:ascii="仿宋_GB2312" w:hAnsi="仿宋_GB2312" w:cs="仿宋_GB2312" w:eastAsia="仿宋_GB2312"/>
                      <w:sz w:val="28"/>
                      <w:b/>
                    </w:rPr>
                    <w:t>六、验收标准及要求</w:t>
                  </w:r>
                </w:p>
                <w:p>
                  <w:pPr>
                    <w:pStyle w:val="null3"/>
                    <w:ind w:firstLine="480"/>
                    <w:jc w:val="both"/>
                  </w:pPr>
                  <w:r>
                    <w:rPr>
                      <w:rFonts w:ascii="仿宋_GB2312" w:hAnsi="仿宋_GB2312" w:cs="仿宋_GB2312" w:eastAsia="仿宋_GB2312"/>
                      <w:sz w:val="24"/>
                    </w:rPr>
                    <w:t>项目服务完成后，服务成果完全符合采购人需求及合同内容，出具完整的第三方测评报告，项目成果最终通过采购人组织验收。</w:t>
                  </w:r>
                </w:p>
              </w:tc>
            </w:tr>
          </w:tbl>
          <w:p/>
        </w:tc>
      </w:tr>
    </w:tbl>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标的名称：商用密码应用安全性评估服务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95"/>
                    <w:ind w:left="15"/>
                    <w:jc w:val="both"/>
                  </w:pPr>
                  <w:r>
                    <w:rPr>
                      <w:rFonts w:ascii="仿宋_GB2312" w:hAnsi="仿宋_GB2312" w:cs="仿宋_GB2312" w:eastAsia="仿宋_GB2312"/>
                      <w:sz w:val="28"/>
                      <w:b/>
                    </w:rPr>
                    <w:t>一、项目概述</w:t>
                  </w:r>
                </w:p>
                <w:p>
                  <w:pPr>
                    <w:pStyle w:val="null3"/>
                    <w:spacing w:before="210"/>
                    <w:ind w:right="75" w:firstLine="480"/>
                    <w:jc w:val="both"/>
                  </w:pPr>
                  <w:r>
                    <w:rPr>
                      <w:rFonts w:ascii="仿宋_GB2312" w:hAnsi="仿宋_GB2312" w:cs="仿宋_GB2312" w:eastAsia="仿宋_GB2312"/>
                      <w:sz w:val="24"/>
                    </w:rPr>
                    <w:t>采购内容：商用密码应用安全性评估服务。</w:t>
                  </w:r>
                </w:p>
                <w:p>
                  <w:pPr>
                    <w:pStyle w:val="null3"/>
                    <w:spacing w:before="195"/>
                    <w:ind w:left="15"/>
                    <w:jc w:val="both"/>
                  </w:pPr>
                  <w:r>
                    <w:rPr>
                      <w:rFonts w:ascii="仿宋_GB2312" w:hAnsi="仿宋_GB2312" w:cs="仿宋_GB2312" w:eastAsia="仿宋_GB2312"/>
                      <w:sz w:val="28"/>
                      <w:b/>
                    </w:rPr>
                    <w:t>二、服务内容</w:t>
                  </w:r>
                </w:p>
                <w:p>
                  <w:pPr>
                    <w:pStyle w:val="null3"/>
                    <w:spacing w:before="210"/>
                    <w:ind w:right="75" w:firstLine="480"/>
                    <w:jc w:val="both"/>
                  </w:pPr>
                  <w:r>
                    <w:rPr>
                      <w:rFonts w:ascii="仿宋_GB2312" w:hAnsi="仿宋_GB2312" w:cs="仿宋_GB2312" w:eastAsia="仿宋_GB2312"/>
                      <w:sz w:val="24"/>
                    </w:rPr>
                    <w:t>密码技术作为网络与信息安全保障的核心技术和基础支撑，在维护国家安全、促进经济社会发展、保护人民群众利益中发挥着不可替代的重要作用。为了保障电子凭证汇聚系统信息系统安全稳定运行，通过合理的采用密码技术及其产品，从物理和环境、网络和通信、设备和计算、应用和数据、管理制度等方面进行密码应用设计，构建安全可控的密码支撑系统，项目建成后应符合</w:t>
                  </w:r>
                  <w:r>
                    <w:rPr>
                      <w:rFonts w:ascii="仿宋_GB2312" w:hAnsi="仿宋_GB2312" w:cs="仿宋_GB2312" w:eastAsia="仿宋_GB2312"/>
                      <w:sz w:val="24"/>
                    </w:rPr>
                    <w:t>GB/T39786-2021《信息安全技术 信息系统密码应用基本要求》第三级密码应用要求。需要对省电子凭证会计数据标准化平台建设项目中的电子凭证汇聚系统开展密码应用安全性评估服务（三级）。</w:t>
                  </w:r>
                </w:p>
                <w:p>
                  <w:pPr>
                    <w:pStyle w:val="null3"/>
                    <w:spacing w:before="195"/>
                    <w:ind w:left="15"/>
                    <w:jc w:val="both"/>
                  </w:pPr>
                  <w:r>
                    <w:rPr>
                      <w:rFonts w:ascii="仿宋_GB2312" w:hAnsi="仿宋_GB2312" w:cs="仿宋_GB2312" w:eastAsia="仿宋_GB2312"/>
                      <w:sz w:val="28"/>
                      <w:b/>
                    </w:rPr>
                    <w:t>三、服务周期</w:t>
                  </w:r>
                </w:p>
                <w:p>
                  <w:pPr>
                    <w:pStyle w:val="null3"/>
                    <w:ind w:firstLine="480"/>
                    <w:jc w:val="left"/>
                  </w:pPr>
                  <w:r>
                    <w:rPr>
                      <w:rFonts w:ascii="仿宋_GB2312" w:hAnsi="仿宋_GB2312" w:cs="仿宋_GB2312" w:eastAsia="仿宋_GB2312"/>
                      <w:sz w:val="24"/>
                    </w:rPr>
                    <w:t>本项目软件测评服务周期自签订合同之日起，至建设项目完成竣工验收。</w:t>
                  </w:r>
                </w:p>
                <w:p>
                  <w:pPr>
                    <w:pStyle w:val="null3"/>
                    <w:spacing w:before="195"/>
                    <w:ind w:left="15"/>
                    <w:jc w:val="both"/>
                  </w:pPr>
                  <w:r>
                    <w:rPr>
                      <w:rFonts w:ascii="仿宋_GB2312" w:hAnsi="仿宋_GB2312" w:cs="仿宋_GB2312" w:eastAsia="仿宋_GB2312"/>
                      <w:sz w:val="28"/>
                      <w:b/>
                    </w:rPr>
                    <w:t>四、服务对象</w:t>
                  </w:r>
                </w:p>
                <w:p>
                  <w:pPr>
                    <w:pStyle w:val="null3"/>
                    <w:spacing w:before="210"/>
                    <w:ind w:right="75" w:firstLine="480"/>
                    <w:jc w:val="both"/>
                  </w:pPr>
                  <w:r>
                    <w:rPr>
                      <w:rFonts w:ascii="仿宋_GB2312" w:hAnsi="仿宋_GB2312" w:cs="仿宋_GB2312" w:eastAsia="仿宋_GB2312"/>
                      <w:sz w:val="24"/>
                    </w:rPr>
                    <w:t>需要对省电子凭证会计数据标准化平台建设项目中的电子凭证汇聚系统开展密码应用安全性评估服务（三级）。</w:t>
                  </w:r>
                </w:p>
                <w:p>
                  <w:pPr>
                    <w:pStyle w:val="null3"/>
                    <w:spacing w:before="195"/>
                    <w:ind w:left="15"/>
                    <w:jc w:val="both"/>
                  </w:pPr>
                  <w:r>
                    <w:rPr>
                      <w:rFonts w:ascii="仿宋_GB2312" w:hAnsi="仿宋_GB2312" w:cs="仿宋_GB2312" w:eastAsia="仿宋_GB2312"/>
                      <w:sz w:val="28"/>
                      <w:b/>
                    </w:rPr>
                    <w:t>五、服务要求</w:t>
                  </w:r>
                </w:p>
                <w:p>
                  <w:pPr>
                    <w:pStyle w:val="null3"/>
                    <w:ind w:firstLine="482"/>
                    <w:jc w:val="both"/>
                  </w:pPr>
                  <w:r>
                    <w:rPr>
                      <w:rFonts w:ascii="仿宋_GB2312" w:hAnsi="仿宋_GB2312" w:cs="仿宋_GB2312" w:eastAsia="仿宋_GB2312"/>
                      <w:sz w:val="24"/>
                      <w:b/>
                    </w:rPr>
                    <w:t>（一）服务标准及依据</w:t>
                  </w:r>
                </w:p>
                <w:p>
                  <w:pPr>
                    <w:pStyle w:val="null3"/>
                    <w:ind w:firstLine="482"/>
                    <w:jc w:val="both"/>
                  </w:pPr>
                  <w:r>
                    <w:rPr>
                      <w:rFonts w:ascii="仿宋_GB2312" w:hAnsi="仿宋_GB2312" w:cs="仿宋_GB2312" w:eastAsia="仿宋_GB2312"/>
                      <w:sz w:val="24"/>
                    </w:rPr>
                    <w:t>供应商在开展项目服务工作时，为保障项目测评服务质量及规范性要求，需按以下标准、要求执行：</w:t>
                  </w:r>
                </w:p>
                <w:p>
                  <w:pPr>
                    <w:pStyle w:val="null3"/>
                    <w:ind w:firstLine="482"/>
                    <w:jc w:val="both"/>
                  </w:pPr>
                  <w:r>
                    <w:rPr>
                      <w:rFonts w:ascii="仿宋_GB2312" w:hAnsi="仿宋_GB2312" w:cs="仿宋_GB2312" w:eastAsia="仿宋_GB2312"/>
                      <w:sz w:val="24"/>
                    </w:rPr>
                    <w:t>《</w:t>
                  </w:r>
                  <w:r>
                    <w:rPr>
                      <w:rFonts w:ascii="仿宋_GB2312" w:hAnsi="仿宋_GB2312" w:cs="仿宋_GB2312" w:eastAsia="仿宋_GB2312"/>
                      <w:sz w:val="24"/>
                    </w:rPr>
                    <w:t>GB/T 39786-2021 信息安全技术 信息系统密码应用基本要求》；</w:t>
                  </w:r>
                </w:p>
                <w:p>
                  <w:pPr>
                    <w:pStyle w:val="null3"/>
                    <w:ind w:firstLine="482"/>
                    <w:jc w:val="both"/>
                  </w:pPr>
                  <w:r>
                    <w:rPr>
                      <w:rFonts w:ascii="仿宋_GB2312" w:hAnsi="仿宋_GB2312" w:cs="仿宋_GB2312" w:eastAsia="仿宋_GB2312"/>
                      <w:sz w:val="24"/>
                    </w:rPr>
                    <w:t>《信息系统密码应用测评要求》；</w:t>
                  </w:r>
                </w:p>
                <w:p>
                  <w:pPr>
                    <w:pStyle w:val="null3"/>
                    <w:ind w:firstLine="482"/>
                    <w:jc w:val="both"/>
                  </w:pPr>
                  <w:r>
                    <w:rPr>
                      <w:rFonts w:ascii="仿宋_GB2312" w:hAnsi="仿宋_GB2312" w:cs="仿宋_GB2312" w:eastAsia="仿宋_GB2312"/>
                      <w:sz w:val="24"/>
                    </w:rPr>
                    <w:t>《信息系统密码应用测评过程指南》；</w:t>
                  </w:r>
                </w:p>
                <w:p>
                  <w:pPr>
                    <w:pStyle w:val="null3"/>
                    <w:ind w:firstLine="482"/>
                    <w:jc w:val="both"/>
                  </w:pPr>
                  <w:r>
                    <w:rPr>
                      <w:rFonts w:ascii="仿宋_GB2312" w:hAnsi="仿宋_GB2312" w:cs="仿宋_GB2312" w:eastAsia="仿宋_GB2312"/>
                      <w:sz w:val="24"/>
                    </w:rPr>
                    <w:t>《</w:t>
                  </w:r>
                  <w:r>
                    <w:rPr>
                      <w:rFonts w:ascii="仿宋_GB2312" w:hAnsi="仿宋_GB2312" w:cs="仿宋_GB2312" w:eastAsia="仿宋_GB2312"/>
                      <w:sz w:val="24"/>
                    </w:rPr>
                    <w:t>GM/T 0001 祖冲之序列密码算法》；</w:t>
                  </w:r>
                </w:p>
                <w:p>
                  <w:pPr>
                    <w:pStyle w:val="null3"/>
                    <w:ind w:firstLine="482"/>
                    <w:jc w:val="both"/>
                  </w:pPr>
                  <w:r>
                    <w:rPr>
                      <w:rFonts w:ascii="仿宋_GB2312" w:hAnsi="仿宋_GB2312" w:cs="仿宋_GB2312" w:eastAsia="仿宋_GB2312"/>
                      <w:sz w:val="24"/>
                    </w:rPr>
                    <w:t>《</w:t>
                  </w:r>
                  <w:r>
                    <w:rPr>
                      <w:rFonts w:ascii="仿宋_GB2312" w:hAnsi="仿宋_GB2312" w:cs="仿宋_GB2312" w:eastAsia="仿宋_GB2312"/>
                      <w:sz w:val="24"/>
                    </w:rPr>
                    <w:t>GM/T 0002 SM4分组密码算法》；</w:t>
                  </w:r>
                </w:p>
                <w:p>
                  <w:pPr>
                    <w:pStyle w:val="null3"/>
                    <w:ind w:firstLine="482"/>
                    <w:jc w:val="both"/>
                  </w:pPr>
                  <w:r>
                    <w:rPr>
                      <w:rFonts w:ascii="仿宋_GB2312" w:hAnsi="仿宋_GB2312" w:cs="仿宋_GB2312" w:eastAsia="仿宋_GB2312"/>
                      <w:sz w:val="24"/>
                    </w:rPr>
                    <w:t>《</w:t>
                  </w:r>
                  <w:r>
                    <w:rPr>
                      <w:rFonts w:ascii="仿宋_GB2312" w:hAnsi="仿宋_GB2312" w:cs="仿宋_GB2312" w:eastAsia="仿宋_GB2312"/>
                      <w:sz w:val="24"/>
                    </w:rPr>
                    <w:t>GM/T 0003 SM2 椭圆曲线公钥密码算法》；</w:t>
                  </w:r>
                </w:p>
                <w:p>
                  <w:pPr>
                    <w:pStyle w:val="null3"/>
                    <w:ind w:firstLine="482"/>
                    <w:jc w:val="both"/>
                  </w:pPr>
                  <w:r>
                    <w:rPr>
                      <w:rFonts w:ascii="仿宋_GB2312" w:hAnsi="仿宋_GB2312" w:cs="仿宋_GB2312" w:eastAsia="仿宋_GB2312"/>
                      <w:sz w:val="24"/>
                    </w:rPr>
                    <w:t>《</w:t>
                  </w:r>
                  <w:r>
                    <w:rPr>
                      <w:rFonts w:ascii="仿宋_GB2312" w:hAnsi="仿宋_GB2312" w:cs="仿宋_GB2312" w:eastAsia="仿宋_GB2312"/>
                      <w:sz w:val="24"/>
                    </w:rPr>
                    <w:t>GM/T 0004 SM3 密码杂凑算法》；</w:t>
                  </w:r>
                </w:p>
                <w:p>
                  <w:pPr>
                    <w:pStyle w:val="null3"/>
                    <w:ind w:firstLine="482"/>
                    <w:jc w:val="both"/>
                  </w:pPr>
                  <w:r>
                    <w:rPr>
                      <w:rFonts w:ascii="仿宋_GB2312" w:hAnsi="仿宋_GB2312" w:cs="仿宋_GB2312" w:eastAsia="仿宋_GB2312"/>
                      <w:sz w:val="24"/>
                    </w:rPr>
                    <w:t>《</w:t>
                  </w:r>
                  <w:r>
                    <w:rPr>
                      <w:rFonts w:ascii="仿宋_GB2312" w:hAnsi="仿宋_GB2312" w:cs="仿宋_GB2312" w:eastAsia="仿宋_GB2312"/>
                      <w:sz w:val="24"/>
                    </w:rPr>
                    <w:t>GM/T 0054 信息系统密码应用基本要求 》；</w:t>
                  </w:r>
                </w:p>
                <w:p>
                  <w:pPr>
                    <w:pStyle w:val="null3"/>
                    <w:ind w:firstLine="482"/>
                    <w:jc w:val="both"/>
                  </w:pPr>
                  <w:r>
                    <w:rPr>
                      <w:rFonts w:ascii="仿宋_GB2312" w:hAnsi="仿宋_GB2312" w:cs="仿宋_GB2312" w:eastAsia="仿宋_GB2312"/>
                      <w:sz w:val="24"/>
                    </w:rPr>
                    <w:t>《</w:t>
                  </w:r>
                  <w:r>
                    <w:rPr>
                      <w:rFonts w:ascii="仿宋_GB2312" w:hAnsi="仿宋_GB2312" w:cs="仿宋_GB2312" w:eastAsia="仿宋_GB2312"/>
                      <w:sz w:val="24"/>
                    </w:rPr>
                    <w:t>GM/T 0018 密码设备应用接口规范》；</w:t>
                  </w:r>
                </w:p>
                <w:p>
                  <w:pPr>
                    <w:pStyle w:val="null3"/>
                    <w:ind w:firstLine="482"/>
                    <w:jc w:val="both"/>
                  </w:pPr>
                  <w:r>
                    <w:rPr>
                      <w:rFonts w:ascii="仿宋_GB2312" w:hAnsi="仿宋_GB2312" w:cs="仿宋_GB2312" w:eastAsia="仿宋_GB2312"/>
                      <w:sz w:val="24"/>
                    </w:rPr>
                    <w:t>《</w:t>
                  </w:r>
                  <w:r>
                    <w:rPr>
                      <w:rFonts w:ascii="仿宋_GB2312" w:hAnsi="仿宋_GB2312" w:cs="仿宋_GB2312" w:eastAsia="仿宋_GB2312"/>
                      <w:sz w:val="24"/>
                    </w:rPr>
                    <w:t>GM/Z 0001 密码术语》；</w:t>
                  </w:r>
                </w:p>
                <w:p>
                  <w:pPr>
                    <w:pStyle w:val="null3"/>
                    <w:ind w:firstLine="482"/>
                    <w:jc w:val="both"/>
                  </w:pPr>
                  <w:r>
                    <w:rPr>
                      <w:rFonts w:ascii="仿宋_GB2312" w:hAnsi="仿宋_GB2312" w:cs="仿宋_GB2312" w:eastAsia="仿宋_GB2312"/>
                      <w:sz w:val="24"/>
                    </w:rPr>
                    <w:t>《</w:t>
                  </w:r>
                  <w:r>
                    <w:rPr>
                      <w:rFonts w:ascii="仿宋_GB2312" w:hAnsi="仿宋_GB2312" w:cs="仿宋_GB2312" w:eastAsia="仿宋_GB2312"/>
                      <w:sz w:val="24"/>
                    </w:rPr>
                    <w:t>GM/T 0022 IPSEC VPN 技术规范》；</w:t>
                  </w:r>
                </w:p>
                <w:p>
                  <w:pPr>
                    <w:pStyle w:val="null3"/>
                    <w:ind w:firstLine="482"/>
                    <w:jc w:val="both"/>
                  </w:pPr>
                  <w:r>
                    <w:rPr>
                      <w:rFonts w:ascii="仿宋_GB2312" w:hAnsi="仿宋_GB2312" w:cs="仿宋_GB2312" w:eastAsia="仿宋_GB2312"/>
                      <w:sz w:val="24"/>
                    </w:rPr>
                    <w:t>《</w:t>
                  </w:r>
                  <w:r>
                    <w:rPr>
                      <w:rFonts w:ascii="仿宋_GB2312" w:hAnsi="仿宋_GB2312" w:cs="仿宋_GB2312" w:eastAsia="仿宋_GB2312"/>
                      <w:sz w:val="24"/>
                    </w:rPr>
                    <w:t>GM/T 0024 SSL VPN 技术规范》；</w:t>
                  </w:r>
                </w:p>
                <w:p>
                  <w:pPr>
                    <w:pStyle w:val="null3"/>
                    <w:ind w:firstLine="482"/>
                    <w:jc w:val="both"/>
                  </w:pPr>
                  <w:r>
                    <w:rPr>
                      <w:rFonts w:ascii="仿宋_GB2312" w:hAnsi="仿宋_GB2312" w:cs="仿宋_GB2312" w:eastAsia="仿宋_GB2312"/>
                      <w:sz w:val="24"/>
                    </w:rPr>
                    <w:t>《</w:t>
                  </w:r>
                  <w:r>
                    <w:rPr>
                      <w:rFonts w:ascii="仿宋_GB2312" w:hAnsi="仿宋_GB2312" w:cs="仿宋_GB2312" w:eastAsia="仿宋_GB2312"/>
                      <w:sz w:val="24"/>
                    </w:rPr>
                    <w:t>GM/T 0030 服务器密码机技术规范》；</w:t>
                  </w:r>
                </w:p>
                <w:p>
                  <w:pPr>
                    <w:pStyle w:val="null3"/>
                    <w:ind w:firstLine="482"/>
                    <w:jc w:val="both"/>
                  </w:pPr>
                  <w:r>
                    <w:rPr>
                      <w:rFonts w:ascii="仿宋_GB2312" w:hAnsi="仿宋_GB2312" w:cs="仿宋_GB2312" w:eastAsia="仿宋_GB2312"/>
                      <w:sz w:val="24"/>
                    </w:rPr>
                    <w:t>《</w:t>
                  </w:r>
                  <w:r>
                    <w:rPr>
                      <w:rFonts w:ascii="仿宋_GB2312" w:hAnsi="仿宋_GB2312" w:cs="仿宋_GB2312" w:eastAsia="仿宋_GB2312"/>
                      <w:sz w:val="24"/>
                    </w:rPr>
                    <w:t>GM/T 0044 SM9 标识密码算法》；</w:t>
                  </w:r>
                </w:p>
                <w:p>
                  <w:pPr>
                    <w:pStyle w:val="null3"/>
                    <w:ind w:firstLine="482"/>
                    <w:jc w:val="both"/>
                  </w:pPr>
                  <w:r>
                    <w:rPr>
                      <w:rFonts w:ascii="仿宋_GB2312" w:hAnsi="仿宋_GB2312" w:cs="仿宋_GB2312" w:eastAsia="仿宋_GB2312"/>
                      <w:sz w:val="24"/>
                    </w:rPr>
                    <w:t>《</w:t>
                  </w:r>
                  <w:r>
                    <w:rPr>
                      <w:rFonts w:ascii="仿宋_GB2312" w:hAnsi="仿宋_GB2312" w:cs="仿宋_GB2312" w:eastAsia="仿宋_GB2312"/>
                      <w:sz w:val="24"/>
                    </w:rPr>
                    <w:t>GB/T 20984 信息安全技术 信息安全风险评估规范》；</w:t>
                  </w:r>
                </w:p>
                <w:p>
                  <w:pPr>
                    <w:pStyle w:val="null3"/>
                    <w:ind w:firstLine="482"/>
                    <w:jc w:val="both"/>
                  </w:pPr>
                  <w:r>
                    <w:rPr>
                      <w:rFonts w:ascii="仿宋_GB2312" w:hAnsi="仿宋_GB2312" w:cs="仿宋_GB2312" w:eastAsia="仿宋_GB2312"/>
                      <w:sz w:val="24"/>
                    </w:rPr>
                    <w:t>《</w:t>
                  </w:r>
                  <w:r>
                    <w:rPr>
                      <w:rFonts w:ascii="仿宋_GB2312" w:hAnsi="仿宋_GB2312" w:cs="仿宋_GB2312" w:eastAsia="仿宋_GB2312"/>
                      <w:sz w:val="24"/>
                    </w:rPr>
                    <w:t>GM/T 0011-2012 可信计算 可信密码支撑平台功能与接口规范》。</w:t>
                  </w:r>
                </w:p>
                <w:p>
                  <w:pPr>
                    <w:pStyle w:val="null3"/>
                    <w:ind w:firstLine="482"/>
                    <w:jc w:val="both"/>
                  </w:pPr>
                  <w:r>
                    <w:rPr>
                      <w:rFonts w:ascii="仿宋_GB2312" w:hAnsi="仿宋_GB2312" w:cs="仿宋_GB2312" w:eastAsia="仿宋_GB2312"/>
                      <w:sz w:val="24"/>
                      <w:b/>
                    </w:rPr>
                    <w:t>（二）服务内容</w:t>
                  </w:r>
                </w:p>
                <w:p>
                  <w:pPr>
                    <w:pStyle w:val="null3"/>
                    <w:ind w:firstLine="480"/>
                    <w:jc w:val="both"/>
                  </w:pPr>
                  <w:r>
                    <w:rPr>
                      <w:rFonts w:ascii="仿宋_GB2312" w:hAnsi="仿宋_GB2312" w:cs="仿宋_GB2312" w:eastAsia="仿宋_GB2312"/>
                      <w:sz w:val="24"/>
                    </w:rPr>
                    <w:t>1.为贯彻落实《中华人民共和国密码法》与《商用密码应用安全性评估管理办法》中对密码应用与安全性评估要求，拟对省电子凭证会计数据标准化平台建设项目开展密码安全性评估工作，评估拟对电子凭证汇聚系统的密码应用是否合规、正确、有效。并依据《GB/T 39786-2021 信息安全技术 信息系统密码应用基本要求》以及相关标准，及时发现系统脆弱性，识别变化的风险，了解系统安全状况。对照密码应用方案对系统开展评估。在系统真实环境下进行测评，以评估密码保障是否安全有效，密码使用是否合规、正确、有效。并通过测评发现系统存在的安全隐患和风险，提出可行性完善建议。最终输出测评报告。</w:t>
                  </w:r>
                </w:p>
                <w:p>
                  <w:pPr>
                    <w:pStyle w:val="null3"/>
                    <w:ind w:firstLine="480"/>
                    <w:jc w:val="both"/>
                  </w:pPr>
                  <w:r>
                    <w:rPr>
                      <w:rFonts w:ascii="仿宋_GB2312" w:hAnsi="仿宋_GB2312" w:cs="仿宋_GB2312" w:eastAsia="仿宋_GB2312"/>
                      <w:sz w:val="24"/>
                    </w:rPr>
                    <w:t>2.服务期间应提供7×24服务响应，由评估专业人员在1小时内作好服务应答和反馈，需要现场支持时，成交供应商需在1个工作日内安排至少1名具有服务能力的专业人员到达现场处理。服务期间应提供应急保障工作，针对应急、攻坚克难等事宜提供保障方案，包括高层支撑和响应时间等。</w:t>
                  </w:r>
                </w:p>
                <w:p>
                  <w:pPr>
                    <w:pStyle w:val="null3"/>
                    <w:ind w:firstLine="480"/>
                    <w:jc w:val="both"/>
                  </w:pPr>
                  <w:r>
                    <w:rPr>
                      <w:rFonts w:ascii="仿宋_GB2312" w:hAnsi="仿宋_GB2312" w:cs="仿宋_GB2312" w:eastAsia="仿宋_GB2312"/>
                      <w:sz w:val="24"/>
                    </w:rPr>
                    <w:t>3.根据海南省财政科技服务中心商用密码运用安全性评估服务需求，需要对电子凭证汇聚系统开展密码应用安全性评估服务。</w:t>
                  </w:r>
                </w:p>
                <w:p>
                  <w:pPr>
                    <w:pStyle w:val="null3"/>
                    <w:ind w:firstLine="482"/>
                    <w:jc w:val="both"/>
                  </w:pPr>
                  <w:r>
                    <w:rPr>
                      <w:rFonts w:ascii="仿宋_GB2312" w:hAnsi="仿宋_GB2312" w:cs="仿宋_GB2312" w:eastAsia="仿宋_GB2312"/>
                      <w:sz w:val="24"/>
                      <w:b/>
                    </w:rPr>
                    <w:t>（三）技术要求</w:t>
                  </w:r>
                </w:p>
                <w:p>
                  <w:pPr>
                    <w:pStyle w:val="null3"/>
                    <w:ind w:firstLine="480"/>
                    <w:jc w:val="both"/>
                  </w:pPr>
                  <w:r>
                    <w:rPr>
                      <w:rFonts w:ascii="仿宋_GB2312" w:hAnsi="仿宋_GB2312" w:cs="仿宋_GB2312" w:eastAsia="仿宋_GB2312"/>
                      <w:sz w:val="24"/>
                    </w:rPr>
                    <w:t>1.商用密码总体要求测评</w:t>
                  </w:r>
                </w:p>
                <w:p>
                  <w:pPr>
                    <w:pStyle w:val="null3"/>
                    <w:ind w:firstLine="480"/>
                    <w:jc w:val="both"/>
                  </w:pPr>
                  <w:r>
                    <w:rPr>
                      <w:rFonts w:ascii="仿宋_GB2312" w:hAnsi="仿宋_GB2312" w:cs="仿宋_GB2312" w:eastAsia="仿宋_GB2312"/>
                      <w:sz w:val="24"/>
                    </w:rPr>
                    <w:t>1.1密码算法合规性测评：信息系统中使用的密码算法是否符合法律、法规的规定和密码相关国家标准、行业标准的有关要求。</w:t>
                  </w:r>
                </w:p>
                <w:p>
                  <w:pPr>
                    <w:pStyle w:val="null3"/>
                    <w:ind w:firstLine="480"/>
                    <w:jc w:val="both"/>
                  </w:pPr>
                  <w:r>
                    <w:rPr>
                      <w:rFonts w:ascii="仿宋_GB2312" w:hAnsi="仿宋_GB2312" w:cs="仿宋_GB2312" w:eastAsia="仿宋_GB2312"/>
                      <w:sz w:val="24"/>
                    </w:rPr>
                    <w:t>1.2密码技术合规性测评：信息系统中使用的密码技术是否遵循密码相关国家标准和行业标准。</w:t>
                  </w:r>
                </w:p>
                <w:p>
                  <w:pPr>
                    <w:pStyle w:val="null3"/>
                    <w:ind w:firstLine="480"/>
                    <w:jc w:val="both"/>
                  </w:pPr>
                  <w:r>
                    <w:rPr>
                      <w:rFonts w:ascii="仿宋_GB2312" w:hAnsi="仿宋_GB2312" w:cs="仿宋_GB2312" w:eastAsia="仿宋_GB2312"/>
                      <w:sz w:val="24"/>
                    </w:rPr>
                    <w:t>1.3密码产品合规性测评：信息系统中使用的密码产品与密码模块是否通过国家密码管理部门核准。</w:t>
                  </w:r>
                </w:p>
                <w:p>
                  <w:pPr>
                    <w:pStyle w:val="null3"/>
                    <w:ind w:firstLine="480"/>
                    <w:jc w:val="both"/>
                  </w:pPr>
                  <w:r>
                    <w:rPr>
                      <w:rFonts w:ascii="仿宋_GB2312" w:hAnsi="仿宋_GB2312" w:cs="仿宋_GB2312" w:eastAsia="仿宋_GB2312"/>
                      <w:sz w:val="24"/>
                    </w:rPr>
                    <w:t>1.4密码服务合规性测评：信息系统中使用的密码服务是否通过国家密码管理部门许可。</w:t>
                  </w:r>
                </w:p>
                <w:p>
                  <w:pPr>
                    <w:pStyle w:val="null3"/>
                    <w:ind w:firstLine="480"/>
                    <w:jc w:val="both"/>
                  </w:pPr>
                  <w:r>
                    <w:rPr>
                      <w:rFonts w:ascii="仿宋_GB2312" w:hAnsi="仿宋_GB2312" w:cs="仿宋_GB2312" w:eastAsia="仿宋_GB2312"/>
                      <w:sz w:val="24"/>
                    </w:rPr>
                    <w:t>2.密码技术应用测评：从物理和环境、网络和通信、设备和计算、应用和数据等层面对信息系统中应用的密码技术进行分析与评估。</w:t>
                  </w:r>
                </w:p>
                <w:p>
                  <w:pPr>
                    <w:pStyle w:val="null3"/>
                    <w:ind w:firstLine="480"/>
                    <w:jc w:val="both"/>
                  </w:pPr>
                  <w:r>
                    <w:rPr>
                      <w:rFonts w:ascii="仿宋_GB2312" w:hAnsi="仿宋_GB2312" w:cs="仿宋_GB2312" w:eastAsia="仿宋_GB2312"/>
                      <w:sz w:val="24"/>
                    </w:rPr>
                    <w:t>2.1物理和环境层面测评:分析评估信息系统是否合理、合规的和正确的利用商用密码完整性、真实性功能，包括但不限于下列典型因素：重要场所的物理访问控制，监控设备的物理访问控制，以及物理访问记录、监控信息等敏感信息数据完整性。</w:t>
                  </w:r>
                </w:p>
                <w:p>
                  <w:pPr>
                    <w:pStyle w:val="null3"/>
                    <w:ind w:firstLine="480"/>
                    <w:jc w:val="both"/>
                  </w:pPr>
                  <w:r>
                    <w:rPr>
                      <w:rFonts w:ascii="仿宋_GB2312" w:hAnsi="仿宋_GB2312" w:cs="仿宋_GB2312" w:eastAsia="仿宋_GB2312"/>
                      <w:sz w:val="24"/>
                    </w:rPr>
                    <w:t>2.2网络和通信层面测评:分析评估信息系统是否合理、合规的和正确的利用商用密码机密性、完整性、真实性功能。包括但不限于下列典型因素：安全认证连接到内部网络的设备，通信双方的身份认证过程，通信数据完整性，敏感信息数据字段机密性，网络边界访问控制信息完整性，系统资源访问控制信息完整性，安全设备、安全组件的集中管理方式和信息传输通道。</w:t>
                  </w:r>
                </w:p>
                <w:p>
                  <w:pPr>
                    <w:pStyle w:val="null3"/>
                    <w:ind w:firstLine="480"/>
                    <w:jc w:val="both"/>
                  </w:pPr>
                  <w:r>
                    <w:rPr>
                      <w:rFonts w:ascii="仿宋_GB2312" w:hAnsi="仿宋_GB2312" w:cs="仿宋_GB2312" w:eastAsia="仿宋_GB2312"/>
                      <w:sz w:val="24"/>
                    </w:rPr>
                    <w:t>2.3设备和计算层面测评:分析评估信息系统是否合理、合规的和正确的利用商用密码机密性、完整性、真实性功能，对影响信息系统安全防护效能的设备和计算层面因素进行保护。包括但不限于下列典型因素：登录信息系统设备和计算环境的用户身份鉴别过程，系统设备和计算环境资源访问控制信息完整性，重要信息资源敏感标记完整性，重要程序或文件完整性，信息系统设备和计算环境的日志记录完整性。</w:t>
                  </w:r>
                </w:p>
                <w:p>
                  <w:pPr>
                    <w:pStyle w:val="null3"/>
                    <w:ind w:firstLine="480"/>
                    <w:jc w:val="both"/>
                  </w:pPr>
                  <w:r>
                    <w:rPr>
                      <w:rFonts w:ascii="仿宋_GB2312" w:hAnsi="仿宋_GB2312" w:cs="仿宋_GB2312" w:eastAsia="仿宋_GB2312"/>
                      <w:sz w:val="24"/>
                    </w:rPr>
                    <w:t>2.4应用和数据层面测评:分析评估信息系统是否合理、合规的和正确的利用商用密码机密性、完整性、真实性以及不可否认性功能。包括但不限于下列典型因素：登录信息系统应用和数据操作环境的用户身份鉴别过程，系统应用和数据操作环境资源访问控制信息完整性，重要信息资源敏感标记完整性，重要数据传输过程的机密性、完整性，重要信息存储过程的机密性、完整性，重要程序的加载和卸载过程，信息系统应用相关实体行为不不可否认性，信息系统应用和数据操作环境的日志记录完整性。</w:t>
                  </w:r>
                </w:p>
                <w:p>
                  <w:pPr>
                    <w:pStyle w:val="null3"/>
                    <w:ind w:firstLine="480"/>
                    <w:jc w:val="both"/>
                  </w:pPr>
                  <w:r>
                    <w:rPr>
                      <w:rFonts w:ascii="仿宋_GB2312" w:hAnsi="仿宋_GB2312" w:cs="仿宋_GB2312" w:eastAsia="仿宋_GB2312"/>
                      <w:sz w:val="24"/>
                    </w:rPr>
                    <w:t>3.密钥管理测评</w:t>
                  </w:r>
                </w:p>
                <w:p>
                  <w:pPr>
                    <w:pStyle w:val="null3"/>
                    <w:ind w:firstLine="480"/>
                    <w:jc w:val="both"/>
                  </w:pPr>
                  <w:r>
                    <w:rPr>
                      <w:rFonts w:ascii="仿宋_GB2312" w:hAnsi="仿宋_GB2312" w:cs="仿宋_GB2312" w:eastAsia="仿宋_GB2312"/>
                      <w:sz w:val="24"/>
                    </w:rPr>
                    <w:t>对影响商用密码防护效能的密钥生命周期相关环节，以及相关环节管理和策略制定的全过程进行分析与评估。密钥生命周期相关环节包括但不限于下列典型环节：密钥生成，密钥存储，密钥分发，密钥导入，密钥导出，密钥使用，密钥备份，密钥恢复，密钥归档，密钥销毁。</w:t>
                  </w:r>
                </w:p>
                <w:p>
                  <w:pPr>
                    <w:pStyle w:val="null3"/>
                    <w:ind w:firstLine="480"/>
                    <w:jc w:val="both"/>
                  </w:pPr>
                  <w:r>
                    <w:rPr>
                      <w:rFonts w:ascii="仿宋_GB2312" w:hAnsi="仿宋_GB2312" w:cs="仿宋_GB2312" w:eastAsia="仿宋_GB2312"/>
                      <w:sz w:val="24"/>
                    </w:rPr>
                    <w:t>4.安全管理测评</w:t>
                  </w:r>
                </w:p>
                <w:p>
                  <w:pPr>
                    <w:pStyle w:val="null3"/>
                    <w:ind w:firstLine="480"/>
                    <w:jc w:val="both"/>
                  </w:pPr>
                  <w:r>
                    <w:rPr>
                      <w:rFonts w:ascii="仿宋_GB2312" w:hAnsi="仿宋_GB2312" w:cs="仿宋_GB2312" w:eastAsia="仿宋_GB2312"/>
                      <w:sz w:val="24"/>
                    </w:rPr>
                    <w:t>4.1对影响商用密码防护效能的管理制度与措施进行分析与评估。管理制度与措施包括但不限于下列典型维度：安全管理制度，人员管控，信息系统实施，应急预案。</w:t>
                  </w:r>
                </w:p>
                <w:p>
                  <w:pPr>
                    <w:pStyle w:val="null3"/>
                    <w:ind w:firstLine="480"/>
                    <w:jc w:val="both"/>
                  </w:pPr>
                  <w:r>
                    <w:rPr>
                      <w:rFonts w:ascii="仿宋_GB2312" w:hAnsi="仿宋_GB2312" w:cs="仿宋_GB2312" w:eastAsia="仿宋_GB2312"/>
                      <w:sz w:val="24"/>
                    </w:rPr>
                    <w:t>4.2针对被评估系统编制密码应用安全性评估报告，报告按照国家密码管理局要求包含的内容编制或参考模板编制。协助被评估单位认清风险，查找漏洞，找出差距，提出有针对性的加强完善密码安全管理和防护建议，并提交纸质材料。</w:t>
                  </w:r>
                </w:p>
                <w:p>
                  <w:pPr>
                    <w:pStyle w:val="null3"/>
                    <w:ind w:firstLine="480"/>
                    <w:jc w:val="both"/>
                  </w:pPr>
                  <w:r>
                    <w:rPr>
                      <w:rFonts w:ascii="仿宋_GB2312" w:hAnsi="仿宋_GB2312" w:cs="仿宋_GB2312" w:eastAsia="仿宋_GB2312"/>
                      <w:sz w:val="24"/>
                    </w:rPr>
                    <w:t>4.3完成所有系统的密码应用性评估工作后，编制评估总结报告，对密评工作开展的情况，遇到的问题，密评结果数据、所有被评估单位上报的密码应用情况、梳理共性问题和个性问题，形成密码应用情况分析总结报告。</w:t>
                  </w:r>
                </w:p>
                <w:p>
                  <w:pPr>
                    <w:pStyle w:val="null3"/>
                    <w:ind w:firstLine="480"/>
                    <w:jc w:val="both"/>
                  </w:pPr>
                  <w:r>
                    <w:rPr>
                      <w:rFonts w:ascii="仿宋_GB2312" w:hAnsi="仿宋_GB2312" w:cs="仿宋_GB2312" w:eastAsia="仿宋_GB2312"/>
                      <w:sz w:val="24"/>
                    </w:rPr>
                    <w:t>5.供应商所提供的投标方案应包含对本项目的理解、项目实施方案、售后服务方案、保密管理方案及培训方案。</w:t>
                  </w:r>
                </w:p>
                <w:p>
                  <w:pPr>
                    <w:pStyle w:val="null3"/>
                    <w:ind w:firstLine="482"/>
                    <w:jc w:val="both"/>
                  </w:pPr>
                  <w:r>
                    <w:rPr>
                      <w:rFonts w:ascii="仿宋_GB2312" w:hAnsi="仿宋_GB2312" w:cs="仿宋_GB2312" w:eastAsia="仿宋_GB2312"/>
                      <w:sz w:val="24"/>
                      <w:b/>
                    </w:rPr>
                    <w:t>（四）服务要求</w:t>
                  </w:r>
                </w:p>
                <w:p>
                  <w:pPr>
                    <w:pStyle w:val="null3"/>
                    <w:ind w:firstLine="480"/>
                    <w:jc w:val="both"/>
                  </w:pPr>
                  <w:r>
                    <w:rPr>
                      <w:rFonts w:ascii="仿宋_GB2312" w:hAnsi="仿宋_GB2312" w:cs="仿宋_GB2312" w:eastAsia="仿宋_GB2312"/>
                      <w:sz w:val="24"/>
                    </w:rPr>
                    <w:t>1.供应商应详细描述本次商用密码应用安全性评估的整体实施方案，包括项目概述、商用密码应用安全性评估测评方案、项目实施方案、测试过程中需使用测试设备清单、时间安排、阶段性文档提交和验收标准等。</w:t>
                  </w:r>
                </w:p>
                <w:p>
                  <w:pPr>
                    <w:pStyle w:val="null3"/>
                    <w:ind w:firstLine="480"/>
                    <w:jc w:val="both"/>
                  </w:pPr>
                  <w:r>
                    <w:rPr>
                      <w:rFonts w:ascii="仿宋_GB2312" w:hAnsi="仿宋_GB2312" w:cs="仿宋_GB2312" w:eastAsia="仿宋_GB2312"/>
                      <w:sz w:val="24"/>
                    </w:rPr>
                    <w:t>2.供应商应详细描述测评人员的组成、资质及各自职责的划分。供应商应配置有经验的测评人员进行本次商用密码应用安全性评估测评工作。</w:t>
                  </w:r>
                </w:p>
                <w:p>
                  <w:pPr>
                    <w:pStyle w:val="null3"/>
                    <w:ind w:firstLine="480"/>
                    <w:jc w:val="both"/>
                  </w:pPr>
                  <w:r>
                    <w:rPr>
                      <w:rFonts w:ascii="仿宋_GB2312" w:hAnsi="仿宋_GB2312" w:cs="仿宋_GB2312" w:eastAsia="仿宋_GB2312"/>
                      <w:sz w:val="24"/>
                    </w:rPr>
                    <w:t>3.商用密码应用安全性评估需要的运行环境（如场地、网络环境等）由采购人提供，供应商应详细描述需要的运行环境的具体要求。</w:t>
                  </w:r>
                </w:p>
                <w:p>
                  <w:pPr>
                    <w:pStyle w:val="null3"/>
                    <w:ind w:firstLine="480"/>
                    <w:jc w:val="both"/>
                  </w:pPr>
                  <w:r>
                    <w:rPr>
                      <w:rFonts w:ascii="仿宋_GB2312" w:hAnsi="仿宋_GB2312" w:cs="仿宋_GB2312" w:eastAsia="仿宋_GB2312"/>
                      <w:sz w:val="24"/>
                    </w:rPr>
                    <w:t>4.开展密码应用安全性评估应严守工作秘密。签署保密协议，参与项目人员签署《保密承诺书》，对知悉的事项及信息予以保密，所有资料、技术文档妥善保管，不得遗失、转借、复印，不得以任何形式向第三方透露；所有密码应用解决方案和采集汇总后的数据严禁外泄。</w:t>
                  </w:r>
                </w:p>
                <w:p>
                  <w:pPr>
                    <w:pStyle w:val="null3"/>
                    <w:ind w:firstLine="482"/>
                    <w:jc w:val="both"/>
                  </w:pPr>
                  <w:r>
                    <w:rPr>
                      <w:rFonts w:ascii="仿宋_GB2312" w:hAnsi="仿宋_GB2312" w:cs="仿宋_GB2312" w:eastAsia="仿宋_GB2312"/>
                      <w:sz w:val="24"/>
                      <w:b/>
                    </w:rPr>
                    <w:t>（五）保密要求</w:t>
                  </w:r>
                </w:p>
                <w:p>
                  <w:pPr>
                    <w:pStyle w:val="null3"/>
                    <w:ind w:firstLine="480"/>
                    <w:jc w:val="both"/>
                  </w:pPr>
                  <w:r>
                    <w:rPr>
                      <w:rFonts w:ascii="仿宋_GB2312" w:hAnsi="仿宋_GB2312" w:cs="仿宋_GB2312" w:eastAsia="仿宋_GB2312"/>
                      <w:sz w:val="24"/>
                    </w:rPr>
                    <w:t>1.供应商必须和采购人签订保密协议和非侵害性协议，供应商必须要与参加此次测评项目的所有项目组成员签订保密协议和非侵害性协议，在合同签订时一并提供给采购人。</w:t>
                  </w:r>
                </w:p>
                <w:p>
                  <w:pPr>
                    <w:pStyle w:val="null3"/>
                    <w:ind w:firstLine="480"/>
                    <w:jc w:val="both"/>
                  </w:pPr>
                  <w:r>
                    <w:rPr>
                      <w:rFonts w:ascii="仿宋_GB2312" w:hAnsi="仿宋_GB2312" w:cs="仿宋_GB2312" w:eastAsia="仿宋_GB2312"/>
                      <w:sz w:val="24"/>
                    </w:rPr>
                    <w:t>2.供应商具体测评工作和商用密码应用安全性评估报告的编写，必须在采购人的指定地点进行。对于测评中的重要资料和结果，在测评期间和测评结束后，供应商不得带离该地点。</w:t>
                  </w:r>
                </w:p>
                <w:p>
                  <w:pPr>
                    <w:pStyle w:val="null3"/>
                    <w:ind w:firstLine="480"/>
                    <w:jc w:val="both"/>
                  </w:pPr>
                  <w:r>
                    <w:rPr>
                      <w:rFonts w:ascii="仿宋_GB2312" w:hAnsi="仿宋_GB2312" w:cs="仿宋_GB2312" w:eastAsia="仿宋_GB2312"/>
                      <w:sz w:val="24"/>
                    </w:rPr>
                    <w:t>3.供应商对本规范书中的内容及在应标过程中接触的设备信息、数据资料等负有保密责任，不得泄露给任何第三方。无论供应商成交与否，其对上述内容的保密责任将长期存在。</w:t>
                  </w:r>
                </w:p>
                <w:p>
                  <w:pPr>
                    <w:pStyle w:val="null3"/>
                    <w:ind w:firstLine="480"/>
                    <w:jc w:val="both"/>
                  </w:pPr>
                  <w:r>
                    <w:rPr>
                      <w:rFonts w:ascii="仿宋_GB2312" w:hAnsi="仿宋_GB2312" w:cs="仿宋_GB2312" w:eastAsia="仿宋_GB2312"/>
                      <w:sz w:val="24"/>
                      <w:color w:val="0000FF"/>
                      <w:u w:val="single"/>
                    </w:rPr>
                    <w:t>（</w:t>
                  </w:r>
                  <w:r>
                    <w:rPr>
                      <w:rFonts w:ascii="仿宋_GB2312" w:hAnsi="仿宋_GB2312" w:cs="仿宋_GB2312" w:eastAsia="仿宋_GB2312"/>
                      <w:sz w:val="24"/>
                      <w:color w:val="0000FF"/>
                      <w:u w:val="single"/>
                    </w:rPr>
                    <w:t>六</w:t>
                  </w:r>
                  <w:r>
                    <w:rPr>
                      <w:rFonts w:ascii="仿宋_GB2312" w:hAnsi="仿宋_GB2312" w:cs="仿宋_GB2312" w:eastAsia="仿宋_GB2312"/>
                      <w:sz w:val="24"/>
                      <w:color w:val="0000FF"/>
                      <w:u w:val="single"/>
                    </w:rPr>
                    <w:t>）</w:t>
                  </w:r>
                  <w:r>
                    <w:rPr>
                      <w:rFonts w:ascii="仿宋_GB2312" w:hAnsi="仿宋_GB2312" w:cs="仿宋_GB2312" w:eastAsia="仿宋_GB2312"/>
                      <w:sz w:val="24"/>
                      <w:color w:val="0000FF"/>
                      <w:u w:val="single"/>
                    </w:rPr>
                    <w:t>服务</w:t>
                  </w:r>
                  <w:r>
                    <w:rPr>
                      <w:rFonts w:ascii="仿宋_GB2312" w:hAnsi="仿宋_GB2312" w:cs="仿宋_GB2312" w:eastAsia="仿宋_GB2312"/>
                      <w:sz w:val="24"/>
                      <w:color w:val="0000FF"/>
                      <w:u w:val="single"/>
                    </w:rPr>
                    <w:t>次数</w:t>
                  </w:r>
                </w:p>
                <w:p>
                  <w:pPr>
                    <w:pStyle w:val="null3"/>
                    <w:ind w:firstLine="480"/>
                    <w:jc w:val="both"/>
                  </w:pPr>
                  <w:r>
                    <w:rPr>
                      <w:rFonts w:ascii="仿宋_GB2312" w:hAnsi="仿宋_GB2312" w:cs="仿宋_GB2312" w:eastAsia="仿宋_GB2312"/>
                      <w:sz w:val="24"/>
                      <w:color w:val="0000FF"/>
                      <w:u w:val="single"/>
                    </w:rPr>
                    <w:t>商用</w:t>
                  </w:r>
                  <w:r>
                    <w:rPr>
                      <w:rFonts w:ascii="仿宋_GB2312" w:hAnsi="仿宋_GB2312" w:cs="仿宋_GB2312" w:eastAsia="仿宋_GB2312"/>
                      <w:sz w:val="24"/>
                      <w:color w:val="0000FF"/>
                      <w:u w:val="single"/>
                    </w:rPr>
                    <w:t>密码</w:t>
                  </w:r>
                  <w:r>
                    <w:rPr>
                      <w:rFonts w:ascii="仿宋_GB2312" w:hAnsi="仿宋_GB2312" w:cs="仿宋_GB2312" w:eastAsia="仿宋_GB2312"/>
                      <w:sz w:val="24"/>
                      <w:color w:val="0000FF"/>
                      <w:u w:val="single"/>
                    </w:rPr>
                    <w:t>测评</w:t>
                  </w:r>
                  <w:r>
                    <w:rPr>
                      <w:rFonts w:ascii="仿宋_GB2312" w:hAnsi="仿宋_GB2312" w:cs="仿宋_GB2312" w:eastAsia="仿宋_GB2312"/>
                      <w:sz w:val="24"/>
                      <w:color w:val="0000FF"/>
                      <w:u w:val="single"/>
                    </w:rPr>
                    <w:t>服务次数</w:t>
                  </w:r>
                  <w:r>
                    <w:rPr>
                      <w:rFonts w:ascii="仿宋_GB2312" w:hAnsi="仿宋_GB2312" w:cs="仿宋_GB2312" w:eastAsia="仿宋_GB2312"/>
                      <w:sz w:val="24"/>
                      <w:color w:val="0000FF"/>
                      <w:u w:val="single"/>
                    </w:rPr>
                    <w:t>：</w:t>
                  </w:r>
                  <w:r>
                    <w:rPr>
                      <w:rFonts w:ascii="仿宋_GB2312" w:hAnsi="仿宋_GB2312" w:cs="仿宋_GB2312" w:eastAsia="仿宋_GB2312"/>
                      <w:sz w:val="24"/>
                      <w:color w:val="0000FF"/>
                      <w:u w:val="single"/>
                    </w:rPr>
                    <w:t>1</w:t>
                  </w:r>
                  <w:r>
                    <w:rPr>
                      <w:rFonts w:ascii="仿宋_GB2312" w:hAnsi="仿宋_GB2312" w:cs="仿宋_GB2312" w:eastAsia="仿宋_GB2312"/>
                      <w:sz w:val="24"/>
                      <w:color w:val="0000FF"/>
                      <w:u w:val="single"/>
                    </w:rPr>
                    <w:t>次</w:t>
                  </w:r>
                  <w:r>
                    <w:rPr>
                      <w:rFonts w:ascii="仿宋_GB2312" w:hAnsi="仿宋_GB2312" w:cs="仿宋_GB2312" w:eastAsia="仿宋_GB2312"/>
                      <w:sz w:val="24"/>
                      <w:color w:val="0000FF"/>
                      <w:u w:val="single"/>
                    </w:rPr>
                    <w:t>/</w:t>
                  </w:r>
                  <w:r>
                    <w:rPr>
                      <w:rFonts w:ascii="仿宋_GB2312" w:hAnsi="仿宋_GB2312" w:cs="仿宋_GB2312" w:eastAsia="仿宋_GB2312"/>
                      <w:sz w:val="24"/>
                      <w:color w:val="0000FF"/>
                      <w:u w:val="single"/>
                    </w:rPr>
                    <w:t>年</w:t>
                  </w:r>
                  <w:r>
                    <w:rPr>
                      <w:rFonts w:ascii="仿宋_GB2312" w:hAnsi="仿宋_GB2312" w:cs="仿宋_GB2312" w:eastAsia="仿宋_GB2312"/>
                      <w:sz w:val="24"/>
                      <w:color w:val="0000FF"/>
                      <w:u w:val="single"/>
                    </w:rPr>
                    <w:t>。</w:t>
                  </w:r>
                </w:p>
                <w:p>
                  <w:pPr>
                    <w:pStyle w:val="null3"/>
                    <w:spacing w:before="195"/>
                    <w:ind w:left="15"/>
                    <w:jc w:val="both"/>
                  </w:pPr>
                  <w:r>
                    <w:rPr>
                      <w:rFonts w:ascii="仿宋_GB2312" w:hAnsi="仿宋_GB2312" w:cs="仿宋_GB2312" w:eastAsia="仿宋_GB2312"/>
                      <w:sz w:val="28"/>
                      <w:b/>
                    </w:rPr>
                    <w:t>六、验收标准及要求</w:t>
                  </w:r>
                </w:p>
                <w:p>
                  <w:pPr>
                    <w:pStyle w:val="null3"/>
                    <w:ind w:firstLine="720"/>
                    <w:jc w:val="both"/>
                  </w:pPr>
                  <w:r>
                    <w:rPr>
                      <w:rFonts w:ascii="仿宋_GB2312" w:hAnsi="仿宋_GB2312" w:cs="仿宋_GB2312" w:eastAsia="仿宋_GB2312"/>
                      <w:sz w:val="24"/>
                    </w:rPr>
                    <w:t>项目服务完成后，服务成果完全符合采购人需求及合同内容，出具完整的《商用密码应用安全性评估报告》，项目成果最终通过采购人组织验收。</w:t>
                  </w:r>
                </w:p>
              </w:tc>
            </w:tr>
          </w:tbl>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一、服务期、服务地点</w:t>
                  </w:r>
                </w:p>
                <w:p>
                  <w:pPr>
                    <w:pStyle w:val="null3"/>
                    <w:jc w:val="left"/>
                  </w:pPr>
                  <w:r>
                    <w:rPr>
                      <w:rFonts w:ascii="仿宋_GB2312" w:hAnsi="仿宋_GB2312" w:cs="仿宋_GB2312" w:eastAsia="仿宋_GB2312"/>
                      <w:sz w:val="19"/>
                    </w:rPr>
                    <w:t>服务期：签订合同之日起至2026年8月底前完成系统预验收，进入试运行，试运行期至少3个月，2026年12月底前完成系统终验。</w:t>
                  </w:r>
                </w:p>
                <w:p>
                  <w:pPr>
                    <w:pStyle w:val="null3"/>
                    <w:jc w:val="left"/>
                  </w:pPr>
                  <w:r>
                    <w:rPr>
                      <w:rFonts w:ascii="仿宋_GB2312" w:hAnsi="仿宋_GB2312" w:cs="仿宋_GB2312" w:eastAsia="仿宋_GB2312"/>
                      <w:sz w:val="19"/>
                    </w:rPr>
                    <w:t>服务地点：海南省财政厅</w:t>
                  </w:r>
                </w:p>
                <w:p>
                  <w:pPr>
                    <w:pStyle w:val="null3"/>
                    <w:jc w:val="left"/>
                  </w:pPr>
                  <w:r>
                    <w:rPr>
                      <w:rFonts w:ascii="仿宋_GB2312" w:hAnsi="仿宋_GB2312" w:cs="仿宋_GB2312" w:eastAsia="仿宋_GB2312"/>
                      <w:sz w:val="19"/>
                    </w:rPr>
                    <w:t>二、本包采购预算：</w:t>
                  </w:r>
                  <w:r>
                    <w:rPr>
                      <w:rFonts w:ascii="仿宋_GB2312" w:hAnsi="仿宋_GB2312" w:cs="仿宋_GB2312" w:eastAsia="仿宋_GB2312"/>
                      <w:sz w:val="19"/>
                    </w:rPr>
                    <w:t>1097800元（报价不得超出采购预算）</w:t>
                  </w:r>
                </w:p>
              </w:tc>
            </w:tr>
          </w:tbl>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一、服务期、服务地点</w:t>
                  </w:r>
                </w:p>
                <w:p>
                  <w:pPr>
                    <w:pStyle w:val="null3"/>
                    <w:jc w:val="left"/>
                  </w:pPr>
                  <w:r>
                    <w:rPr>
                      <w:rFonts w:ascii="仿宋_GB2312" w:hAnsi="仿宋_GB2312" w:cs="仿宋_GB2312" w:eastAsia="仿宋_GB2312"/>
                      <w:sz w:val="19"/>
                    </w:rPr>
                    <w:t>服务期：签订合同之日起至2026年8月底前完成系统预验收，进入试运行，试运行期至少3个月，2026年12月底前完成系统终验。</w:t>
                  </w:r>
                </w:p>
                <w:p>
                  <w:pPr>
                    <w:pStyle w:val="null3"/>
                    <w:jc w:val="left"/>
                  </w:pPr>
                  <w:r>
                    <w:rPr>
                      <w:rFonts w:ascii="仿宋_GB2312" w:hAnsi="仿宋_GB2312" w:cs="仿宋_GB2312" w:eastAsia="仿宋_GB2312"/>
                      <w:sz w:val="19"/>
                    </w:rPr>
                    <w:t>服务地点：海南省财政厅</w:t>
                  </w:r>
                </w:p>
                <w:p>
                  <w:pPr>
                    <w:pStyle w:val="null3"/>
                    <w:jc w:val="left"/>
                  </w:pPr>
                  <w:r>
                    <w:rPr>
                      <w:rFonts w:ascii="仿宋_GB2312" w:hAnsi="仿宋_GB2312" w:cs="仿宋_GB2312" w:eastAsia="仿宋_GB2312"/>
                      <w:sz w:val="19"/>
                    </w:rPr>
                    <w:t>二、本包采购预算：</w:t>
                  </w:r>
                  <w:r>
                    <w:rPr>
                      <w:rFonts w:ascii="仿宋_GB2312" w:hAnsi="仿宋_GB2312" w:cs="仿宋_GB2312" w:eastAsia="仿宋_GB2312"/>
                      <w:sz w:val="19"/>
                    </w:rPr>
                    <w:t>721775元（报价不得超出采购预算）</w:t>
                  </w:r>
                </w:p>
              </w:tc>
            </w:tr>
          </w:tbl>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一、服务期、服务地点</w:t>
                  </w:r>
                </w:p>
                <w:p>
                  <w:pPr>
                    <w:pStyle w:val="null3"/>
                    <w:jc w:val="left"/>
                  </w:pPr>
                  <w:r>
                    <w:rPr>
                      <w:rFonts w:ascii="仿宋_GB2312" w:hAnsi="仿宋_GB2312" w:cs="仿宋_GB2312" w:eastAsia="仿宋_GB2312"/>
                      <w:sz w:val="19"/>
                    </w:rPr>
                    <w:t>服务期：签订合同之日起至2026年8月底前完成系统预验收，进入试运行，试运行期至少3个月，2026年12月底前完成系统终验。</w:t>
                  </w:r>
                </w:p>
                <w:p>
                  <w:pPr>
                    <w:pStyle w:val="null3"/>
                    <w:jc w:val="left"/>
                  </w:pPr>
                  <w:r>
                    <w:rPr>
                      <w:rFonts w:ascii="仿宋_GB2312" w:hAnsi="仿宋_GB2312" w:cs="仿宋_GB2312" w:eastAsia="仿宋_GB2312"/>
                      <w:sz w:val="19"/>
                    </w:rPr>
                    <w:t>服务地点：海南省财政厅</w:t>
                  </w:r>
                </w:p>
                <w:p>
                  <w:pPr>
                    <w:pStyle w:val="null3"/>
                    <w:jc w:val="left"/>
                  </w:pPr>
                  <w:r>
                    <w:rPr>
                      <w:rFonts w:ascii="仿宋_GB2312" w:hAnsi="仿宋_GB2312" w:cs="仿宋_GB2312" w:eastAsia="仿宋_GB2312"/>
                      <w:sz w:val="19"/>
                    </w:rPr>
                    <w:t>二、本包采购预算：</w:t>
                  </w:r>
                  <w:r>
                    <w:rPr>
                      <w:rFonts w:ascii="仿宋_GB2312" w:hAnsi="仿宋_GB2312" w:cs="仿宋_GB2312" w:eastAsia="仿宋_GB2312"/>
                      <w:sz w:val="19"/>
                    </w:rPr>
                    <w:t>481700 元（报价不得超出采购预算）</w:t>
                  </w:r>
                </w:p>
              </w:tc>
            </w:tr>
          </w:tbl>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一、服务期、服务地点</w:t>
                  </w:r>
                </w:p>
                <w:p>
                  <w:pPr>
                    <w:pStyle w:val="null3"/>
                    <w:jc w:val="left"/>
                  </w:pPr>
                  <w:r>
                    <w:rPr>
                      <w:rFonts w:ascii="仿宋_GB2312" w:hAnsi="仿宋_GB2312" w:cs="仿宋_GB2312" w:eastAsia="仿宋_GB2312"/>
                      <w:sz w:val="19"/>
                    </w:rPr>
                    <w:t>服务期：签订合同之日起至2026年8月底前完成系统预验收，进入试运行，试运行期至少3个月，2026年12月底前完成系统终验。</w:t>
                  </w:r>
                </w:p>
                <w:p>
                  <w:pPr>
                    <w:pStyle w:val="null3"/>
                    <w:jc w:val="left"/>
                  </w:pPr>
                  <w:r>
                    <w:rPr>
                      <w:rFonts w:ascii="仿宋_GB2312" w:hAnsi="仿宋_GB2312" w:cs="仿宋_GB2312" w:eastAsia="仿宋_GB2312"/>
                      <w:sz w:val="19"/>
                    </w:rPr>
                    <w:t>服务地点：海南省财政厅</w:t>
                  </w:r>
                </w:p>
                <w:p>
                  <w:pPr>
                    <w:pStyle w:val="null3"/>
                    <w:jc w:val="left"/>
                  </w:pPr>
                  <w:r>
                    <w:rPr>
                      <w:rFonts w:ascii="仿宋_GB2312" w:hAnsi="仿宋_GB2312" w:cs="仿宋_GB2312" w:eastAsia="仿宋_GB2312"/>
                      <w:sz w:val="19"/>
                    </w:rPr>
                    <w:t>二、本包采购预算：</w:t>
                  </w:r>
                  <w:r>
                    <w:rPr>
                      <w:rFonts w:ascii="仿宋_GB2312" w:hAnsi="仿宋_GB2312" w:cs="仿宋_GB2312" w:eastAsia="仿宋_GB2312"/>
                      <w:sz w:val="19"/>
                    </w:rPr>
                    <w:t>832500 元（报价不得超出采购预算）</w:t>
                  </w:r>
                </w:p>
              </w:tc>
            </w:tr>
          </w:tbl>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720"/>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19"/>
                    </w:rPr>
                    <w:t>一、服务期、服务地点</w:t>
                  </w:r>
                </w:p>
                <w:p>
                  <w:pPr>
                    <w:pStyle w:val="null3"/>
                    <w:jc w:val="left"/>
                  </w:pPr>
                  <w:r>
                    <w:rPr>
                      <w:rFonts w:ascii="仿宋_GB2312" w:hAnsi="仿宋_GB2312" w:cs="仿宋_GB2312" w:eastAsia="仿宋_GB2312"/>
                      <w:sz w:val="19"/>
                    </w:rPr>
                    <w:t>服务期：</w:t>
                  </w:r>
                  <w:r>
                    <w:rPr>
                      <w:rFonts w:ascii="仿宋_GB2312" w:hAnsi="仿宋_GB2312" w:cs="仿宋_GB2312" w:eastAsia="仿宋_GB2312"/>
                      <w:sz w:val="24"/>
                    </w:rPr>
                    <w:t>自签订合同之日起，至建设项目完成竣工验收。</w:t>
                  </w:r>
                </w:p>
                <w:p>
                  <w:pPr>
                    <w:pStyle w:val="null3"/>
                    <w:jc w:val="left"/>
                  </w:pPr>
                  <w:r>
                    <w:rPr>
                      <w:rFonts w:ascii="仿宋_GB2312" w:hAnsi="仿宋_GB2312" w:cs="仿宋_GB2312" w:eastAsia="仿宋_GB2312"/>
                      <w:sz w:val="19"/>
                    </w:rPr>
                    <w:t>服务地点：</w:t>
                  </w:r>
                  <w:r>
                    <w:rPr>
                      <w:rFonts w:ascii="仿宋_GB2312" w:hAnsi="仿宋_GB2312" w:cs="仿宋_GB2312" w:eastAsia="仿宋_GB2312"/>
                      <w:sz w:val="24"/>
                    </w:rPr>
                    <w:t>海南省财政厅。</w:t>
                  </w:r>
                </w:p>
                <w:p>
                  <w:pPr>
                    <w:pStyle w:val="null3"/>
                    <w:jc w:val="left"/>
                  </w:pPr>
                  <w:r>
                    <w:rPr>
                      <w:rFonts w:ascii="仿宋_GB2312" w:hAnsi="仿宋_GB2312" w:cs="仿宋_GB2312" w:eastAsia="仿宋_GB2312"/>
                      <w:sz w:val="19"/>
                    </w:rPr>
                    <w:t>二、本包采购预算：</w:t>
                  </w:r>
                  <w:r>
                    <w:rPr>
                      <w:rFonts w:ascii="仿宋_GB2312" w:hAnsi="仿宋_GB2312" w:cs="仿宋_GB2312" w:eastAsia="仿宋_GB2312"/>
                      <w:sz w:val="19"/>
                    </w:rPr>
                    <w:t>121883元（报价不得超出采购预算）</w:t>
                  </w:r>
                </w:p>
              </w:tc>
            </w:tr>
          </w:tbl>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一、服务期、服务地点</w:t>
                  </w:r>
                </w:p>
                <w:p>
                  <w:pPr>
                    <w:pStyle w:val="null3"/>
                    <w:jc w:val="left"/>
                  </w:pPr>
                  <w:r>
                    <w:rPr>
                      <w:rFonts w:ascii="仿宋_GB2312" w:hAnsi="仿宋_GB2312" w:cs="仿宋_GB2312" w:eastAsia="仿宋_GB2312"/>
                      <w:sz w:val="19"/>
                    </w:rPr>
                    <w:t>服务期：</w:t>
                  </w:r>
                  <w:r>
                    <w:rPr>
                      <w:rFonts w:ascii="仿宋_GB2312" w:hAnsi="仿宋_GB2312" w:cs="仿宋_GB2312" w:eastAsia="仿宋_GB2312"/>
                      <w:sz w:val="24"/>
                    </w:rPr>
                    <w:t>自签订合同之日起，至建设项目完成竣工验收。</w:t>
                  </w:r>
                </w:p>
                <w:p>
                  <w:pPr>
                    <w:pStyle w:val="null3"/>
                    <w:jc w:val="left"/>
                  </w:pPr>
                  <w:r>
                    <w:rPr>
                      <w:rFonts w:ascii="仿宋_GB2312" w:hAnsi="仿宋_GB2312" w:cs="仿宋_GB2312" w:eastAsia="仿宋_GB2312"/>
                      <w:sz w:val="19"/>
                    </w:rPr>
                    <w:t>服务地点：</w:t>
                  </w:r>
                  <w:r>
                    <w:rPr>
                      <w:rFonts w:ascii="仿宋_GB2312" w:hAnsi="仿宋_GB2312" w:cs="仿宋_GB2312" w:eastAsia="仿宋_GB2312"/>
                      <w:sz w:val="24"/>
                    </w:rPr>
                    <w:t>海南省财政厅。</w:t>
                  </w:r>
                </w:p>
                <w:p>
                  <w:pPr>
                    <w:pStyle w:val="null3"/>
                    <w:jc w:val="left"/>
                  </w:pPr>
                  <w:r>
                    <w:rPr>
                      <w:rFonts w:ascii="仿宋_GB2312" w:hAnsi="仿宋_GB2312" w:cs="仿宋_GB2312" w:eastAsia="仿宋_GB2312"/>
                      <w:sz w:val="19"/>
                    </w:rPr>
                    <w:t>二、本包采购预算：</w:t>
                  </w:r>
                  <w:r>
                    <w:rPr>
                      <w:rFonts w:ascii="仿宋_GB2312" w:hAnsi="仿宋_GB2312" w:cs="仿宋_GB2312" w:eastAsia="仿宋_GB2312"/>
                      <w:sz w:val="19"/>
                    </w:rPr>
                    <w:t>250400元（报价不得超出采购预算）</w:t>
                  </w:r>
                </w:p>
              </w:tc>
            </w:tr>
          </w:tbl>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一、服务期、服务地点</w:t>
                  </w:r>
                </w:p>
                <w:p>
                  <w:pPr>
                    <w:pStyle w:val="null3"/>
                    <w:jc w:val="left"/>
                  </w:pPr>
                  <w:r>
                    <w:rPr>
                      <w:rFonts w:ascii="仿宋_GB2312" w:hAnsi="仿宋_GB2312" w:cs="仿宋_GB2312" w:eastAsia="仿宋_GB2312"/>
                      <w:sz w:val="19"/>
                    </w:rPr>
                    <w:t>服务期：</w:t>
                  </w:r>
                  <w:r>
                    <w:rPr>
                      <w:rFonts w:ascii="仿宋_GB2312" w:hAnsi="仿宋_GB2312" w:cs="仿宋_GB2312" w:eastAsia="仿宋_GB2312"/>
                      <w:sz w:val="24"/>
                    </w:rPr>
                    <w:t>自签订合同之日起，至建设项目完成竣工验收。</w:t>
                  </w:r>
                </w:p>
                <w:p>
                  <w:pPr>
                    <w:pStyle w:val="null3"/>
                    <w:jc w:val="left"/>
                  </w:pPr>
                  <w:r>
                    <w:rPr>
                      <w:rFonts w:ascii="仿宋_GB2312" w:hAnsi="仿宋_GB2312" w:cs="仿宋_GB2312" w:eastAsia="仿宋_GB2312"/>
                      <w:sz w:val="19"/>
                    </w:rPr>
                    <w:t>服务地点：</w:t>
                  </w:r>
                  <w:r>
                    <w:rPr>
                      <w:rFonts w:ascii="仿宋_GB2312" w:hAnsi="仿宋_GB2312" w:cs="仿宋_GB2312" w:eastAsia="仿宋_GB2312"/>
                      <w:sz w:val="24"/>
                    </w:rPr>
                    <w:t>海南省财政厅。</w:t>
                  </w:r>
                </w:p>
                <w:p>
                  <w:pPr>
                    <w:pStyle w:val="null3"/>
                    <w:jc w:val="left"/>
                  </w:pPr>
                  <w:r>
                    <w:rPr>
                      <w:rFonts w:ascii="仿宋_GB2312" w:hAnsi="仿宋_GB2312" w:cs="仿宋_GB2312" w:eastAsia="仿宋_GB2312"/>
                      <w:sz w:val="19"/>
                    </w:rPr>
                    <w:t>二、本包采购预算：</w:t>
                  </w:r>
                  <w:r>
                    <w:rPr>
                      <w:rFonts w:ascii="仿宋_GB2312" w:hAnsi="仿宋_GB2312" w:cs="仿宋_GB2312" w:eastAsia="仿宋_GB2312"/>
                      <w:sz w:val="19"/>
                    </w:rPr>
                    <w:t>84200元（报价不得超出采购预算）</w:t>
                  </w:r>
                </w:p>
              </w:tc>
            </w:tr>
          </w:tbl>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一、服务期、服务地点</w:t>
                  </w:r>
                </w:p>
                <w:p>
                  <w:pPr>
                    <w:pStyle w:val="null3"/>
                    <w:jc w:val="left"/>
                  </w:pPr>
                  <w:r>
                    <w:rPr>
                      <w:rFonts w:ascii="仿宋_GB2312" w:hAnsi="仿宋_GB2312" w:cs="仿宋_GB2312" w:eastAsia="仿宋_GB2312"/>
                      <w:sz w:val="19"/>
                    </w:rPr>
                    <w:t>服务期：</w:t>
                  </w:r>
                  <w:r>
                    <w:rPr>
                      <w:rFonts w:ascii="仿宋_GB2312" w:hAnsi="仿宋_GB2312" w:cs="仿宋_GB2312" w:eastAsia="仿宋_GB2312"/>
                      <w:sz w:val="24"/>
                    </w:rPr>
                    <w:t>自签订合同之日起，至建设项目完成竣工验收。</w:t>
                  </w:r>
                </w:p>
                <w:p>
                  <w:pPr>
                    <w:pStyle w:val="null3"/>
                    <w:jc w:val="left"/>
                  </w:pPr>
                  <w:r>
                    <w:rPr>
                      <w:rFonts w:ascii="仿宋_GB2312" w:hAnsi="仿宋_GB2312" w:cs="仿宋_GB2312" w:eastAsia="仿宋_GB2312"/>
                      <w:sz w:val="19"/>
                    </w:rPr>
                    <w:t>服务地点：</w:t>
                  </w:r>
                  <w:r>
                    <w:rPr>
                      <w:rFonts w:ascii="仿宋_GB2312" w:hAnsi="仿宋_GB2312" w:cs="仿宋_GB2312" w:eastAsia="仿宋_GB2312"/>
                      <w:sz w:val="24"/>
                    </w:rPr>
                    <w:t>海南省财政厅。</w:t>
                  </w:r>
                </w:p>
                <w:p>
                  <w:pPr>
                    <w:pStyle w:val="null3"/>
                    <w:jc w:val="left"/>
                  </w:pPr>
                  <w:r>
                    <w:rPr>
                      <w:rFonts w:ascii="仿宋_GB2312" w:hAnsi="仿宋_GB2312" w:cs="仿宋_GB2312" w:eastAsia="仿宋_GB2312"/>
                      <w:sz w:val="19"/>
                    </w:rPr>
                    <w:t>二、本包采购预算：</w:t>
                  </w:r>
                  <w:r>
                    <w:rPr>
                      <w:rFonts w:ascii="仿宋_GB2312" w:hAnsi="仿宋_GB2312" w:cs="仿宋_GB2312" w:eastAsia="仿宋_GB2312"/>
                      <w:sz w:val="19"/>
                    </w:rPr>
                    <w:t>120000元（报价不得超出采购预算）</w:t>
                  </w:r>
                </w:p>
                <w:p>
                  <w:pPr>
                    <w:pStyle w:val="null3"/>
                    <w:jc w:val="left"/>
                  </w:pPr>
                  <w:r>
                    <w:rPr>
                      <w:rFonts w:ascii="仿宋_GB2312" w:hAnsi="仿宋_GB2312" w:cs="仿宋_GB2312" w:eastAsia="仿宋_GB2312"/>
                      <w:sz w:val="19"/>
                    </w:rPr>
                    <w:t xml:space="preserve"> </w:t>
                  </w:r>
                </w:p>
              </w:tc>
            </w:tr>
          </w:tbl>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无</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（1）“★”条款为不允许偏离的实质性要求和条件，如不满足则认定其投标无效。 （2）“二、技术和服务要求”、“三、商务要求”须在技术、商务响应表中逐条响应，其它内容无须在技术、商务响应表中响应。</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自定义格式</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自定义格式</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自定义格式</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自定义格式</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自定义格式</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自定义格式</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自定义格式</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自定义格式</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参加政府采购活动前三年内，无环保类行政处罚记录。</w:t>
            </w:r>
          </w:p>
        </w:tc>
        <w:tc>
          <w:tcPr>
            <w:tcW w:type="dxa" w:w="3322"/>
          </w:tcPr>
          <w:p>
            <w:pPr>
              <w:pStyle w:val="null3"/>
              <w:jc w:val="left"/>
            </w:pPr>
            <w:r>
              <w:rPr>
                <w:rFonts w:ascii="仿宋_GB2312" w:hAnsi="仿宋_GB2312" w:cs="仿宋_GB2312" w:eastAsia="仿宋_GB2312"/>
              </w:rPr>
              <w:t>提供无环保类行政处罚记录声明函，加盖公章。</w:t>
            </w:r>
          </w:p>
        </w:tc>
        <w:tc>
          <w:tcPr>
            <w:tcW w:type="dxa" w:w="1661"/>
          </w:tcPr>
          <w:p>
            <w:pPr>
              <w:pStyle w:val="null3"/>
              <w:jc w:val="left"/>
            </w:pPr>
            <w:r>
              <w:rPr>
                <w:rFonts w:ascii="仿宋_GB2312" w:hAnsi="仿宋_GB2312" w:cs="仿宋_GB2312" w:eastAsia="仿宋_GB2312"/>
              </w:rPr>
              <w:t>自定义格式</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参加政府采购活动前三年内，无环保类行政处罚记录。</w:t>
            </w:r>
          </w:p>
        </w:tc>
        <w:tc>
          <w:tcPr>
            <w:tcW w:type="dxa" w:w="3322"/>
          </w:tcPr>
          <w:p>
            <w:pPr>
              <w:pStyle w:val="null3"/>
              <w:jc w:val="left"/>
            </w:pPr>
            <w:r>
              <w:rPr>
                <w:rFonts w:ascii="仿宋_GB2312" w:hAnsi="仿宋_GB2312" w:cs="仿宋_GB2312" w:eastAsia="仿宋_GB2312"/>
              </w:rPr>
              <w:t>提供无环保类行政处罚记录声明函，加盖公章。</w:t>
            </w:r>
          </w:p>
        </w:tc>
        <w:tc>
          <w:tcPr>
            <w:tcW w:type="dxa" w:w="1661"/>
          </w:tcPr>
          <w:p>
            <w:pPr>
              <w:pStyle w:val="null3"/>
              <w:jc w:val="left"/>
            </w:pPr>
            <w:r>
              <w:rPr>
                <w:rFonts w:ascii="仿宋_GB2312" w:hAnsi="仿宋_GB2312" w:cs="仿宋_GB2312" w:eastAsia="仿宋_GB2312"/>
              </w:rPr>
              <w:t>自定义格式</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参加政府采购活动前三年内，无环保类行政处罚记录。</w:t>
            </w:r>
          </w:p>
        </w:tc>
        <w:tc>
          <w:tcPr>
            <w:tcW w:type="dxa" w:w="3322"/>
          </w:tcPr>
          <w:p>
            <w:pPr>
              <w:pStyle w:val="null3"/>
              <w:jc w:val="left"/>
            </w:pPr>
            <w:r>
              <w:rPr>
                <w:rFonts w:ascii="仿宋_GB2312" w:hAnsi="仿宋_GB2312" w:cs="仿宋_GB2312" w:eastAsia="仿宋_GB2312"/>
              </w:rPr>
              <w:t>提供无环保类行政处罚记录声明函，加盖公章。</w:t>
            </w:r>
          </w:p>
        </w:tc>
        <w:tc>
          <w:tcPr>
            <w:tcW w:type="dxa" w:w="1661"/>
          </w:tcPr>
          <w:p>
            <w:pPr>
              <w:pStyle w:val="null3"/>
              <w:jc w:val="left"/>
            </w:pPr>
            <w:r>
              <w:rPr>
                <w:rFonts w:ascii="仿宋_GB2312" w:hAnsi="仿宋_GB2312" w:cs="仿宋_GB2312" w:eastAsia="仿宋_GB2312"/>
              </w:rPr>
              <w:t>自定义格式</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参加政府采购活动前三年内，无环保类行政处罚记录。</w:t>
            </w:r>
          </w:p>
        </w:tc>
        <w:tc>
          <w:tcPr>
            <w:tcW w:type="dxa" w:w="3322"/>
          </w:tcPr>
          <w:p>
            <w:pPr>
              <w:pStyle w:val="null3"/>
              <w:jc w:val="left"/>
            </w:pPr>
            <w:r>
              <w:rPr>
                <w:rFonts w:ascii="仿宋_GB2312" w:hAnsi="仿宋_GB2312" w:cs="仿宋_GB2312" w:eastAsia="仿宋_GB2312"/>
              </w:rPr>
              <w:t>提供无环保类行政处罚记录声明函，加盖公章。</w:t>
            </w:r>
          </w:p>
        </w:tc>
        <w:tc>
          <w:tcPr>
            <w:tcW w:type="dxa" w:w="1661"/>
          </w:tcPr>
          <w:p>
            <w:pPr>
              <w:pStyle w:val="null3"/>
              <w:jc w:val="left"/>
            </w:pPr>
            <w:r>
              <w:rPr>
                <w:rFonts w:ascii="仿宋_GB2312" w:hAnsi="仿宋_GB2312" w:cs="仿宋_GB2312" w:eastAsia="仿宋_GB2312"/>
              </w:rPr>
              <w:t>自定义格式</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参加政府采购活动前三年内，无环保类行政处罚记录。</w:t>
            </w:r>
          </w:p>
        </w:tc>
        <w:tc>
          <w:tcPr>
            <w:tcW w:type="dxa" w:w="3322"/>
          </w:tcPr>
          <w:p>
            <w:pPr>
              <w:pStyle w:val="null3"/>
              <w:jc w:val="left"/>
            </w:pPr>
            <w:r>
              <w:rPr>
                <w:rFonts w:ascii="仿宋_GB2312" w:hAnsi="仿宋_GB2312" w:cs="仿宋_GB2312" w:eastAsia="仿宋_GB2312"/>
              </w:rPr>
              <w:t>提供无环保类行政处罚记录声明函，加盖公章。</w:t>
            </w:r>
          </w:p>
        </w:tc>
        <w:tc>
          <w:tcPr>
            <w:tcW w:type="dxa" w:w="1661"/>
          </w:tcPr>
          <w:p>
            <w:pPr>
              <w:pStyle w:val="null3"/>
              <w:jc w:val="left"/>
            </w:pPr>
            <w:r>
              <w:rPr>
                <w:rFonts w:ascii="仿宋_GB2312" w:hAnsi="仿宋_GB2312" w:cs="仿宋_GB2312" w:eastAsia="仿宋_GB2312"/>
              </w:rPr>
              <w:t>自定义格式</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参加政府采购活动前三年内，无环保类行政处罚记录。</w:t>
            </w:r>
          </w:p>
        </w:tc>
        <w:tc>
          <w:tcPr>
            <w:tcW w:type="dxa" w:w="3322"/>
          </w:tcPr>
          <w:p>
            <w:pPr>
              <w:pStyle w:val="null3"/>
              <w:jc w:val="left"/>
            </w:pPr>
            <w:r>
              <w:rPr>
                <w:rFonts w:ascii="仿宋_GB2312" w:hAnsi="仿宋_GB2312" w:cs="仿宋_GB2312" w:eastAsia="仿宋_GB2312"/>
              </w:rPr>
              <w:t>提供无环保类行政处罚记录声明函，加盖公章。</w:t>
            </w:r>
          </w:p>
        </w:tc>
        <w:tc>
          <w:tcPr>
            <w:tcW w:type="dxa" w:w="1661"/>
          </w:tcPr>
          <w:p>
            <w:pPr>
              <w:pStyle w:val="null3"/>
              <w:jc w:val="left"/>
            </w:pPr>
            <w:r>
              <w:rPr>
                <w:rFonts w:ascii="仿宋_GB2312" w:hAnsi="仿宋_GB2312" w:cs="仿宋_GB2312" w:eastAsia="仿宋_GB2312"/>
              </w:rPr>
              <w:t>自定义格式</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参加政府采购活动前三年内，无环保类行政处罚记录。</w:t>
            </w:r>
          </w:p>
        </w:tc>
        <w:tc>
          <w:tcPr>
            <w:tcW w:type="dxa" w:w="3322"/>
          </w:tcPr>
          <w:p>
            <w:pPr>
              <w:pStyle w:val="null3"/>
              <w:jc w:val="left"/>
            </w:pPr>
            <w:r>
              <w:rPr>
                <w:rFonts w:ascii="仿宋_GB2312" w:hAnsi="仿宋_GB2312" w:cs="仿宋_GB2312" w:eastAsia="仿宋_GB2312"/>
              </w:rPr>
              <w:t>提供无环保类行政处罚记录声明函，加盖公章。</w:t>
            </w:r>
          </w:p>
        </w:tc>
        <w:tc>
          <w:tcPr>
            <w:tcW w:type="dxa" w:w="1661"/>
          </w:tcPr>
          <w:p>
            <w:pPr>
              <w:pStyle w:val="null3"/>
              <w:jc w:val="left"/>
            </w:pPr>
            <w:r>
              <w:rPr>
                <w:rFonts w:ascii="仿宋_GB2312" w:hAnsi="仿宋_GB2312" w:cs="仿宋_GB2312" w:eastAsia="仿宋_GB2312"/>
              </w:rPr>
              <w:t>自定义格式</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参加政府采购活动前三年内，无环保类行政处罚记录。</w:t>
            </w:r>
          </w:p>
        </w:tc>
        <w:tc>
          <w:tcPr>
            <w:tcW w:type="dxa" w:w="3322"/>
          </w:tcPr>
          <w:p>
            <w:pPr>
              <w:pStyle w:val="null3"/>
              <w:jc w:val="left"/>
            </w:pPr>
            <w:r>
              <w:rPr>
                <w:rFonts w:ascii="仿宋_GB2312" w:hAnsi="仿宋_GB2312" w:cs="仿宋_GB2312" w:eastAsia="仿宋_GB2312"/>
              </w:rPr>
              <w:t>提供无环保类行政处罚记录声明函，加盖公章。</w:t>
            </w:r>
          </w:p>
        </w:tc>
        <w:tc>
          <w:tcPr>
            <w:tcW w:type="dxa" w:w="1661"/>
          </w:tcPr>
          <w:p>
            <w:pPr>
              <w:pStyle w:val="null3"/>
              <w:jc w:val="left"/>
            </w:pPr>
            <w:r>
              <w:rPr>
                <w:rFonts w:ascii="仿宋_GB2312" w:hAnsi="仿宋_GB2312" w:cs="仿宋_GB2312" w:eastAsia="仿宋_GB2312"/>
              </w:rPr>
              <w:t>自定义格式</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本采购包为专门面向中小企业采购，投标人须提供中小企业声明函。监狱企业、残疾人福利性单位视同小型、微型企业。</w:t>
            </w:r>
          </w:p>
        </w:tc>
        <w:tc>
          <w:tcPr>
            <w:tcW w:type="dxa" w:w="1661"/>
          </w:tcPr>
          <w:p>
            <w:pPr>
              <w:pStyle w:val="null3"/>
              <w:jc w:val="left"/>
            </w:pPr>
            <w:r>
              <w:rPr>
                <w:rFonts w:ascii="仿宋_GB2312" w:hAnsi="仿宋_GB2312" w:cs="仿宋_GB2312" w:eastAsia="仿宋_GB2312"/>
              </w:rPr>
              <w:t>自定义格式</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本采购包属于专门面向小微企业采购。</w:t>
            </w:r>
          </w:p>
        </w:tc>
        <w:tc>
          <w:tcPr>
            <w:tcW w:type="dxa" w:w="3322"/>
          </w:tcPr>
          <w:p>
            <w:pPr>
              <w:pStyle w:val="null3"/>
              <w:jc w:val="left"/>
            </w:pPr>
            <w:r>
              <w:rPr>
                <w:rFonts w:ascii="仿宋_GB2312" w:hAnsi="仿宋_GB2312" w:cs="仿宋_GB2312" w:eastAsia="仿宋_GB2312"/>
              </w:rPr>
              <w:t>本采购包为专门面向小微企业采购，投标人须提供中小企业声明函。监狱企业、残疾人福利性单位视同小型、微型企业。</w:t>
            </w:r>
          </w:p>
        </w:tc>
        <w:tc>
          <w:tcPr>
            <w:tcW w:type="dxa" w:w="1661"/>
          </w:tcPr>
          <w:p>
            <w:pPr>
              <w:pStyle w:val="null3"/>
              <w:jc w:val="left"/>
            </w:pPr>
            <w:r>
              <w:rPr>
                <w:rFonts w:ascii="仿宋_GB2312" w:hAnsi="仿宋_GB2312" w:cs="仿宋_GB2312" w:eastAsia="仿宋_GB2312"/>
              </w:rPr>
              <w:t>自定义格式</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本采购包为专门面向中小企业采购，投标人须提供中小企业声明函。监狱企业、残疾人福利性单位视同小型、微型企业。</w:t>
            </w:r>
          </w:p>
        </w:tc>
        <w:tc>
          <w:tcPr>
            <w:tcW w:type="dxa" w:w="1661"/>
          </w:tcPr>
          <w:p>
            <w:pPr>
              <w:pStyle w:val="null3"/>
              <w:jc w:val="left"/>
            </w:pPr>
            <w:r>
              <w:rPr>
                <w:rFonts w:ascii="仿宋_GB2312" w:hAnsi="仿宋_GB2312" w:cs="仿宋_GB2312" w:eastAsia="仿宋_GB2312"/>
              </w:rPr>
              <w:t>自定义格式</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本采购包属于专门面向小微企业采购。</w:t>
            </w:r>
          </w:p>
        </w:tc>
        <w:tc>
          <w:tcPr>
            <w:tcW w:type="dxa" w:w="3322"/>
          </w:tcPr>
          <w:p>
            <w:pPr>
              <w:pStyle w:val="null3"/>
              <w:jc w:val="left"/>
            </w:pPr>
            <w:r>
              <w:rPr>
                <w:rFonts w:ascii="仿宋_GB2312" w:hAnsi="仿宋_GB2312" w:cs="仿宋_GB2312" w:eastAsia="仿宋_GB2312"/>
              </w:rPr>
              <w:t>本采购包为专门面向小微企业采购，投标人须提供中小企业声明函。监狱企业、残疾人福利性单位视同小型、微型企业。</w:t>
            </w:r>
          </w:p>
        </w:tc>
        <w:tc>
          <w:tcPr>
            <w:tcW w:type="dxa" w:w="1661"/>
          </w:tcPr>
          <w:p>
            <w:pPr>
              <w:pStyle w:val="null3"/>
              <w:jc w:val="left"/>
            </w:pPr>
            <w:r>
              <w:rPr>
                <w:rFonts w:ascii="仿宋_GB2312" w:hAnsi="仿宋_GB2312" w:cs="仿宋_GB2312" w:eastAsia="仿宋_GB2312"/>
              </w:rPr>
              <w:t>自定义格式</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本采购包为专门面向中小企业采购，投标人须提供中小企业声明函。监狱企业、残疾人福利性单位视同小型、微型企业。</w:t>
            </w:r>
          </w:p>
        </w:tc>
        <w:tc>
          <w:tcPr>
            <w:tcW w:type="dxa" w:w="1661"/>
          </w:tcPr>
          <w:p>
            <w:pPr>
              <w:pStyle w:val="null3"/>
              <w:jc w:val="left"/>
            </w:pPr>
            <w:r>
              <w:rPr>
                <w:rFonts w:ascii="仿宋_GB2312" w:hAnsi="仿宋_GB2312" w:cs="仿宋_GB2312" w:eastAsia="仿宋_GB2312"/>
              </w:rPr>
              <w:t>自定义格式</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投标有效期须满足“须知前附表”第6点要求。</w:t>
            </w:r>
          </w:p>
        </w:tc>
        <w:tc>
          <w:tcPr>
            <w:tcW w:type="dxa" w:w="1661"/>
          </w:tcPr>
          <w:p>
            <w:pPr>
              <w:pStyle w:val="null3"/>
              <w:jc w:val="left"/>
            </w:pPr>
            <w:r>
              <w:rPr>
                <w:rFonts w:ascii="仿宋_GB2312" w:hAnsi="仿宋_GB2312" w:cs="仿宋_GB2312" w:eastAsia="仿宋_GB2312"/>
              </w:rPr>
              <w:t>开标（报价）一览表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投标有效期须满足“须知前附表”第6点要求。</w:t>
            </w:r>
          </w:p>
        </w:tc>
        <w:tc>
          <w:tcPr>
            <w:tcW w:type="dxa" w:w="1661"/>
          </w:tcPr>
          <w:p>
            <w:pPr>
              <w:pStyle w:val="null3"/>
              <w:jc w:val="left"/>
            </w:pPr>
            <w:r>
              <w:rPr>
                <w:rFonts w:ascii="仿宋_GB2312" w:hAnsi="仿宋_GB2312" w:cs="仿宋_GB2312" w:eastAsia="仿宋_GB2312"/>
              </w:rPr>
              <w:t>开标（报价）一览表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自定义格式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自定义格式</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投标有效期须满足“须知前附表”第6点要求。</w:t>
            </w:r>
          </w:p>
        </w:tc>
        <w:tc>
          <w:tcPr>
            <w:tcW w:type="dxa" w:w="1661"/>
          </w:tcPr>
          <w:p>
            <w:pPr>
              <w:pStyle w:val="null3"/>
              <w:jc w:val="left"/>
            </w:pPr>
            <w:r>
              <w:rPr>
                <w:rFonts w:ascii="仿宋_GB2312" w:hAnsi="仿宋_GB2312" w:cs="仿宋_GB2312" w:eastAsia="仿宋_GB2312"/>
              </w:rPr>
              <w:t>开标（报价）一览表 自定义格式</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自定义格式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投标有效期须满足“须知前附表”第6点要求。</w:t>
            </w:r>
          </w:p>
        </w:tc>
        <w:tc>
          <w:tcPr>
            <w:tcW w:type="dxa" w:w="1661"/>
          </w:tcPr>
          <w:p>
            <w:pPr>
              <w:pStyle w:val="null3"/>
              <w:jc w:val="left"/>
            </w:pPr>
            <w:r>
              <w:rPr>
                <w:rFonts w:ascii="仿宋_GB2312" w:hAnsi="仿宋_GB2312" w:cs="仿宋_GB2312" w:eastAsia="仿宋_GB2312"/>
              </w:rPr>
              <w:t>开标（报价）一览表 自定义格式</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自定义格式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自定义格式</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投标有效期须满足“须知前附表”第6点要求。</w:t>
            </w:r>
          </w:p>
        </w:tc>
        <w:tc>
          <w:tcPr>
            <w:tcW w:type="dxa" w:w="1661"/>
          </w:tcPr>
          <w:p>
            <w:pPr>
              <w:pStyle w:val="null3"/>
              <w:jc w:val="left"/>
            </w:pPr>
            <w:r>
              <w:rPr>
                <w:rFonts w:ascii="仿宋_GB2312" w:hAnsi="仿宋_GB2312" w:cs="仿宋_GB2312" w:eastAsia="仿宋_GB2312"/>
              </w:rPr>
              <w:t>开标（报价）一览表 自定义格式</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自定义格式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自定义格式</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投标有效期须满足“须知前附表”第6点要求。</w:t>
            </w:r>
          </w:p>
        </w:tc>
        <w:tc>
          <w:tcPr>
            <w:tcW w:type="dxa" w:w="1661"/>
          </w:tcPr>
          <w:p>
            <w:pPr>
              <w:pStyle w:val="null3"/>
              <w:jc w:val="left"/>
            </w:pPr>
            <w:r>
              <w:rPr>
                <w:rFonts w:ascii="仿宋_GB2312" w:hAnsi="仿宋_GB2312" w:cs="仿宋_GB2312" w:eastAsia="仿宋_GB2312"/>
              </w:rPr>
              <w:t>开标（报价）一览表 自定义格式</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自定义格式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自定义格式</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投标有效期须满足“须知前附表”第6点要求。</w:t>
            </w:r>
          </w:p>
        </w:tc>
        <w:tc>
          <w:tcPr>
            <w:tcW w:type="dxa" w:w="1661"/>
          </w:tcPr>
          <w:p>
            <w:pPr>
              <w:pStyle w:val="null3"/>
              <w:jc w:val="left"/>
            </w:pPr>
            <w:r>
              <w:rPr>
                <w:rFonts w:ascii="仿宋_GB2312" w:hAnsi="仿宋_GB2312" w:cs="仿宋_GB2312" w:eastAsia="仿宋_GB2312"/>
              </w:rPr>
              <w:t>开标（报价）一览表 自定义格式</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 自定义格式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自定义格式</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自定义格式</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投标有效期须满足“须知前附表”第6点要求。</w:t>
            </w:r>
          </w:p>
        </w:tc>
        <w:tc>
          <w:tcPr>
            <w:tcW w:type="dxa" w:w="1661"/>
          </w:tcPr>
          <w:p>
            <w:pPr>
              <w:pStyle w:val="null3"/>
              <w:jc w:val="left"/>
            </w:pPr>
            <w:r>
              <w:rPr>
                <w:rFonts w:ascii="仿宋_GB2312" w:hAnsi="仿宋_GB2312" w:cs="仿宋_GB2312" w:eastAsia="仿宋_GB2312"/>
              </w:rPr>
              <w:t>自定义格式</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技术部分58.00分</w:t>
            </w:r>
          </w:p>
          <w:p>
            <w:pPr>
              <w:pStyle w:val="null3"/>
              <w:jc w:val="both"/>
            </w:pPr>
            <w:r>
              <w:rPr>
                <w:rFonts w:ascii="仿宋_GB2312" w:hAnsi="仿宋_GB2312" w:cs="仿宋_GB2312" w:eastAsia="仿宋_GB2312"/>
              </w:rPr>
              <w:t>商务部分32.00分</w:t>
            </w:r>
          </w:p>
          <w:p>
            <w:pPr>
              <w:pStyle w:val="null3"/>
              <w:jc w:val="both"/>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对接方案</w:t>
            </w:r>
          </w:p>
        </w:tc>
        <w:tc>
          <w:tcPr>
            <w:tcW w:type="dxa" w:w="2492"/>
          </w:tcPr>
          <w:p>
            <w:pPr>
              <w:pStyle w:val="null3"/>
              <w:jc w:val="both"/>
            </w:pPr>
            <w:r>
              <w:rPr>
                <w:rFonts w:ascii="仿宋_GB2312" w:hAnsi="仿宋_GB2312" w:cs="仿宋_GB2312" w:eastAsia="仿宋_GB2312"/>
              </w:rPr>
              <w:t>为确保电子凭证汇集子系统和预算管理一体化系统、公务报账子系统、会计档案管理子系统、财政电子票据系统、非税收入征缴系统无缝对接，保障项目的顺利实施，投标人需了解上述6个系统间的关系，对电子凭证汇集子系统建设需求中的重、难点进行分析，并提出解决方案。方案应满足采购需求。 1.对接方案，完全满足采购需求得6分； 2.对接方案，不完全满足采购需求得3分； 3.不提供不得分。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总体设计</w:t>
            </w:r>
          </w:p>
        </w:tc>
        <w:tc>
          <w:tcPr>
            <w:tcW w:type="dxa" w:w="2492"/>
          </w:tcPr>
          <w:p>
            <w:pPr>
              <w:pStyle w:val="null3"/>
              <w:jc w:val="both"/>
            </w:pPr>
            <w:r>
              <w:rPr>
                <w:rFonts w:ascii="仿宋_GB2312" w:hAnsi="仿宋_GB2312" w:cs="仿宋_GB2312" w:eastAsia="仿宋_GB2312"/>
              </w:rPr>
              <w:t>投标人对项目的总体设计合理，目标清晰，充分理解项目建设重点、难点，并提出解决思路，并能充分理解本项目所需的数据来源和财政部《电子凭证会计数据标准（试行版）》规范要求等，响应内容应满足采购需求。 1.总体设计中具有技术框架和路线的完整分析得2分，其他或不提供不得分； 2.总体设计中完全符合项目需求并提供重难点解决思路得2分，其他或不提供不得分； 3.总体设计中有本项目所需的数据来源分析得2分，其他或不提供不得分。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总体架构</w:t>
            </w:r>
          </w:p>
        </w:tc>
        <w:tc>
          <w:tcPr>
            <w:tcW w:type="dxa" w:w="2492"/>
          </w:tcPr>
          <w:p>
            <w:pPr>
              <w:pStyle w:val="null3"/>
              <w:jc w:val="both"/>
            </w:pPr>
            <w:r>
              <w:rPr>
                <w:rFonts w:ascii="仿宋_GB2312" w:hAnsi="仿宋_GB2312" w:cs="仿宋_GB2312" w:eastAsia="仿宋_GB2312"/>
              </w:rPr>
              <w:t>结合本系统建设要求，采用微服务、报表、数据交换等技术路线，总体架构完整、先进、完善，逻辑结构清晰，具备二次开发的扩展能力，并能提出项目后续的规划内容，响应内容应满足采购需求。 1.具有上述要求的技术路线得1分，其他或不提供不得分； 2.具有上述要求的总体框架得1分，其他或不提供不得分； 3.具有二次开发的扩展能力得2分，其他或不提供不得分； 4.具有项目后续规划内容得2分，其他或不提供不得分。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设计方案</w:t>
            </w:r>
          </w:p>
        </w:tc>
        <w:tc>
          <w:tcPr>
            <w:tcW w:type="dxa" w:w="2492"/>
          </w:tcPr>
          <w:p>
            <w:pPr>
              <w:pStyle w:val="null3"/>
              <w:jc w:val="both"/>
            </w:pPr>
            <w:r>
              <w:rPr>
                <w:rFonts w:ascii="仿宋_GB2312" w:hAnsi="仿宋_GB2312" w:cs="仿宋_GB2312" w:eastAsia="仿宋_GB2312"/>
              </w:rPr>
              <w:t>投标人提供详细设计方案，方案须满足招标文件技术要求，具备电子凭证采集、电子凭证查重、电子凭证验真、电子凭证验签、电子凭证解析、电子凭证归档、生成入账信息文件、电子票据池、统计分析、接口开发等功能。 1.具备所有功能得10分； 2.每缺失一项功能扣1分，直到扣完为止。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数据安全保障方案</w:t>
            </w:r>
          </w:p>
        </w:tc>
        <w:tc>
          <w:tcPr>
            <w:tcW w:type="dxa" w:w="2492"/>
          </w:tcPr>
          <w:p>
            <w:pPr>
              <w:pStyle w:val="null3"/>
              <w:jc w:val="both"/>
            </w:pPr>
            <w:r>
              <w:rPr>
                <w:rFonts w:ascii="仿宋_GB2312" w:hAnsi="仿宋_GB2312" w:cs="仿宋_GB2312" w:eastAsia="仿宋_GB2312"/>
              </w:rPr>
              <w:t>投标人全面分析数据安全需求，提供数据安全保障方案，提出数据安全建议，响应内容应满足采购需求。 1.有完全满足采购需求的数据安全保障方案得2分，部分满足采购需求的数据安全保障方案得1分，不提供不得分； 2.有完全针对本项目的数据安全建议得2分，部分针对本项目的数据安全建议得1分，不提供不得分。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实施方案</w:t>
            </w:r>
          </w:p>
        </w:tc>
        <w:tc>
          <w:tcPr>
            <w:tcW w:type="dxa" w:w="2492"/>
          </w:tcPr>
          <w:p>
            <w:pPr>
              <w:pStyle w:val="null3"/>
              <w:jc w:val="both"/>
            </w:pPr>
            <w:r>
              <w:rPr>
                <w:rFonts w:ascii="仿宋_GB2312" w:hAnsi="仿宋_GB2312" w:cs="仿宋_GB2312" w:eastAsia="仿宋_GB2312"/>
              </w:rPr>
              <w:t>投标人提供满足采购需求的内容全面的实施方案，包括工作分解结构与进度计划、质量保证、风险管控、组织架构、测试、验收、交付物、关键里程碑等方面内容和培训方案。 1.有全面的实施方案得4分，每缺失一小点内容扣0.5分，扣完为止； 2.有线上线下等多种培训方式，培训次数达3次及以上的培训方案得2分；有线上线下等多种培训方式，培训次数1-2次得1分，其余不得分。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系统演示</w:t>
            </w:r>
          </w:p>
        </w:tc>
        <w:tc>
          <w:tcPr>
            <w:tcW w:type="dxa" w:w="2492"/>
          </w:tcPr>
          <w:p>
            <w:pPr>
              <w:pStyle w:val="null3"/>
              <w:jc w:val="both"/>
            </w:pPr>
            <w:r>
              <w:rPr>
                <w:rFonts w:ascii="仿宋_GB2312" w:hAnsi="仿宋_GB2312" w:cs="仿宋_GB2312" w:eastAsia="仿宋_GB2312"/>
              </w:rPr>
              <w:t>投标要求提供系统演示，不演示不得分，投标人进行合理演说，语言简练。评标现场无网络，请投标人自带演示设备，现场系统演示时间控制在20分钟内。投标人须对以下内容进行演示： （1）从电子税务局自动采集数电票； （2）通过电子邮箱自动采集电子发票，应自动识别邮箱内的文件类型，只采集电子发票（邮箱信息由招标人现场提供，邮箱类型为网易163邮箱）； （3）上传一个纸质发票扫描文件（pdf格式，含多张不同类型的发票）并自动识别票面信息生成结构化数据，然后进行自动验真（上传的扫描文件由招标人现场提供）； （4）上传一张数电票（含pdf文件和XML数据），系统自动验签是否被篡改（数电票文件由招标人现场提供）。 以上演示内容，总分最高得20分： 1.采用真实案例或系统原型进行演示，演示内容完全满足招标需求，过程流畅合理，每个演示点得5分； 2.采用真实案例或系统原型进行演示，演示内容部分满足招标需求，过程较为流畅合理，每个演示点得2分； 3.未满足招标需求不得分。 注：演示功能以招标文件中建设需求为基准。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企业管理服务能力</w:t>
            </w:r>
          </w:p>
        </w:tc>
        <w:tc>
          <w:tcPr>
            <w:tcW w:type="dxa" w:w="2492"/>
          </w:tcPr>
          <w:p>
            <w:pPr>
              <w:pStyle w:val="null3"/>
              <w:jc w:val="both"/>
            </w:pPr>
            <w:r>
              <w:rPr>
                <w:rFonts w:ascii="仿宋_GB2312" w:hAnsi="仿宋_GB2312" w:cs="仿宋_GB2312" w:eastAsia="仿宋_GB2312"/>
              </w:rPr>
              <w:t>1.投标人具有 ISO20000 信息技术服务管理体系认证证书。 2.投标人具有 ISO9001 质量管理体系认证证书。 3.投标人具有 ISO27001 信息安全管理体系认证证书。 4.投标人具有 CMMI 三级或以上资质证书。 5.投标人具有 ITSS 信息技术服务标准符合性证书。 以上证书每提供一项得1分，满分4分。 须提供有效期内的证书扫描件加盖公章，否则不得分。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项目经验</w:t>
            </w:r>
          </w:p>
        </w:tc>
        <w:tc>
          <w:tcPr>
            <w:tcW w:type="dxa" w:w="2492"/>
          </w:tcPr>
          <w:p>
            <w:pPr>
              <w:pStyle w:val="null3"/>
              <w:jc w:val="both"/>
            </w:pPr>
            <w:r>
              <w:rPr>
                <w:rFonts w:ascii="仿宋_GB2312" w:hAnsi="仿宋_GB2312" w:cs="仿宋_GB2312" w:eastAsia="仿宋_GB2312"/>
              </w:rPr>
              <w:t>2020年1月1日至今与本项目服务需求类似的开发业绩。每提供一个得1分，共4分。 须提供盖章合同（扫描件），证明材料均不得遮挡涂黑，否则不得分。 注：包括合同金额、双方名称及盖章、合同服务内容，业绩认定日期以合同签订日期为准。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技术及产品实力</w:t>
            </w:r>
          </w:p>
        </w:tc>
        <w:tc>
          <w:tcPr>
            <w:tcW w:type="dxa" w:w="2492"/>
          </w:tcPr>
          <w:p>
            <w:pPr>
              <w:pStyle w:val="null3"/>
              <w:jc w:val="both"/>
            </w:pPr>
            <w:r>
              <w:rPr>
                <w:rFonts w:ascii="仿宋_GB2312" w:hAnsi="仿宋_GB2312" w:cs="仿宋_GB2312" w:eastAsia="仿宋_GB2312"/>
              </w:rPr>
              <w:t>1.投标人提供自主知识产权的财政系统类软件著作权证书得5分。 2.投标人提供自主知识产权的电子会计凭证汇聚类软件著作权证书得5分。 备注：须提供开标前国家版权局颁发获得的软件著作权证书或专利证书的扫描件加盖公章，否则不得分。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项目负责人</w:t>
            </w:r>
          </w:p>
        </w:tc>
        <w:tc>
          <w:tcPr>
            <w:tcW w:type="dxa" w:w="2492"/>
          </w:tcPr>
          <w:p>
            <w:pPr>
              <w:pStyle w:val="null3"/>
              <w:jc w:val="both"/>
            </w:pPr>
            <w:r>
              <w:rPr>
                <w:rFonts w:ascii="仿宋_GB2312" w:hAnsi="仿宋_GB2312" w:cs="仿宋_GB2312" w:eastAsia="仿宋_GB2312"/>
              </w:rPr>
              <w:t>1.项目负责人具备信息系统项目管理师证书高级证书或IT服务项目经理证书的，得1分。 2.项目负责人应具备信息化行业5年及以上相关工作经验，提供用户证明文件，得1分。 须提供相应证书（扫描件）、2025年1月至今任意3个月的社保缴纳的证明（扫描件）、用户单位出具的项目负责人项目工作经验证明，否则不得分。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项目团队要求</w:t>
            </w:r>
          </w:p>
        </w:tc>
        <w:tc>
          <w:tcPr>
            <w:tcW w:type="dxa" w:w="2492"/>
          </w:tcPr>
          <w:p>
            <w:pPr>
              <w:pStyle w:val="null3"/>
              <w:jc w:val="both"/>
            </w:pPr>
            <w:r>
              <w:rPr>
                <w:rFonts w:ascii="仿宋_GB2312" w:hAnsi="仿宋_GB2312" w:cs="仿宋_GB2312" w:eastAsia="仿宋_GB2312"/>
              </w:rPr>
              <w:t>1.投标人须承诺项目团队人数不少于5人，且拟提供的项目团队人员分工明确，提供承诺函（格式自拟，加盖公章）的得2分，未提供不得分。 2.投标人项目团队中技术负责人具有系统规划与管理师高级证书或系统分析师高级证书或系统架构设计师高级证书的，得2分。 3.投标人项目团队成员中具有信息系统管理工程师证书、数据库系统工程师证书、软件设计师证书、信息注册安全专业人员（CISP）证书、软件测评师证书，每提供1人（具有以上证书之一）得1分，同一个人有多个上述证书可重复得分，最高得8分。 须提供相应证书扫描件、团队所有人员须提供2025年1月至今任意3个月的社保缴纳的证明(扫描件)，加盖公章，否则不得分。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技术部分58.00分</w:t>
            </w:r>
          </w:p>
          <w:p>
            <w:pPr>
              <w:pStyle w:val="null3"/>
              <w:jc w:val="both"/>
            </w:pPr>
            <w:r>
              <w:rPr>
                <w:rFonts w:ascii="仿宋_GB2312" w:hAnsi="仿宋_GB2312" w:cs="仿宋_GB2312" w:eastAsia="仿宋_GB2312"/>
              </w:rPr>
              <w:t>商务部分32.00分</w:t>
            </w:r>
          </w:p>
          <w:p>
            <w:pPr>
              <w:pStyle w:val="null3"/>
              <w:jc w:val="both"/>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对接方案</w:t>
            </w:r>
          </w:p>
        </w:tc>
        <w:tc>
          <w:tcPr>
            <w:tcW w:type="dxa" w:w="2492"/>
          </w:tcPr>
          <w:p>
            <w:pPr>
              <w:pStyle w:val="null3"/>
              <w:jc w:val="both"/>
            </w:pPr>
            <w:r>
              <w:rPr>
                <w:rFonts w:ascii="仿宋_GB2312" w:hAnsi="仿宋_GB2312" w:cs="仿宋_GB2312" w:eastAsia="仿宋_GB2312"/>
              </w:rPr>
              <w:t>为确保公务报账子系统和预算管理一体化系统、电子凭证汇聚系统、会计档案管理子系统、政府采购平台无缝对接，保障项目的顺利实施，投标人需了解上述5个系统间的关系，对公务报账子系统的重、难点进行分析，并提出解决方案。方案应满足采购需求。 1.对接方案，完全满足采购需求得6分； 2.对接方案，不完全满足采购需求得3分； 3.不提供不得分。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总体设计</w:t>
            </w:r>
          </w:p>
        </w:tc>
        <w:tc>
          <w:tcPr>
            <w:tcW w:type="dxa" w:w="2492"/>
          </w:tcPr>
          <w:p>
            <w:pPr>
              <w:pStyle w:val="null3"/>
              <w:jc w:val="both"/>
            </w:pPr>
            <w:r>
              <w:rPr>
                <w:rFonts w:ascii="仿宋_GB2312" w:hAnsi="仿宋_GB2312" w:cs="仿宋_GB2312" w:eastAsia="仿宋_GB2312"/>
              </w:rPr>
              <w:t>投标人对项目的总体设计合理，基于海南省财政公务报账系统总体框架升级改造，目标清晰，充分理解项目建设重点、难点，并提出解决思路，并能充分理解本项目所需的数据来源和财政部《电子凭证会计数据标准（试行版）》规范要求等，响应内容应满足采购需求。 1.总体设计中具有对海南省财政公务报账系统技术框架和路线的完整分析得2分，其他或不提供不得分； 2.总体设计中完全符合项目需求并提供重难点解决思路得2分，其他或不提供不得分； 3.总体设计中有本项目所需的数据来源得2分，其他或不提供不得分。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总体架构</w:t>
            </w:r>
          </w:p>
        </w:tc>
        <w:tc>
          <w:tcPr>
            <w:tcW w:type="dxa" w:w="2492"/>
          </w:tcPr>
          <w:p>
            <w:pPr>
              <w:pStyle w:val="null3"/>
              <w:jc w:val="both"/>
            </w:pPr>
            <w:r>
              <w:rPr>
                <w:rFonts w:ascii="仿宋_GB2312" w:hAnsi="仿宋_GB2312" w:cs="仿宋_GB2312" w:eastAsia="仿宋_GB2312"/>
              </w:rPr>
              <w:t>结合本系统建设要求，采用微服务、报表、数据交换等技术路线，总体架构完整、先进、完善，逻辑结构清晰，具备二次开发的扩展能力，并能提出项目后续的规划内容，响应内容应满足采购需求。 1.具有上述要求的技术路线得1分，其他或不提供不得分； 2.具有上述要求的总体框架得1分，其他或不提供不得分； 2.具有二次开发的扩展能力得2分，其他或不提供不得分； 3.具有项目后续规划内容得2分，其他或不提供不得分。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设计方案</w:t>
            </w:r>
          </w:p>
        </w:tc>
        <w:tc>
          <w:tcPr>
            <w:tcW w:type="dxa" w:w="2492"/>
          </w:tcPr>
          <w:p>
            <w:pPr>
              <w:pStyle w:val="null3"/>
              <w:jc w:val="both"/>
            </w:pPr>
            <w:r>
              <w:rPr>
                <w:rFonts w:ascii="仿宋_GB2312" w:hAnsi="仿宋_GB2312" w:cs="仿宋_GB2312" w:eastAsia="仿宋_GB2312"/>
              </w:rPr>
              <w:t>投标人提供详细设计方案，方案须满足招标文件技术要求，具备补充报账资料功能优化、报账资料列表优化、报账申请单退回修改功能优化、误餐联合报销优化、会签功能优化、事项提醒、智能审单、报账申请单退回修改功能优化、移动端业务功能、接口开发等。 1.具备所有功能得10分； 2.每缺失一项功能扣1分，直到扣完为止。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数据安全保障方案</w:t>
            </w:r>
          </w:p>
        </w:tc>
        <w:tc>
          <w:tcPr>
            <w:tcW w:type="dxa" w:w="2492"/>
          </w:tcPr>
          <w:p>
            <w:pPr>
              <w:pStyle w:val="null3"/>
              <w:jc w:val="both"/>
            </w:pPr>
            <w:r>
              <w:rPr>
                <w:rFonts w:ascii="仿宋_GB2312" w:hAnsi="仿宋_GB2312" w:cs="仿宋_GB2312" w:eastAsia="仿宋_GB2312"/>
              </w:rPr>
              <w:t>投标人全面分析数据安全需求，提供数据安全保障方案，提出数据安全建议，响应内容应满足采购需求。 1.有完全满足采购需求的数据安全保障方案得2分，部分满足采购需求的数据安全保障方案得1分，不提供不得分； 2.有完全针对本项目的数据安全建议得2分，部分针对本项目的数据安全建议得1分，不提供不得分。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实施方案</w:t>
            </w:r>
          </w:p>
        </w:tc>
        <w:tc>
          <w:tcPr>
            <w:tcW w:type="dxa" w:w="2492"/>
          </w:tcPr>
          <w:p>
            <w:pPr>
              <w:pStyle w:val="null3"/>
              <w:jc w:val="both"/>
            </w:pPr>
            <w:r>
              <w:rPr>
                <w:rFonts w:ascii="仿宋_GB2312" w:hAnsi="仿宋_GB2312" w:cs="仿宋_GB2312" w:eastAsia="仿宋_GB2312"/>
              </w:rPr>
              <w:t>投标人提供满足采购需求的内容全面的实施方案，包括工作分解结构与进度计划、质量保证、风险管控、组织架构、测试、验收、交付物、关键里程碑等方面内容和培训方案。 1.有全面的实施方案得4分，每缺失一小点内容扣0.5分，扣完为止； 2.有线上线下等多种培训方式，培训次数达3次及以上的培训方案得2分；有线上线下等多种培训方式，培训次数1-2次得1分，其余不得分。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系统演示</w:t>
            </w:r>
          </w:p>
        </w:tc>
        <w:tc>
          <w:tcPr>
            <w:tcW w:type="dxa" w:w="2492"/>
          </w:tcPr>
          <w:p>
            <w:pPr>
              <w:pStyle w:val="null3"/>
              <w:jc w:val="both"/>
            </w:pPr>
            <w:r>
              <w:rPr>
                <w:rFonts w:ascii="仿宋_GB2312" w:hAnsi="仿宋_GB2312" w:cs="仿宋_GB2312" w:eastAsia="仿宋_GB2312"/>
              </w:rPr>
              <w:t>投标要求提供系统演示，不演示不得分，投标人进行合理演说，语言简练。评标现场无网络，请投标人自带演示设备，现场系统演示时间控制在20分钟内。投标人须对以下内容进行演示： （1）电子凭证上传、分发、认领； （2）电子凭证的OCR识别； （3）报账单自动填单，公务报账子系统读取电子凭证的票面信息通过智能匹配能力自动填写报账单明细信息； （4）报账信息智能匹配，通过智能匹配形成的报账金额，可点击查看其对应的发票文件及其结构化信息。 （5）智能审单，系统自动对报账单的票据规范性、标准合规性、附件规范性等进行初审，生成审核简报、风险级别及风险提醒。 以上演示内容，总分最高得20分： 1.采用真实案例或系统原型进行演示，演示内容完全满足招标需求，每个演示点得4分； 2.采用真实案例或系统原型进行演示，演示内容部分满足招标需求，每个演示点得2分； 3.未满足招标需求不得分。 注：演示功能以招标文件中建设需求为基准。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企业管理服务能力</w:t>
            </w:r>
          </w:p>
        </w:tc>
        <w:tc>
          <w:tcPr>
            <w:tcW w:type="dxa" w:w="2492"/>
          </w:tcPr>
          <w:p>
            <w:pPr>
              <w:pStyle w:val="null3"/>
              <w:jc w:val="both"/>
            </w:pPr>
            <w:r>
              <w:rPr>
                <w:rFonts w:ascii="仿宋_GB2312" w:hAnsi="仿宋_GB2312" w:cs="仿宋_GB2312" w:eastAsia="仿宋_GB2312"/>
              </w:rPr>
              <w:t>1.投标人具有 ISO20000 信息技术服务管理体系认证证书。 2.投标人具有 ISO9001 质量管理体系认证证书。 3.投标人具有 ISO27001 信息安全管理体系认证证书。 4.投标人具有 CMMI 三级或以上资质证书。 5.投标人具有 ITSS 信息技术服务标准符合性证书。 以上证书每提供一项得1分，共4分。 须提供有效期内的证书扫描件加盖公章，否则不得分。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项目经验</w:t>
            </w:r>
          </w:p>
        </w:tc>
        <w:tc>
          <w:tcPr>
            <w:tcW w:type="dxa" w:w="2492"/>
          </w:tcPr>
          <w:p>
            <w:pPr>
              <w:pStyle w:val="null3"/>
              <w:jc w:val="both"/>
            </w:pPr>
            <w:r>
              <w:rPr>
                <w:rFonts w:ascii="仿宋_GB2312" w:hAnsi="仿宋_GB2312" w:cs="仿宋_GB2312" w:eastAsia="仿宋_GB2312"/>
              </w:rPr>
              <w:t>2020年1月1日至今与本项目服务需求类似的业绩。每提供一个得2分，共4分。 须提供盖章合同（扫描件），证明材料均不得遮挡涂黑，否则不得分。 注：包括合同金额、双方名称及盖章、合同服务内容，业绩认定日期以合同签订日期为准。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技术及产品实力</w:t>
            </w:r>
          </w:p>
        </w:tc>
        <w:tc>
          <w:tcPr>
            <w:tcW w:type="dxa" w:w="2492"/>
          </w:tcPr>
          <w:p>
            <w:pPr>
              <w:pStyle w:val="null3"/>
              <w:jc w:val="both"/>
            </w:pPr>
            <w:r>
              <w:rPr>
                <w:rFonts w:ascii="仿宋_GB2312" w:hAnsi="仿宋_GB2312" w:cs="仿宋_GB2312" w:eastAsia="仿宋_GB2312"/>
              </w:rPr>
              <w:t>投标人提供自主知识产权的财政系统类或电子报账类软件著作权证书，每提供一个得5分，共10分。 备注：须提供开标前国家版权局颁发获得的软件著作权证书或专利证书的扫描件加盖公章，否则不得分。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项目负责人</w:t>
            </w:r>
          </w:p>
        </w:tc>
        <w:tc>
          <w:tcPr>
            <w:tcW w:type="dxa" w:w="2492"/>
          </w:tcPr>
          <w:p>
            <w:pPr>
              <w:pStyle w:val="null3"/>
              <w:jc w:val="both"/>
            </w:pPr>
            <w:r>
              <w:rPr>
                <w:rFonts w:ascii="仿宋_GB2312" w:hAnsi="仿宋_GB2312" w:cs="仿宋_GB2312" w:eastAsia="仿宋_GB2312"/>
              </w:rPr>
              <w:t>1.项目负责人具备信息系统项目管理师高级证书或IT服务项目经理证书的，得1分。 2.项目负责人应具备信息化行业5年及以上相关工作经验，提供用户证明文件，得1分。 须提供相应证书（扫描件）、2025年1月至今任意3个月的社保缴纳的证明（扫描件）、用户单位出具的项目负责人项目工作经验证明，否则不得分。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项目团队要求</w:t>
            </w:r>
          </w:p>
        </w:tc>
        <w:tc>
          <w:tcPr>
            <w:tcW w:type="dxa" w:w="2492"/>
          </w:tcPr>
          <w:p>
            <w:pPr>
              <w:pStyle w:val="null3"/>
              <w:jc w:val="both"/>
            </w:pPr>
            <w:r>
              <w:rPr>
                <w:rFonts w:ascii="仿宋_GB2312" w:hAnsi="仿宋_GB2312" w:cs="仿宋_GB2312" w:eastAsia="仿宋_GB2312"/>
              </w:rPr>
              <w:t>1.投标人须承诺项目团队人数不少于5人，且拟提供的项目团队人员分工明确，提供承诺函（格式自拟，加盖公章）的得2分，未提供不得分。 2.投标人项目团队中技术负责人具有系统规划与管理师高级证书或系统分析师高级证书或系统架构设计师或信息系统项目管理师高级证书的，得2分。 3.投标人项目团队成员中具有信息系统项目管理师高级证书、数据库系统工程师证书、软件设计师证书、系统集成项目管理工程师证书、软件评测师证书，每提供1人（具有以上证书之一）得2分，最高得8分。 须提供相应证书扫描件、团队所有人员须提供2025年1月至今任意3个月的社保缴纳的证明(扫描件)，加盖公章，否则不得分。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自定义格式</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自定义格式</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06"/>
            <w:gridSpan w:val="6"/>
          </w:tcPr>
          <w:p>
            <w:pPr>
              <w:pStyle w:val="null3"/>
              <w:jc w:val="both"/>
            </w:pPr>
            <w:r>
              <w:rPr>
                <w:rFonts w:ascii="仿宋_GB2312" w:hAnsi="仿宋_GB2312" w:cs="仿宋_GB2312" w:eastAsia="仿宋_GB2312"/>
              </w:rPr>
              <w:t xml:space="preserve"> 无</w:t>
            </w:r>
          </w:p>
        </w:tc>
      </w:tr>
    </w:tbl>
    <w:p>
      <w:pPr>
        <w:pStyle w:val="null3"/>
        <w:jc w:val="both"/>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技术部分58.00分</w:t>
            </w:r>
          </w:p>
          <w:p>
            <w:pPr>
              <w:pStyle w:val="null3"/>
              <w:jc w:val="both"/>
            </w:pPr>
            <w:r>
              <w:rPr>
                <w:rFonts w:ascii="仿宋_GB2312" w:hAnsi="仿宋_GB2312" w:cs="仿宋_GB2312" w:eastAsia="仿宋_GB2312"/>
              </w:rPr>
              <w:t>商务部分32.00分</w:t>
            </w:r>
          </w:p>
          <w:p>
            <w:pPr>
              <w:pStyle w:val="null3"/>
              <w:jc w:val="both"/>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对接方案</w:t>
            </w:r>
          </w:p>
        </w:tc>
        <w:tc>
          <w:tcPr>
            <w:tcW w:type="dxa" w:w="2492"/>
          </w:tcPr>
          <w:p>
            <w:pPr>
              <w:pStyle w:val="null3"/>
              <w:jc w:val="both"/>
            </w:pPr>
            <w:r>
              <w:rPr>
                <w:rFonts w:ascii="仿宋_GB2312" w:hAnsi="仿宋_GB2312" w:cs="仿宋_GB2312" w:eastAsia="仿宋_GB2312"/>
              </w:rPr>
              <w:t>为确保非税收入征缴信息管理子系统和预算管理一体化系统、电子凭证汇聚系统无缝对接，保障项目的顺利实施，投标人需了解上述3个系统间的关系，对非税收入征缴信息管理子系统的重、难点进行分析，并提出解决方案。方案应满足采购需求。 1.对接方案，完全满足采购需求得6分； 2.对接方案，不完全满足采购需求得3分； 3.不提供不得分。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总体设计</w:t>
            </w:r>
          </w:p>
        </w:tc>
        <w:tc>
          <w:tcPr>
            <w:tcW w:type="dxa" w:w="2492"/>
          </w:tcPr>
          <w:p>
            <w:pPr>
              <w:pStyle w:val="null3"/>
              <w:jc w:val="both"/>
            </w:pPr>
            <w:r>
              <w:rPr>
                <w:rFonts w:ascii="仿宋_GB2312" w:hAnsi="仿宋_GB2312" w:cs="仿宋_GB2312" w:eastAsia="仿宋_GB2312"/>
              </w:rPr>
              <w:t>投标人对项目的总体设计合理，目标清晰，充分理解项目建设重点、难点，并提出解决思路，并能充分理解本项目所需的数据来源和财政部《电子凭证会计数据标准（试行版）》要求等，响应内容应满足采购需求。 1.总体设计中有完全符合项目需求的重难点分析得2分，其他或不提供不得分； 2.总体设计中有针对所有重难点解决思路得2分，其他或不提供不得分； 3.总体设计中有本项目所需的数据来源得2分，其他或不提供不得分。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总体架构</w:t>
            </w:r>
          </w:p>
        </w:tc>
        <w:tc>
          <w:tcPr>
            <w:tcW w:type="dxa" w:w="2492"/>
          </w:tcPr>
          <w:p>
            <w:pPr>
              <w:pStyle w:val="null3"/>
              <w:jc w:val="both"/>
            </w:pPr>
            <w:r>
              <w:rPr>
                <w:rFonts w:ascii="仿宋_GB2312" w:hAnsi="仿宋_GB2312" w:cs="仿宋_GB2312" w:eastAsia="仿宋_GB2312"/>
              </w:rPr>
              <w:t>结合本系统建设要求，采用微服务、报表、数据交换等技术路线，总体架构完整、先进、完善，逻辑结构清晰，具备二次开发的扩展能力，并能提出项目后续的规划内容，响应内容应满足采购需求。 1.具有上述要求的技术路线得1分，其他或不提供不得分； 2.具有上述要求的总体框架得1分，其他或不提供不得分； 2.具有二次开发的扩展能力得2分，其他或不提供不得分； 3.具有项目后续规划内容得2分，其他或不提供不得分。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设计方案</w:t>
            </w:r>
          </w:p>
        </w:tc>
        <w:tc>
          <w:tcPr>
            <w:tcW w:type="dxa" w:w="2492"/>
          </w:tcPr>
          <w:p>
            <w:pPr>
              <w:pStyle w:val="null3"/>
              <w:jc w:val="both"/>
            </w:pPr>
            <w:r>
              <w:rPr>
                <w:rFonts w:ascii="仿宋_GB2312" w:hAnsi="仿宋_GB2312" w:cs="仿宋_GB2312" w:eastAsia="仿宋_GB2312"/>
              </w:rPr>
              <w:t>投标人提供详细设计方案，方案须满足招标文件技术要求，具备非税业务系统电子会计凭证数据标准化改造、电子缴款书服务平台会计凭证标准化改造、收入调账管理功能改造、收入退付管理功能改造、非税数据管理功能改造、对账功能、收入退付、划款业务处理、与电子凭证汇聚子系统对接、迁移历史数据等功能。 1.具备所有功能得10分； 2.每缺失一项功能扣1分，直到扣完为止。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数据安全保障方案</w:t>
            </w:r>
          </w:p>
        </w:tc>
        <w:tc>
          <w:tcPr>
            <w:tcW w:type="dxa" w:w="2492"/>
          </w:tcPr>
          <w:p>
            <w:pPr>
              <w:pStyle w:val="null3"/>
              <w:jc w:val="both"/>
            </w:pPr>
            <w:r>
              <w:rPr>
                <w:rFonts w:ascii="仿宋_GB2312" w:hAnsi="仿宋_GB2312" w:cs="仿宋_GB2312" w:eastAsia="仿宋_GB2312"/>
              </w:rPr>
              <w:t>投标人全面分析数据安全需求，提供数据安全保障方案，提出数据安全建议，响应内容应满足采购需求。 1.有完全满足采购需求的数据安全保障方案得2分，部分满足采购需求的数据安全保障方案得1分，不提供不得分； 2.有完全针对本项目的数据安全建议得2分，部分针对本项目的数据安全建议得1分，不提供不得分。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实施方案</w:t>
            </w:r>
          </w:p>
        </w:tc>
        <w:tc>
          <w:tcPr>
            <w:tcW w:type="dxa" w:w="2492"/>
          </w:tcPr>
          <w:p>
            <w:pPr>
              <w:pStyle w:val="null3"/>
              <w:jc w:val="both"/>
            </w:pPr>
            <w:r>
              <w:rPr>
                <w:rFonts w:ascii="仿宋_GB2312" w:hAnsi="仿宋_GB2312" w:cs="仿宋_GB2312" w:eastAsia="仿宋_GB2312"/>
              </w:rPr>
              <w:t>投标人提供满足采购需求的内容全面的实施方案，包括工作分解结构与进度计划、质量保证、风险管控、组织架构、测试、验收、交付物、关键里程碑等方面内容和培训方案。 1.有全面的实施方案得4分，每缺失一小点内容扣0.5分，扣完为止； 2.有线上线下等多种培训方式，培训次数达3次及以上的培训方案得2分；有线上线下等多种培训方式，培训次数1-2次得1分，其余不得分。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系统演示</w:t>
            </w:r>
          </w:p>
        </w:tc>
        <w:tc>
          <w:tcPr>
            <w:tcW w:type="dxa" w:w="2492"/>
          </w:tcPr>
          <w:p>
            <w:pPr>
              <w:pStyle w:val="null3"/>
              <w:jc w:val="both"/>
            </w:pPr>
            <w:r>
              <w:rPr>
                <w:rFonts w:ascii="仿宋_GB2312" w:hAnsi="仿宋_GB2312" w:cs="仿宋_GB2312" w:eastAsia="仿宋_GB2312"/>
              </w:rPr>
              <w:t>投标要求提供系统演示，不演示不得分，投标人进行合理演说，语言简练。评标现场无网络，请投标人自带演示设备，现场系统演示时间控制在20分钟内。投标人须对以下内容进行演示： （1）非税收入调账功能； （2）非税收入退付功能； （3）非税收入对账功能； （4）通过非税收入子账户开具一般交款书功能； 以上演示内容，总分最高得20分： 1.采用真实案例或系统原型进行演示，演示内容完全满足招标需求，每个演示点得5分； 2.采用真实案例或系统原型进行演示，演示内容部分满足招标需求，每个演示点得2分； 3.未满足招标需求不得分。 注：演示功能以招标文件中建设需求为基准。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企业管理服务能力</w:t>
            </w:r>
          </w:p>
        </w:tc>
        <w:tc>
          <w:tcPr>
            <w:tcW w:type="dxa" w:w="2492"/>
          </w:tcPr>
          <w:p>
            <w:pPr>
              <w:pStyle w:val="null3"/>
              <w:jc w:val="both"/>
            </w:pPr>
            <w:r>
              <w:rPr>
                <w:rFonts w:ascii="仿宋_GB2312" w:hAnsi="仿宋_GB2312" w:cs="仿宋_GB2312" w:eastAsia="仿宋_GB2312"/>
              </w:rPr>
              <w:t>1.投标人具有 ISO20000 信息技术服务管理体系认证证书。 2.投标人具有 ISO9001 质量管理体系认证证书。 3.投标人具有 ISO27001 信息安全管理体系认证证书。 4.投标人具有 CMMI 三级或以上资质证书。 5.投标人具有 ITSS 信息技术服务标准符合性证书。 以上证书每提供一项得1分，满分4分。 须提供有效期内的证书扫描件加盖公章，否则不得分。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项目经验</w:t>
            </w:r>
          </w:p>
        </w:tc>
        <w:tc>
          <w:tcPr>
            <w:tcW w:type="dxa" w:w="2492"/>
          </w:tcPr>
          <w:p>
            <w:pPr>
              <w:pStyle w:val="null3"/>
              <w:jc w:val="both"/>
            </w:pPr>
            <w:r>
              <w:rPr>
                <w:rFonts w:ascii="仿宋_GB2312" w:hAnsi="仿宋_GB2312" w:cs="仿宋_GB2312" w:eastAsia="仿宋_GB2312"/>
              </w:rPr>
              <w:t>2020年1月1日至今与本项目服务需求类似的开发业绩。每提供一个得1分，共4分。 须提供盖章合同（扫描件），证明材料均不得遮挡涂黑，否则不得分。 注：包括合同金额、双方名称及盖章、合同服务内容，业绩认定日期以合同签订日期为准。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技术及产品实力</w:t>
            </w:r>
          </w:p>
        </w:tc>
        <w:tc>
          <w:tcPr>
            <w:tcW w:type="dxa" w:w="2492"/>
          </w:tcPr>
          <w:p>
            <w:pPr>
              <w:pStyle w:val="null3"/>
              <w:jc w:val="both"/>
            </w:pPr>
            <w:r>
              <w:rPr>
                <w:rFonts w:ascii="仿宋_GB2312" w:hAnsi="仿宋_GB2312" w:cs="仿宋_GB2312" w:eastAsia="仿宋_GB2312"/>
              </w:rPr>
              <w:t>1.投标人提供自主知识产权的财政系统类软件著作权证书得5分。 2.投标人提供自主知识产权的非税管理类软件著作权证书得5分。 备注：须提供开标前国家版权局颁发获得的软件著作权证书或专利证书的扫描件加盖公章，否则不得分。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项目负责人</w:t>
            </w:r>
          </w:p>
        </w:tc>
        <w:tc>
          <w:tcPr>
            <w:tcW w:type="dxa" w:w="2492"/>
          </w:tcPr>
          <w:p>
            <w:pPr>
              <w:pStyle w:val="null3"/>
              <w:jc w:val="both"/>
            </w:pPr>
            <w:r>
              <w:rPr>
                <w:rFonts w:ascii="仿宋_GB2312" w:hAnsi="仿宋_GB2312" w:cs="仿宋_GB2312" w:eastAsia="仿宋_GB2312"/>
              </w:rPr>
              <w:t>1.项目负责人具备信息系统项目管理师证书高级证书或IT服务项目经理，得1分。 2.项目负责人应具备信息化行业5年及以上相关工作经验，提供用户证明文件，得1分。 须提供相应证书（扫描件）、2025年1月至今任意3个月的社保缴纳的证明（扫描件）、用户单位出具的项目负责人项目工作经验证明，否则不得分。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项目团队要求</w:t>
            </w:r>
          </w:p>
        </w:tc>
        <w:tc>
          <w:tcPr>
            <w:tcW w:type="dxa" w:w="2492"/>
          </w:tcPr>
          <w:p>
            <w:pPr>
              <w:pStyle w:val="null3"/>
              <w:jc w:val="both"/>
            </w:pPr>
            <w:r>
              <w:rPr>
                <w:rFonts w:ascii="仿宋_GB2312" w:hAnsi="仿宋_GB2312" w:cs="仿宋_GB2312" w:eastAsia="仿宋_GB2312"/>
              </w:rPr>
              <w:t>1.投标人须承诺项目团队人数不少于5人，且拟提供的项目团队人员分工明确，提供承诺函（格式自拟，加盖公章）的得2分，未提供不得分。 2.投标人项目团队中技术负责人具有系统规划与管理师高级证书或系统分析师高级证书或系统架构设计师高级证书或信息系统项目管理师证书高级证书的，得2分。 3.投标人项目团队成员中具有信息系统管理工程师证书、数据库系统工程师证书、软件设计师证书、信息注册安全专业人员（CISP）证书、软件测评师证书，每提供1人（具有以上证书之一）得1分，最高得8分。 须提供相应证书扫描件、团队所有人员须提供2025年1月至今任意3个月的社保缴纳的证明(扫描件)，加盖公章，否则不得分。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自定义格式</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技术部分58.00分</w:t>
            </w:r>
          </w:p>
          <w:p>
            <w:pPr>
              <w:pStyle w:val="null3"/>
              <w:jc w:val="both"/>
            </w:pPr>
            <w:r>
              <w:rPr>
                <w:rFonts w:ascii="仿宋_GB2312" w:hAnsi="仿宋_GB2312" w:cs="仿宋_GB2312" w:eastAsia="仿宋_GB2312"/>
              </w:rPr>
              <w:t>商务部分32.00分</w:t>
            </w:r>
          </w:p>
          <w:p>
            <w:pPr>
              <w:pStyle w:val="null3"/>
              <w:jc w:val="both"/>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对接方案</w:t>
            </w:r>
          </w:p>
        </w:tc>
        <w:tc>
          <w:tcPr>
            <w:tcW w:type="dxa" w:w="2492"/>
          </w:tcPr>
          <w:p>
            <w:pPr>
              <w:pStyle w:val="null3"/>
              <w:jc w:val="both"/>
            </w:pPr>
            <w:r>
              <w:rPr>
                <w:rFonts w:ascii="仿宋_GB2312" w:hAnsi="仿宋_GB2312" w:cs="仿宋_GB2312" w:eastAsia="仿宋_GB2312"/>
              </w:rPr>
              <w:t>为确保会计档案管理子系统和预算管理一体化系统、电子凭证汇聚系统无缝对接，保障项目的顺利实施，投标人需了解上述3个系统间的关系，对会计档案管理子系统的重、难点进行分析，并提出解决方案。方案应满足采购需求。 1.对接方案，完全满足采购需求得6分； 2.对接方案，不完全满足采购需求得3分； 3.不提供不得分。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总体设计</w:t>
            </w:r>
          </w:p>
        </w:tc>
        <w:tc>
          <w:tcPr>
            <w:tcW w:type="dxa" w:w="2492"/>
          </w:tcPr>
          <w:p>
            <w:pPr>
              <w:pStyle w:val="null3"/>
              <w:jc w:val="both"/>
            </w:pPr>
            <w:r>
              <w:rPr>
                <w:rFonts w:ascii="仿宋_GB2312" w:hAnsi="仿宋_GB2312" w:cs="仿宋_GB2312" w:eastAsia="仿宋_GB2312"/>
              </w:rPr>
              <w:t>投标人对项目的总体设计合理，目标清晰，充分理解项目建设重点、难点，并提出解决思路，并能充分理解本项目所需的数据来源和档案管理规范要求等，响应内容应满足采购需求。 1.总体设计中有完全符合项目需求的重难点分析得2分，其他或不提供不得分； 2.总体设计中有针对所有重难点解决思路得2分，其他或不提供不得分； 3.总体设计中有本项目所需的数据来源得2分，其他或不提供不得分。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总体架构</w:t>
            </w:r>
          </w:p>
        </w:tc>
        <w:tc>
          <w:tcPr>
            <w:tcW w:type="dxa" w:w="2492"/>
          </w:tcPr>
          <w:p>
            <w:pPr>
              <w:pStyle w:val="null3"/>
              <w:jc w:val="both"/>
            </w:pPr>
            <w:r>
              <w:rPr>
                <w:rFonts w:ascii="仿宋_GB2312" w:hAnsi="仿宋_GB2312" w:cs="仿宋_GB2312" w:eastAsia="仿宋_GB2312"/>
              </w:rPr>
              <w:t>结合本系统建设要求，采用微服务、报表、数据交换等技术路线，总体架构完整、先进、完善，逻辑结构清晰，具备二次开发的扩展能力，并能提出项目后续的规划内容，响应内容应满足采购需求。 1.具有上述要求的技术路线（1分），其他或不提供不得分； 2.具有上述要求的总体框架（1分），其他或不提供不得分； 2.具有二次开发的扩展能力（2分），其他或不提供不得分； 3.具有项目后续规划内容（2分），其他或不提供不得分。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设计方案</w:t>
            </w:r>
          </w:p>
        </w:tc>
        <w:tc>
          <w:tcPr>
            <w:tcW w:type="dxa" w:w="2492"/>
          </w:tcPr>
          <w:p>
            <w:pPr>
              <w:pStyle w:val="null3"/>
              <w:jc w:val="both"/>
            </w:pPr>
            <w:r>
              <w:rPr>
                <w:rFonts w:ascii="仿宋_GB2312" w:hAnsi="仿宋_GB2312" w:cs="仿宋_GB2312" w:eastAsia="仿宋_GB2312"/>
              </w:rPr>
              <w:t>投标人提供详细设计方案，方案须满足招标文件技术要求，具备档案收集、整理归档、档案审核、档案移交、档案迁移、日常管理、档案保管清册、档案移交清册、档案借阅、档案鉴定销毁等档案管理的各项功能。 1.具备所有功能得10分； 2.每缺失一项功能扣1分，直到扣完为止。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数据安全保障方案</w:t>
            </w:r>
          </w:p>
        </w:tc>
        <w:tc>
          <w:tcPr>
            <w:tcW w:type="dxa" w:w="2492"/>
          </w:tcPr>
          <w:p>
            <w:pPr>
              <w:pStyle w:val="null3"/>
              <w:jc w:val="both"/>
            </w:pPr>
            <w:r>
              <w:rPr>
                <w:rFonts w:ascii="仿宋_GB2312" w:hAnsi="仿宋_GB2312" w:cs="仿宋_GB2312" w:eastAsia="仿宋_GB2312"/>
              </w:rPr>
              <w:t>投标人全面分析数据安全需求，提供数据安全保障方案，提出数据安全建议，响应内容应满足采购需求。 1.有完全满足采购需求的数据安全保障方案得3分，部分满足采购需求的数据安全保障方案得1分，不提供不得分； 2.有完全针对本项目的数据安全建议得3分，部分针对本项目的数据安全建议得1分，不提供不得分。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实施方案</w:t>
            </w:r>
          </w:p>
        </w:tc>
        <w:tc>
          <w:tcPr>
            <w:tcW w:type="dxa" w:w="2492"/>
          </w:tcPr>
          <w:p>
            <w:pPr>
              <w:pStyle w:val="null3"/>
              <w:jc w:val="both"/>
            </w:pPr>
            <w:r>
              <w:rPr>
                <w:rFonts w:ascii="仿宋_GB2312" w:hAnsi="仿宋_GB2312" w:cs="仿宋_GB2312" w:eastAsia="仿宋_GB2312"/>
              </w:rPr>
              <w:t>投标人提供满足采购需求的内容全面的实施方案，包括工作分解结构与进度计划、质量保证、风险管控、组织架构、测试、验收、交付物、关键里程碑等方面内容和培训方案。 1.有全面的实施方案得4分，每缺失一小点内容扣0.5分，扣完为止； 2.有线上线下等多种培训方式，培训次数达3次及以上的培训方案得2分；有线上线下等多种培训方式，培训次数不满3次得1分，其余不得分。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系统演示</w:t>
            </w:r>
          </w:p>
        </w:tc>
        <w:tc>
          <w:tcPr>
            <w:tcW w:type="dxa" w:w="2492"/>
          </w:tcPr>
          <w:p>
            <w:pPr>
              <w:pStyle w:val="null3"/>
              <w:jc w:val="both"/>
            </w:pPr>
            <w:r>
              <w:rPr>
                <w:rFonts w:ascii="仿宋_GB2312" w:hAnsi="仿宋_GB2312" w:cs="仿宋_GB2312" w:eastAsia="仿宋_GB2312"/>
              </w:rPr>
              <w:t>投标要求提供系统演示，不演示不得分，投标人进行合理演说，语言简练。评标现场无网络，请投标人自带演示设备，现场系统演示时间控制在20分钟内。投标人须对以下内容进行演示： （1）整理归档功能； （2）档案移交管理功能； （3）借阅管理功能； （4）档案统计分析（包括凭证真伪鉴定、凭证利用情况等分析）； （5）档案被篡改预警提示； （6）档案四性检测(包括准确性检测、完整性检测、可用性检测、安全性检测）并自动化生成四性检测报告。 以上演示内容，总分最高得18分： 1.采用真实案例或系统原型进行演示，演示内容完全满足招标需求，每个演示点得3分； 2.采用真实案例或系统原型进行演示，演示内容部分满足招标需求，每个演示点得1.5分； 3.未满足招标需求不得分。 注：演示功能以招标文件中建设需求为基准。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企业管理服务能力</w:t>
            </w:r>
          </w:p>
        </w:tc>
        <w:tc>
          <w:tcPr>
            <w:tcW w:type="dxa" w:w="2492"/>
          </w:tcPr>
          <w:p>
            <w:pPr>
              <w:pStyle w:val="null3"/>
              <w:jc w:val="both"/>
            </w:pPr>
            <w:r>
              <w:rPr>
                <w:rFonts w:ascii="仿宋_GB2312" w:hAnsi="仿宋_GB2312" w:cs="仿宋_GB2312" w:eastAsia="仿宋_GB2312"/>
              </w:rPr>
              <w:t>1.投标人具有 ISO20000 信息技术服务管理体系认证证书。 2.投标人具有 ISO9001 质量管理体系认证证书。 3.投标人具有 ISO27001 信息安全管理体系认证证书。 4.投标人具有 CMMI 三级或以上资质证书。 5.投标人具有 ITSS 信息技术服务标准符合性证书。 以上证书每提供一项得1分，满分4分。 须提供有效期内的证书扫描件加盖公章，否则不得分。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项目经验</w:t>
            </w:r>
          </w:p>
        </w:tc>
        <w:tc>
          <w:tcPr>
            <w:tcW w:type="dxa" w:w="2492"/>
          </w:tcPr>
          <w:p>
            <w:pPr>
              <w:pStyle w:val="null3"/>
              <w:jc w:val="both"/>
            </w:pPr>
            <w:r>
              <w:rPr>
                <w:rFonts w:ascii="仿宋_GB2312" w:hAnsi="仿宋_GB2312" w:cs="仿宋_GB2312" w:eastAsia="仿宋_GB2312"/>
              </w:rPr>
              <w:t>2020年1月1日至今与本项目服务需求类似的开发业绩。每提供一个得1分，共4分。 须提供盖章合同（扫描件），证明材料均不得遮挡涂黑，否则不得分。 注：包括合同金额、双方名称及盖章、合同服务内容，业绩认定日期以合同签订日期为准。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技术及产品实力</w:t>
            </w:r>
          </w:p>
        </w:tc>
        <w:tc>
          <w:tcPr>
            <w:tcW w:type="dxa" w:w="2492"/>
          </w:tcPr>
          <w:p>
            <w:pPr>
              <w:pStyle w:val="null3"/>
              <w:jc w:val="both"/>
            </w:pPr>
            <w:r>
              <w:rPr>
                <w:rFonts w:ascii="仿宋_GB2312" w:hAnsi="仿宋_GB2312" w:cs="仿宋_GB2312" w:eastAsia="仿宋_GB2312"/>
              </w:rPr>
              <w:t>1.投标人提供自主知识产权的财政系统类软件著作权证书得5分。 2.投标人提供自主知识产权的档案类软件著作权证书得5分。 备注：须提供开标前国家版权局颁发获得的软件著作权证书或专利证书的扫描件加盖公章，否则不得分。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项目负责人</w:t>
            </w:r>
          </w:p>
        </w:tc>
        <w:tc>
          <w:tcPr>
            <w:tcW w:type="dxa" w:w="2492"/>
          </w:tcPr>
          <w:p>
            <w:pPr>
              <w:pStyle w:val="null3"/>
              <w:jc w:val="both"/>
            </w:pPr>
            <w:r>
              <w:rPr>
                <w:rFonts w:ascii="仿宋_GB2312" w:hAnsi="仿宋_GB2312" w:cs="仿宋_GB2312" w:eastAsia="仿宋_GB2312"/>
              </w:rPr>
              <w:t>1.项目负责人具备信息系统项目管理师证书高级证书或IT服务项目经理或PMP项目经理证书的，得1分。 2.项目负责人应具备信息化行业5年及以上相关工作经验，提供用户证明文件，得1分。 须提供相应证书（扫描件）、2025年1月至今任意3个月的社保缴纳的证明（扫描件）、用户单位出具的项目负责人项目工作经验证明，否则不得分。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项目团队要求</w:t>
            </w:r>
          </w:p>
        </w:tc>
        <w:tc>
          <w:tcPr>
            <w:tcW w:type="dxa" w:w="2492"/>
          </w:tcPr>
          <w:p>
            <w:pPr>
              <w:pStyle w:val="null3"/>
              <w:jc w:val="both"/>
            </w:pPr>
            <w:r>
              <w:rPr>
                <w:rFonts w:ascii="仿宋_GB2312" w:hAnsi="仿宋_GB2312" w:cs="仿宋_GB2312" w:eastAsia="仿宋_GB2312"/>
              </w:rPr>
              <w:t>1.投标人须承诺项目团队人数不少于5人，且拟提供的项目团队人员分工明确，提供承诺函（格式自拟，加盖公章）的得2分，未提供不得分。 2.投标人项目团队中技术负责人具有系统规划与管理师高级证书或系统分析师高级证书或系统架构设计师高级证书的，得2分。 3.投标人项目团队成员中具有信息系统管理工程师证书、数据库系统工程师证书、软件设计师证书、信息注册安全专业人员（CISP）证书、软件测评师证书，每提供1人（具有以上证书之一）得1分，最高得8分。 须提供相应证书扫描件、团队所有人员须提供2025年1月至今任意3个月的社保缴纳的证明(扫描件)，加盖公章，否则不得分。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自定义格式</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自定义格式</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技术部分45.00分</w:t>
            </w:r>
          </w:p>
          <w:p>
            <w:pPr>
              <w:pStyle w:val="null3"/>
              <w:jc w:val="both"/>
            </w:pPr>
            <w:r>
              <w:rPr>
                <w:rFonts w:ascii="仿宋_GB2312" w:hAnsi="仿宋_GB2312" w:cs="仿宋_GB2312" w:eastAsia="仿宋_GB2312"/>
              </w:rPr>
              <w:t>商务部分45.00分</w:t>
            </w:r>
          </w:p>
          <w:p>
            <w:pPr>
              <w:pStyle w:val="null3"/>
              <w:jc w:val="both"/>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项目内容理解</w:t>
            </w:r>
          </w:p>
        </w:tc>
        <w:tc>
          <w:tcPr>
            <w:tcW w:type="dxa" w:w="2492"/>
          </w:tcPr>
          <w:p>
            <w:pPr>
              <w:pStyle w:val="null3"/>
              <w:jc w:val="both"/>
            </w:pPr>
            <w:r>
              <w:rPr>
                <w:rFonts w:ascii="仿宋_GB2312" w:hAnsi="仿宋_GB2312" w:cs="仿宋_GB2312" w:eastAsia="仿宋_GB2312"/>
              </w:rPr>
              <w:t>1.监理服务响应和服务承诺 1.1.完全满足采购需求中的监理技术要求，包括人员能力要求等得2分; 1.2. 不完全满足或不提供不得分。 2.项目监理依据和标准的响应： 2.1能够根据项目要求和行业特点，做出分析，得2分； 2.2. 不提供不得分。 3.监理各阶段（准备阶段、项目实施阶段、测试阶段、试运行阶段、验收阶段）： 3.1.具有项目准备阶段的措施及方法并满足采购需求，得1分，其他或不提供不得分； 3.2.具有项目实施阶段的措施及方法并满足采购需求，得1分，其他或不提供不得分； 3.3.具有项目测试阶段的措施及方法并满足采购需求，得1分，其他或不提供不得分； 3.4.具有项目试运行阶段的措施及方法并满足采购需求，得1分，其他或不提供不得分； 3.5.具有项目验收阶段的措施及方法并满足采购需求，得2分，其他或不提供不得分；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项目实施方案</w:t>
            </w:r>
          </w:p>
        </w:tc>
        <w:tc>
          <w:tcPr>
            <w:tcW w:type="dxa" w:w="2492"/>
          </w:tcPr>
          <w:p>
            <w:pPr>
              <w:pStyle w:val="null3"/>
              <w:jc w:val="both"/>
            </w:pPr>
            <w:r>
              <w:rPr>
                <w:rFonts w:ascii="仿宋_GB2312" w:hAnsi="仿宋_GB2312" w:cs="仿宋_GB2312" w:eastAsia="仿宋_GB2312"/>
              </w:rPr>
              <w:t>1.监理针对本项目重难点的理解和分析、建设内容要求、对项目各系统的理解、措施评价打分。 1.1.项目实施方案中存在完全满足采购需求的，对本项目的重难点理解和分析的得1分，其他或不提供不得分； 1.2.项目实施方案中存在对本项目的建设内容要求的得1分，其他或不提供不得分； 1.3.项目实施方案中存在对本项目中各项目的理解和分析的得1分，其他或不提供不得分； 1.4.项目实施方案中存在监理实施措施的得2分，其他或不提供不得分。 2.针对项目网络系统、系统设备，应用软件系统平台的调试和测试，相关系统的整体测试技术方法和有效性打分。 2.1.根据上述要求，方案存在针对项目网络系统的整体有效的测试技术方案得2分，其他或不提供不得分； 2.2.根据上述要求，方案存在针对项目应用软件系统平台的整体有效的测试技术方案得2分，其他或不提供不得分； 2.3.没有提供不得分。 3.关于项目的文档和验收，参照海南省信息化验收的要求，提出项目验收方案，方案中包含文档方面、培训方面、系统功能方面、系统性能方面等内容。 3.1.项目验收方案包含文档方面内容得1分，其他或不提供不得分； 3.2.项目验收方案包含培训方面内容得1分，其他或不提供不得分； 3.3.项目验收方案包含系统功能方面内容得2分，其他或不提供不得分； 3.4.项目验收方案包含系统性能方面内容得2分，其他或不提供不得分。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四控三管一协调的理解</w:t>
            </w:r>
          </w:p>
        </w:tc>
        <w:tc>
          <w:tcPr>
            <w:tcW w:type="dxa" w:w="2492"/>
          </w:tcPr>
          <w:p>
            <w:pPr>
              <w:pStyle w:val="null3"/>
              <w:jc w:val="both"/>
            </w:pPr>
            <w:r>
              <w:rPr>
                <w:rFonts w:ascii="仿宋_GB2312" w:hAnsi="仿宋_GB2312" w:cs="仿宋_GB2312" w:eastAsia="仿宋_GB2312"/>
              </w:rPr>
              <w:t>根据投标人提供项目监理服务方案中分别对应质量、进度、投资、变更控制四项控制，合同、信息、信息安全三项管理，组织沟通协调的完整描述。 1.监理服务方案中存在分别对应质量、进度、投资、变更控制四项控制的描述得8分，每缺失一项扣2分； 2.监理服务方案中存在分别对应合同、信息、信息安全三项管理的描述得6分，每缺失一项扣2分； 3.监理服务方案中存在组织沟通协调的描述得2分，其他或不提供不得分。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合理化建议</w:t>
            </w:r>
          </w:p>
        </w:tc>
        <w:tc>
          <w:tcPr>
            <w:tcW w:type="dxa" w:w="2492"/>
          </w:tcPr>
          <w:p>
            <w:pPr>
              <w:pStyle w:val="null3"/>
              <w:jc w:val="both"/>
            </w:pPr>
            <w:r>
              <w:rPr>
                <w:rFonts w:ascii="仿宋_GB2312" w:hAnsi="仿宋_GB2312" w:cs="仿宋_GB2312" w:eastAsia="仿宋_GB2312"/>
              </w:rPr>
              <w:t>提出针对本项目的采购需求有合理建议，采购需求包括监理范围、监理目标控制方案、工程监理重点难点分析、工程各阶段的监理规划和实施、监理工作要求等。 根据上述要求，投标文件每提出一条完全满足采购需求的建议得1分，满分4分。 。</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企业管理体系</w:t>
            </w:r>
          </w:p>
        </w:tc>
        <w:tc>
          <w:tcPr>
            <w:tcW w:type="dxa" w:w="2492"/>
          </w:tcPr>
          <w:p>
            <w:pPr>
              <w:pStyle w:val="null3"/>
              <w:jc w:val="both"/>
            </w:pPr>
            <w:r>
              <w:rPr>
                <w:rFonts w:ascii="仿宋_GB2312" w:hAnsi="仿宋_GB2312" w:cs="仿宋_GB2312" w:eastAsia="仿宋_GB2312"/>
              </w:rPr>
              <w:t>投标人获得ISO9001质量管理体系认证、ISO27001信息安全管理体系认证、ISO20000信息技术服务管理体系认证的，全部满足得9分，缺少一项扣3分。须提供有效期内的证书（扫描件），否则不得分。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企业综合能力</w:t>
            </w:r>
          </w:p>
        </w:tc>
        <w:tc>
          <w:tcPr>
            <w:tcW w:type="dxa" w:w="2492"/>
          </w:tcPr>
          <w:p>
            <w:pPr>
              <w:pStyle w:val="null3"/>
              <w:jc w:val="both"/>
            </w:pPr>
            <w:r>
              <w:rPr>
                <w:rFonts w:ascii="仿宋_GB2312" w:hAnsi="仿宋_GB2312" w:cs="仿宋_GB2312" w:eastAsia="仿宋_GB2312"/>
              </w:rPr>
              <w:t>投标人具备国家信息系统工程监理服务标准贯标证书的得4分。须提供证书（扫描件），否则不得分。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投标人自2022年1月1日以来具有信息化建设项目工程监理案例，每个得2分，最高得8分。须提供合同（扫描件），包括合同金额、双方名称及盖章、合同服务内容，业绩认定日期以合同签订日期为准，所有材料均不得遮挡涂黑，否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总监理工程师</w:t>
            </w:r>
          </w:p>
        </w:tc>
        <w:tc>
          <w:tcPr>
            <w:tcW w:type="dxa" w:w="2492"/>
          </w:tcPr>
          <w:p>
            <w:pPr>
              <w:pStyle w:val="null3"/>
              <w:jc w:val="both"/>
            </w:pPr>
            <w:r>
              <w:rPr>
                <w:rFonts w:ascii="仿宋_GB2312" w:hAnsi="仿宋_GB2312" w:cs="仿宋_GB2312" w:eastAsia="仿宋_GB2312"/>
              </w:rPr>
              <w:t>拟派总监理工程师： 1.具有信息系统项目管理师证书； 2.具有大数据应用工程师证书； 3.具有全过程工程咨询师证书； 4.具有软件设计师证书； 5.具有信息系统监理师证书； 6.系统规划与管理师高级证书； 7.系统分析师高级证书； 8.系统架构设计师高级证书。 每提供任意一项证书得2分，最高得6分； 须提供相应证书、2025年1月至今任意3个月在投标单位的社保缴纳的证明，否则不得分。以上资料皆为扫描件。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实施团队</w:t>
            </w:r>
          </w:p>
        </w:tc>
        <w:tc>
          <w:tcPr>
            <w:tcW w:type="dxa" w:w="2492"/>
          </w:tcPr>
          <w:p>
            <w:pPr>
              <w:pStyle w:val="null3"/>
              <w:jc w:val="both"/>
            </w:pPr>
            <w:r>
              <w:rPr>
                <w:rFonts w:ascii="仿宋_GB2312" w:hAnsi="仿宋_GB2312" w:cs="仿宋_GB2312" w:eastAsia="仿宋_GB2312"/>
              </w:rPr>
              <w:t>拟派实施团队： 1.具有信息系统项目管理师证书； 2.具有大数据应用工程师证书； 3.具有全过程工程咨询师证书； 4.具有软件设计师证书； 5.具有信息系统监理师证书； 6.系统规划与管理师高级证书； 7.系统分析师高级证书； 8.系统架构设计师高级证书。 每提供任意一项证书得3分，同一人员具有上述多个证书的可重复得分，满分18分。 须提供相应证书、2025年1月至今任意3个月在投标单位的社保缴纳的证明，否则不得分。以上资料皆为扫描件。</w:t>
            </w:r>
          </w:p>
        </w:tc>
        <w:tc>
          <w:tcPr>
            <w:tcW w:type="dxa" w:w="831"/>
          </w:tcPr>
          <w:p>
            <w:pPr>
              <w:pStyle w:val="null3"/>
              <w:jc w:val="right"/>
            </w:pPr>
            <w:r>
              <w:rPr>
                <w:rFonts w:ascii="仿宋_GB2312" w:hAnsi="仿宋_GB2312" w:cs="仿宋_GB2312" w:eastAsia="仿宋_GB2312"/>
              </w:rPr>
              <w:t>18.0000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自定义格式</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自定义格式</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06"/>
            <w:gridSpan w:val="6"/>
          </w:tcPr>
          <w:p>
            <w:pPr>
              <w:pStyle w:val="null3"/>
              <w:jc w:val="both"/>
            </w:pPr>
            <w:r>
              <w:rPr>
                <w:rFonts w:ascii="仿宋_GB2312" w:hAnsi="仿宋_GB2312" w:cs="仿宋_GB2312" w:eastAsia="仿宋_GB2312"/>
              </w:rPr>
              <w:t xml:space="preserve"> 无</w:t>
            </w:r>
          </w:p>
        </w:tc>
      </w:tr>
    </w:tbl>
    <w:p>
      <w:pPr>
        <w:pStyle w:val="null3"/>
        <w:jc w:val="both"/>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技术部分49.00分</w:t>
            </w:r>
          </w:p>
          <w:p>
            <w:pPr>
              <w:pStyle w:val="null3"/>
              <w:jc w:val="both"/>
            </w:pPr>
            <w:r>
              <w:rPr>
                <w:rFonts w:ascii="仿宋_GB2312" w:hAnsi="仿宋_GB2312" w:cs="仿宋_GB2312" w:eastAsia="仿宋_GB2312"/>
              </w:rPr>
              <w:t>商务部分41.00分</w:t>
            </w:r>
          </w:p>
          <w:p>
            <w:pPr>
              <w:pStyle w:val="null3"/>
              <w:jc w:val="both"/>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项目理解和分析</w:t>
            </w:r>
          </w:p>
        </w:tc>
        <w:tc>
          <w:tcPr>
            <w:tcW w:type="dxa" w:w="2492"/>
          </w:tcPr>
          <w:p>
            <w:pPr>
              <w:pStyle w:val="null3"/>
              <w:jc w:val="both"/>
            </w:pPr>
            <w:r>
              <w:rPr>
                <w:rFonts w:ascii="仿宋_GB2312" w:hAnsi="仿宋_GB2312" w:cs="仿宋_GB2312" w:eastAsia="仿宋_GB2312"/>
              </w:rPr>
              <w:t>投标人提供对本项目的工作内容和工作目标的理解。理解和分析应满足采购需求。 1.根据上述要求，投标文件中该项响应内容完全满足采购需求得8分； 2.根据上述要求，投标文件中该项响应内容不完全满足采购需求得5分； 3.不提供不得分。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重难点分析</w:t>
            </w:r>
          </w:p>
        </w:tc>
        <w:tc>
          <w:tcPr>
            <w:tcW w:type="dxa" w:w="2492"/>
          </w:tcPr>
          <w:p>
            <w:pPr>
              <w:pStyle w:val="null3"/>
              <w:jc w:val="both"/>
            </w:pPr>
            <w:r>
              <w:rPr>
                <w:rFonts w:ascii="仿宋_GB2312" w:hAnsi="仿宋_GB2312" w:cs="仿宋_GB2312" w:eastAsia="仿宋_GB2312"/>
              </w:rPr>
              <w:t>投标人提供对本项目的工作内容和工作目标的理解，工作重难点的解读进行答疑，分析及解答应满足采购需求。 1.方案中有完全满足采购需求的工作重难点分析得3分，不提供不得分； 2.根据方案中提出的测评重难点，方案中有针对所有工作重难点分析得3分，总体设计中有针对部分工作重难点分析得2分，不提供不得分。 3.根据方案中提出的测评重难点，方案中有针对所有工作重难点解答得3分，总体设计中有针对部分工作重难点解答得2分，不提供不得分。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技术服务方案</w:t>
            </w:r>
          </w:p>
        </w:tc>
        <w:tc>
          <w:tcPr>
            <w:tcW w:type="dxa" w:w="2492"/>
          </w:tcPr>
          <w:p>
            <w:pPr>
              <w:pStyle w:val="null3"/>
              <w:jc w:val="both"/>
            </w:pPr>
            <w:r>
              <w:rPr>
                <w:rFonts w:ascii="仿宋_GB2312" w:hAnsi="仿宋_GB2312" w:cs="仿宋_GB2312" w:eastAsia="仿宋_GB2312"/>
              </w:rPr>
              <w:t>1.投标人按照投标文件针对等保测评项目流程、实施计划、测评方法、等保测评问题完整的整改咨询建议等响应情况进行评审打分，服务方案应满足采购需求。 总分8分，具体如下： （1）服务方案中存在满足采购需求的等保测评项目流程得2分，存在不完全满足采购需求的等保测评项目流程得1分，不提供不得分； （2）服务方案中存在满足采购需求的实施计划得2分，存在不完全满足采购需求的实施计划得1分，不提供不得分； （3）服务方案中存在满足采购需求的测评方法得2分，存在不完全满足采购需求的测评方法得1分，不提供不得分； （4）服务方案中存在满足采购需求的等保测评问题整改咨询建议得2分，存在不完全满足采购需求的等保测评问题整改咨询建议得1分，不提供不得分； 2.投标人针对代码审计服务需求提出详细的服务流程说明。主要包括系统代码审计内容综合评审，技术方案中对各项服务内容、服务流程等进行详细介绍、有详细的工作方法和思路，满足采购需求。总分6分，具体如下： （1）技术服务方案中存在完全满足采购需求的各项服务内容的得2分，存在不完全满足采购需求的各项服务内容的得1分，不提供不得分； （2）技术服务方案中存在完全满足采购需求的对各项服务的服务流程得2分，存在不完全满足采购需求的对各项服务的服务流程得1分，不提供不得分； （3）技术服务方案中存在完全满足采购需求的详细的工作方法和思路得2分，存在不完全满足采购需求的详细的工作方法和思路得1分，不提供不得分。 3.投标人按照投标文件针对渗透测试内容、测试方法、测试流程、测试步骤等响应情况进行评审打分，服务方案应满足采购需求。总分8分，具体如下： （1）服务方案中存在满足采购需求的测试内容得2分，存在不完全满足采购需求的测试内容的得1分，不提供不得分； （2）服务方案中存在满足采购需求的测试方法得2分，存在不完全满足采购需求的测试方法得1分，不提供不得分； （3）服务方案中存在满足采购需求的测试流程得2分，存在不完全满足采购需求的测试流程得1分，不提供不得分； （4）服务方案中存在满足采购需求的测试步骤得2分，存在不完全满足采购需求的测试步骤得1分，不提供不得分；</w:t>
            </w:r>
          </w:p>
        </w:tc>
        <w:tc>
          <w:tcPr>
            <w:tcW w:type="dxa" w:w="831"/>
          </w:tcPr>
          <w:p>
            <w:pPr>
              <w:pStyle w:val="null3"/>
              <w:jc w:val="right"/>
            </w:pPr>
            <w:r>
              <w:rPr>
                <w:rFonts w:ascii="仿宋_GB2312" w:hAnsi="仿宋_GB2312" w:cs="仿宋_GB2312" w:eastAsia="仿宋_GB2312"/>
              </w:rPr>
              <w:t>22.0000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服务工具的先进性与应用广泛性</w:t>
            </w:r>
          </w:p>
        </w:tc>
        <w:tc>
          <w:tcPr>
            <w:tcW w:type="dxa" w:w="2492"/>
          </w:tcPr>
          <w:p>
            <w:pPr>
              <w:pStyle w:val="null3"/>
              <w:jc w:val="both"/>
            </w:pPr>
            <w:r>
              <w:rPr>
                <w:rFonts w:ascii="仿宋_GB2312" w:hAnsi="仿宋_GB2312" w:cs="仿宋_GB2312" w:eastAsia="仿宋_GB2312"/>
              </w:rPr>
              <w:t>投标人具有安全评估服务工具，工具具备源代码审计和漏洞评估能力，同时具备得5分；工具具备代码审计或漏洞评估能力得3分，不满足不得分。 须提供相关证书（扫描件）及产品相关功能截图。</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售后服务</w:t>
            </w:r>
          </w:p>
        </w:tc>
        <w:tc>
          <w:tcPr>
            <w:tcW w:type="dxa" w:w="2492"/>
          </w:tcPr>
          <w:p>
            <w:pPr>
              <w:pStyle w:val="null3"/>
              <w:jc w:val="both"/>
            </w:pPr>
            <w:r>
              <w:rPr>
                <w:rFonts w:ascii="仿宋_GB2312" w:hAnsi="仿宋_GB2312" w:cs="仿宋_GB2312" w:eastAsia="仿宋_GB2312"/>
              </w:rPr>
              <w:t>投标人提供满足采购需求的售后服务方案及培训方案。 1.有完全满足采购需求的售后服务方案得2分； 2.有线上线下等多种培训方式，培训次数达6次及以上的培训方案得3分，培训次数1-5次得2分。3.其余不得分。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技术人员实力</w:t>
            </w:r>
          </w:p>
        </w:tc>
        <w:tc>
          <w:tcPr>
            <w:tcW w:type="dxa" w:w="2492"/>
          </w:tcPr>
          <w:p>
            <w:pPr>
              <w:pStyle w:val="null3"/>
              <w:jc w:val="both"/>
            </w:pPr>
            <w:r>
              <w:rPr>
                <w:rFonts w:ascii="仿宋_GB2312" w:hAnsi="仿宋_GB2312" w:cs="仿宋_GB2312" w:eastAsia="仿宋_GB2312"/>
              </w:rPr>
              <w:t>根据投标人拟派技术人员在国内漏洞平台（CMVD、CNNVD、四叶草、补天等）提交审计报告数量评分，30个及以上得7分，20-29个得5分，10-19个得3分，1-9个得1分，其他不得分。 须提供相应证明文件、团队所有人员须提供2025年1月至今任意3个月在投标单位社保缴纳的证明，否则不得分。以上资料皆为扫描件。</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投标人资质</w:t>
            </w:r>
          </w:p>
        </w:tc>
        <w:tc>
          <w:tcPr>
            <w:tcW w:type="dxa" w:w="2492"/>
          </w:tcPr>
          <w:p>
            <w:pPr>
              <w:pStyle w:val="null3"/>
              <w:jc w:val="both"/>
            </w:pPr>
            <w:r>
              <w:rPr>
                <w:rFonts w:ascii="仿宋_GB2312" w:hAnsi="仿宋_GB2312" w:cs="仿宋_GB2312" w:eastAsia="仿宋_GB2312"/>
              </w:rPr>
              <w:t>投标人具有IS09001质量管理体系认证证书、ISO20000信息技术服务管理体系认证证书、ISO27001信息安全管理体系认证证书，每提供一项证书的得3分，满分9分。 须提供有效期内的证书（扫描件），否则不得分。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团队能力</w:t>
            </w:r>
          </w:p>
        </w:tc>
        <w:tc>
          <w:tcPr>
            <w:tcW w:type="dxa" w:w="2492"/>
          </w:tcPr>
          <w:p>
            <w:pPr>
              <w:pStyle w:val="null3"/>
              <w:jc w:val="both"/>
            </w:pPr>
            <w:r>
              <w:rPr>
                <w:rFonts w:ascii="仿宋_GB2312" w:hAnsi="仿宋_GB2312" w:cs="仿宋_GB2312" w:eastAsia="仿宋_GB2312"/>
              </w:rPr>
              <w:t>拟派项目团队成员具有以下证书： （1）项目管理专业人士资格认证(PMP)证书； （2）信息系统项目管理师证书； （3）注册网络安全测评专业人员（NSATP）证书； （4）注册信息安全专业人员（CISP）证书； （5）高级或中级信息安全等级测评师资格； （6）信息安全保障人员认证证书（CISAW）； （7）信息安全管理师（CIIP-D）证书； （8）数据安全能力成熟度模型测评师证书（DSMM）。 每具有1个证书得2分，同一人具有多项证书可重复得分，最高得16分。须提供相应证书、团队所有人员须提供2025年1月至今任意3个月在投标单位社保缴纳的证明，否则不得分。以上资料皆为扫描件。</w:t>
            </w:r>
          </w:p>
        </w:tc>
        <w:tc>
          <w:tcPr>
            <w:tcW w:type="dxa" w:w="831"/>
          </w:tcPr>
          <w:p>
            <w:pPr>
              <w:pStyle w:val="null3"/>
              <w:jc w:val="right"/>
            </w:pPr>
            <w:r>
              <w:rPr>
                <w:rFonts w:ascii="仿宋_GB2312" w:hAnsi="仿宋_GB2312" w:cs="仿宋_GB2312" w:eastAsia="仿宋_GB2312"/>
              </w:rPr>
              <w:t>16.0000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项目业绩</w:t>
            </w:r>
          </w:p>
        </w:tc>
        <w:tc>
          <w:tcPr>
            <w:tcW w:type="dxa" w:w="2492"/>
          </w:tcPr>
          <w:p>
            <w:pPr>
              <w:pStyle w:val="null3"/>
              <w:jc w:val="both"/>
            </w:pPr>
            <w:r>
              <w:rPr>
                <w:rFonts w:ascii="仿宋_GB2312" w:hAnsi="仿宋_GB2312" w:cs="仿宋_GB2312" w:eastAsia="仿宋_GB2312"/>
              </w:rPr>
              <w:t>投标人2022年1月1日至今承担过信息化项目代码审计服务的，每有一个合同得3分，最高得9分。 须提供合同（扫描件），包括合同金额、双方名称及盖章、合同服务内容，业绩认定日期以合同签订日期为准，所有材料均不得遮挡涂黑，否则不得分。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自定义格式</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06"/>
            <w:gridSpan w:val="6"/>
          </w:tcPr>
          <w:p>
            <w:pPr>
              <w:pStyle w:val="null3"/>
              <w:jc w:val="both"/>
            </w:pPr>
            <w:r>
              <w:rPr>
                <w:rFonts w:ascii="仿宋_GB2312" w:hAnsi="仿宋_GB2312" w:cs="仿宋_GB2312" w:eastAsia="仿宋_GB2312"/>
              </w:rPr>
              <w:t xml:space="preserve"> 无</w:t>
            </w:r>
          </w:p>
        </w:tc>
      </w:tr>
    </w:tbl>
    <w:p>
      <w:pPr>
        <w:pStyle w:val="null3"/>
        <w:jc w:val="both"/>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技术部分31.00分</w:t>
            </w:r>
          </w:p>
          <w:p>
            <w:pPr>
              <w:pStyle w:val="null3"/>
              <w:jc w:val="both"/>
            </w:pPr>
            <w:r>
              <w:rPr>
                <w:rFonts w:ascii="仿宋_GB2312" w:hAnsi="仿宋_GB2312" w:cs="仿宋_GB2312" w:eastAsia="仿宋_GB2312"/>
              </w:rPr>
              <w:t>商务部分59.00分</w:t>
            </w:r>
          </w:p>
          <w:p>
            <w:pPr>
              <w:pStyle w:val="null3"/>
              <w:jc w:val="both"/>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对项目测评的理解及熟悉程度</w:t>
            </w:r>
          </w:p>
        </w:tc>
        <w:tc>
          <w:tcPr>
            <w:tcW w:type="dxa" w:w="2492"/>
          </w:tcPr>
          <w:p>
            <w:pPr>
              <w:pStyle w:val="null3"/>
              <w:jc w:val="both"/>
            </w:pPr>
            <w:r>
              <w:rPr>
                <w:rFonts w:ascii="仿宋_GB2312" w:hAnsi="仿宋_GB2312" w:cs="仿宋_GB2312" w:eastAsia="仿宋_GB2312"/>
              </w:rPr>
              <w:t>按照投标人针对项目背景、建设目标、测评要求的理解响应情况进行评审打分， 理解及响应应满足采购需求。 1.根据上述要求，投标文件中该项响应内容完全满足采购需求得7分； 2.根据上述要求，投标文件中该项响应内容不完全满足采购需求得4分； 3.不提供不得分。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项目重点难点分析和应对措施及相关的合理化建议</w:t>
            </w:r>
          </w:p>
        </w:tc>
        <w:tc>
          <w:tcPr>
            <w:tcW w:type="dxa" w:w="2492"/>
          </w:tcPr>
          <w:p>
            <w:pPr>
              <w:pStyle w:val="null3"/>
              <w:jc w:val="both"/>
            </w:pPr>
            <w:r>
              <w:rPr>
                <w:rFonts w:ascii="仿宋_GB2312" w:hAnsi="仿宋_GB2312" w:cs="仿宋_GB2312" w:eastAsia="仿宋_GB2312"/>
              </w:rPr>
              <w:t>对项目的测评重点难点分析及解决措施，分析、应对措施及建议应满足采购需求。 方案中有完全满足采购需求的测评重难点分析及解决措施，每提供一个测评重难点分析及对应的解决措施得2分，满分8分。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项目实施策略</w:t>
            </w:r>
          </w:p>
        </w:tc>
        <w:tc>
          <w:tcPr>
            <w:tcW w:type="dxa" w:w="2492"/>
          </w:tcPr>
          <w:p>
            <w:pPr>
              <w:pStyle w:val="null3"/>
              <w:jc w:val="both"/>
            </w:pPr>
            <w:r>
              <w:rPr>
                <w:rFonts w:ascii="仿宋_GB2312" w:hAnsi="仿宋_GB2312" w:cs="仿宋_GB2312" w:eastAsia="仿宋_GB2312"/>
              </w:rPr>
              <w:t>按照投标人针对测评内容、测评方法、测评流程、测评步骤等策略的响应情况进行评审打分，实施策略应满足采购需求。 1.实施策略中存在满足采购需求的测试内 容得1分，其他或不提供不得分； 2.实施策略中存在满足采购需求的测试方法得1分，其他或不提供不得分； 3.实施策略中存在满足采购需求的测试流程得1分，其他或不提供不得分； 4.实施策略中存在满足采购需求的测试步骤得1分，其他或不提供不得分。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项目管理制度及措施</w:t>
            </w:r>
          </w:p>
        </w:tc>
        <w:tc>
          <w:tcPr>
            <w:tcW w:type="dxa" w:w="2492"/>
          </w:tcPr>
          <w:p>
            <w:pPr>
              <w:pStyle w:val="null3"/>
              <w:jc w:val="both"/>
            </w:pPr>
            <w:r>
              <w:rPr>
                <w:rFonts w:ascii="仿宋_GB2312" w:hAnsi="仿宋_GB2312" w:cs="仿宋_GB2312" w:eastAsia="仿宋_GB2312"/>
              </w:rPr>
              <w:t>根据投标人的项目管理制度、流程、措施、方法进行评审打分，项目管理制度、流程、措施、方法应满足采购需求 。 方案完全满足上述要求得4分；每有一项内容缺失或不满足采购需求扣1分，扣完为止。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质量管理</w:t>
            </w:r>
          </w:p>
        </w:tc>
        <w:tc>
          <w:tcPr>
            <w:tcW w:type="dxa" w:w="2492"/>
          </w:tcPr>
          <w:p>
            <w:pPr>
              <w:pStyle w:val="null3"/>
              <w:jc w:val="both"/>
            </w:pPr>
            <w:r>
              <w:rPr>
                <w:rFonts w:ascii="仿宋_GB2312" w:hAnsi="仿宋_GB2312" w:cs="仿宋_GB2312" w:eastAsia="仿宋_GB2312"/>
              </w:rPr>
              <w:t>投标人提供满足采购需求的质量保障体系、可行的质量保障措施，有对项目质量的承诺（提供承诺函并加盖公章），提供规范化的项目文档。 1.方案中存在质量保障体系得1分，不提供不得分； 2.方案中存在满足采购需求的质量保障措施得2分，不提供不得分； 3.方案中存在对项目质量的承诺（提供承诺函并加盖公章）得1分，不提供不得分。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风险管理</w:t>
            </w:r>
          </w:p>
        </w:tc>
        <w:tc>
          <w:tcPr>
            <w:tcW w:type="dxa" w:w="2492"/>
          </w:tcPr>
          <w:p>
            <w:pPr>
              <w:pStyle w:val="null3"/>
              <w:jc w:val="both"/>
            </w:pPr>
            <w:r>
              <w:rPr>
                <w:rFonts w:ascii="仿宋_GB2312" w:hAnsi="仿宋_GB2312" w:cs="仿宋_GB2312" w:eastAsia="仿宋_GB2312"/>
              </w:rPr>
              <w:t>能够识别风险且有风险应对措施，管理措施满足采购需求。 1.根据上述要求，方案中存在风险识别及风险应对措施得2分； 2.根据上述要求，方案中存在满足采购需求的管理措施得2分； 3.不提供不得分。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团队能力</w:t>
            </w:r>
          </w:p>
        </w:tc>
        <w:tc>
          <w:tcPr>
            <w:tcW w:type="dxa" w:w="2492"/>
          </w:tcPr>
          <w:p>
            <w:pPr>
              <w:pStyle w:val="null3"/>
              <w:jc w:val="both"/>
            </w:pPr>
            <w:r>
              <w:rPr>
                <w:rFonts w:ascii="仿宋_GB2312" w:hAnsi="仿宋_GB2312" w:cs="仿宋_GB2312" w:eastAsia="仿宋_GB2312"/>
              </w:rPr>
              <w:t>拟派项目团队成员具有以下证书： （1）项目管理专业人士资格认证(PMP)证书； （2）信息系统项目管理师证书； （3）国际软件测试资质认证委员会颁发的ISTQB国际认证软件测试工程师证书； （4）注册信息安全专业人员（CISP）证书； （5）人力资源和社会保障部颁发的“软件评测师”证书； （6）人力资源和社会保障部颁发的“软件设计师”证书。 每具有1个证书得3分，同一人具有多项证书可重复得分，最高得30分 。 须提供相应证书、团队所有人员须提供2025年1月至今任意3个月在投标单位社保缴纳的证明，否则不得分。以上资料皆为扫描件。</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资格认证情况</w:t>
            </w:r>
          </w:p>
        </w:tc>
        <w:tc>
          <w:tcPr>
            <w:tcW w:type="dxa" w:w="2492"/>
          </w:tcPr>
          <w:p>
            <w:pPr>
              <w:pStyle w:val="null3"/>
              <w:jc w:val="both"/>
            </w:pPr>
            <w:r>
              <w:rPr>
                <w:rFonts w:ascii="仿宋_GB2312" w:hAnsi="仿宋_GB2312" w:cs="仿宋_GB2312" w:eastAsia="仿宋_GB2312"/>
              </w:rPr>
              <w:t>投标人具有国家级资质认定授权证书（CAL、CNAS、CMA等），得 5分；具有省市级资质认定授权证书，得3分。 须提供证书（扫描件），否则不得分。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综合实力</w:t>
            </w:r>
          </w:p>
        </w:tc>
        <w:tc>
          <w:tcPr>
            <w:tcW w:type="dxa" w:w="2492"/>
          </w:tcPr>
          <w:p>
            <w:pPr>
              <w:pStyle w:val="null3"/>
              <w:jc w:val="both"/>
            </w:pPr>
            <w:r>
              <w:rPr>
                <w:rFonts w:ascii="仿宋_GB2312" w:hAnsi="仿宋_GB2312" w:cs="仿宋_GB2312" w:eastAsia="仿宋_GB2312"/>
              </w:rPr>
              <w:t>投标人具有ISO9001质量管理体系认证证书、ISO/IEC27001信息安全管理体系认证证书、ISO/IEC20000-1服务管理体系认证证书。每具有一项得3分，满分9分。须提供有效期内的证书（扫描件），否则不得分。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类似项目业绩</w:t>
            </w:r>
          </w:p>
        </w:tc>
        <w:tc>
          <w:tcPr>
            <w:tcW w:type="dxa" w:w="2492"/>
          </w:tcPr>
          <w:p>
            <w:pPr>
              <w:pStyle w:val="null3"/>
              <w:jc w:val="both"/>
            </w:pPr>
            <w:r>
              <w:rPr>
                <w:rFonts w:ascii="仿宋_GB2312" w:hAnsi="仿宋_GB2312" w:cs="仿宋_GB2312" w:eastAsia="仿宋_GB2312"/>
              </w:rPr>
              <w:t>投标人2022年1月1日至今承担过类似项目评测服务的（同一个项目不同年度的合同不重复计算），每有一个合同得3分，最高得15分。 须提供合同（扫描件），包括合同金额、双方名称及盖章、合同服务内容，业绩认定日期以合同签订日期为准，所有材料均不得遮挡涂黑，否则不得分。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06"/>
            <w:gridSpan w:val="6"/>
          </w:tcPr>
          <w:p>
            <w:pPr>
              <w:pStyle w:val="null3"/>
              <w:jc w:val="both"/>
            </w:pPr>
            <w:r>
              <w:rPr>
                <w:rFonts w:ascii="仿宋_GB2312" w:hAnsi="仿宋_GB2312" w:cs="仿宋_GB2312" w:eastAsia="仿宋_GB2312"/>
              </w:rPr>
              <w:t xml:space="preserve"> 无</w:t>
            </w:r>
          </w:p>
        </w:tc>
      </w:tr>
    </w:tbl>
    <w:p>
      <w:pPr>
        <w:pStyle w:val="null3"/>
        <w:jc w:val="both"/>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技术部分32.00分</w:t>
            </w:r>
          </w:p>
          <w:p>
            <w:pPr>
              <w:pStyle w:val="null3"/>
              <w:jc w:val="both"/>
            </w:pPr>
            <w:r>
              <w:rPr>
                <w:rFonts w:ascii="仿宋_GB2312" w:hAnsi="仿宋_GB2312" w:cs="仿宋_GB2312" w:eastAsia="仿宋_GB2312"/>
              </w:rPr>
              <w:t>商务部分58.00分</w:t>
            </w:r>
          </w:p>
          <w:p>
            <w:pPr>
              <w:pStyle w:val="null3"/>
              <w:jc w:val="both"/>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对项目测评的理解及熟悉程度</w:t>
            </w:r>
          </w:p>
        </w:tc>
        <w:tc>
          <w:tcPr>
            <w:tcW w:type="dxa" w:w="2492"/>
          </w:tcPr>
          <w:p>
            <w:pPr>
              <w:pStyle w:val="null3"/>
              <w:jc w:val="both"/>
            </w:pPr>
            <w:r>
              <w:rPr>
                <w:rFonts w:ascii="仿宋_GB2312" w:hAnsi="仿宋_GB2312" w:cs="仿宋_GB2312" w:eastAsia="仿宋_GB2312"/>
              </w:rPr>
              <w:t>按照投标文件针对项目背景、建设目标、测评要求的理解响应情况进行评审打分，理解应满足采购需求 。 1.根据上述要求，投标文件中该项响应内容完全满足采购需求得7分； 2.根据上述要求，投标文件中该项响应内容不完全满足采购需求得4分； 3.不提供不得分。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项目重点难点分析和应对措施及相关的合理化建议</w:t>
            </w:r>
          </w:p>
        </w:tc>
        <w:tc>
          <w:tcPr>
            <w:tcW w:type="dxa" w:w="2492"/>
          </w:tcPr>
          <w:p>
            <w:pPr>
              <w:pStyle w:val="null3"/>
              <w:jc w:val="both"/>
            </w:pPr>
            <w:r>
              <w:rPr>
                <w:rFonts w:ascii="仿宋_GB2312" w:hAnsi="仿宋_GB2312" w:cs="仿宋_GB2312" w:eastAsia="仿宋_GB2312"/>
              </w:rPr>
              <w:t>投标人提供对项目的测评重点难点分析及解决措施，分析及措施应满足采购需求。 方案中有完全满足采购需求的测评重难点分析及解决措施，每提供一个测评重难点分析及对应的解决措施得2分，满分8分。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项目实施策略</w:t>
            </w:r>
          </w:p>
        </w:tc>
        <w:tc>
          <w:tcPr>
            <w:tcW w:type="dxa" w:w="2492"/>
          </w:tcPr>
          <w:p>
            <w:pPr>
              <w:pStyle w:val="null3"/>
              <w:jc w:val="both"/>
            </w:pPr>
            <w:r>
              <w:rPr>
                <w:rFonts w:ascii="仿宋_GB2312" w:hAnsi="仿宋_GB2312" w:cs="仿宋_GB2312" w:eastAsia="仿宋_GB2312"/>
              </w:rPr>
              <w:t>按照投标文件针对测评内容、测评方法、测评流程、测评步骤等策略的响应情况进行评审打分，实施策略应满足采购需求。 1.实施策略中存在满足采购需求的测试内容得2分； 2.实施策略中存在满足采购需求的测试方法得1分； 3.实施策略中存在满足采购需求的测试流程得1分； 4.实施策略中存在满足采购需求的测试步骤得1分。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项目管理制度及措施</w:t>
            </w:r>
          </w:p>
        </w:tc>
        <w:tc>
          <w:tcPr>
            <w:tcW w:type="dxa" w:w="2492"/>
          </w:tcPr>
          <w:p>
            <w:pPr>
              <w:pStyle w:val="null3"/>
              <w:jc w:val="both"/>
            </w:pPr>
            <w:r>
              <w:rPr>
                <w:rFonts w:ascii="仿宋_GB2312" w:hAnsi="仿宋_GB2312" w:cs="仿宋_GB2312" w:eastAsia="仿宋_GB2312"/>
              </w:rPr>
              <w:t>根据投标文件中项目管理制度、流程、措施、方法进行评审打分，制度及措施应满足采购需求 。 方案完全满足上述要求得4分；每有一项内容缺失或不满足采购需求扣1分，扣完为止。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质量管理</w:t>
            </w:r>
          </w:p>
        </w:tc>
        <w:tc>
          <w:tcPr>
            <w:tcW w:type="dxa" w:w="2492"/>
          </w:tcPr>
          <w:p>
            <w:pPr>
              <w:pStyle w:val="null3"/>
              <w:jc w:val="both"/>
            </w:pPr>
            <w:r>
              <w:rPr>
                <w:rFonts w:ascii="仿宋_GB2312" w:hAnsi="仿宋_GB2312" w:cs="仿宋_GB2312" w:eastAsia="仿宋_GB2312"/>
              </w:rPr>
              <w:t>提供满足采购需求的质量保障体系，完善的质量保障措施，有对项目质量的承诺（提供承诺函并加盖公章），提供规范化的项目文档。 1.方案中存在质量保障体系得2分，不提供不得分； 2.方案中存在满足采购需求的质量保障措施得2分，不提供不得分； 3.方案中存在对项目质量的承诺（提供承诺函并加盖公章）得1分，不提供不得分。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风险管理</w:t>
            </w:r>
          </w:p>
        </w:tc>
        <w:tc>
          <w:tcPr>
            <w:tcW w:type="dxa" w:w="2492"/>
          </w:tcPr>
          <w:p>
            <w:pPr>
              <w:pStyle w:val="null3"/>
              <w:jc w:val="both"/>
            </w:pPr>
            <w:r>
              <w:rPr>
                <w:rFonts w:ascii="仿宋_GB2312" w:hAnsi="仿宋_GB2312" w:cs="仿宋_GB2312" w:eastAsia="仿宋_GB2312"/>
              </w:rPr>
              <w:t>能够识别风险且有风险应对措施者，按三个档次进行评审 。 1.根据上述要求，方案中存在风险识别及风险应对措施得2分； 2.根据上述要求，方案中存在满足采购需求的管理措施得2分； 3.不提供不得分。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自定义格式</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团队能力</w:t>
            </w:r>
          </w:p>
        </w:tc>
        <w:tc>
          <w:tcPr>
            <w:tcW w:type="dxa" w:w="2492"/>
          </w:tcPr>
          <w:p>
            <w:pPr>
              <w:pStyle w:val="null3"/>
              <w:jc w:val="both"/>
            </w:pPr>
            <w:r>
              <w:rPr>
                <w:rFonts w:ascii="仿宋_GB2312" w:hAnsi="仿宋_GB2312" w:cs="仿宋_GB2312" w:eastAsia="仿宋_GB2312"/>
              </w:rPr>
              <w:t>拟派项目团队成员具有以下证书： （1）项目管理专业人士资格认证(PMP)证书； （2）信息系统项目管理师证书； （3）商用密码应用安全性评估从业人员考核合格的证明文件； （4）注册信息安全专业人员（CISP）证书； （5）信息系统审计师（CISA）； （6）信息安全保障人员认证证书（CISAW）。 每具有1个证书得3分，同一人具有多项证书可重复得分，最高得30分 。 须提供相应证书、团队所有人员须提供2025年1月至今任意3个月在投标单位社保缴纳的证明，否则不得分。以上资料皆为扫描件。</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实验环境</w:t>
            </w:r>
          </w:p>
        </w:tc>
        <w:tc>
          <w:tcPr>
            <w:tcW w:type="dxa" w:w="2492"/>
          </w:tcPr>
          <w:p>
            <w:pPr>
              <w:pStyle w:val="null3"/>
              <w:jc w:val="both"/>
            </w:pPr>
            <w:r>
              <w:rPr>
                <w:rFonts w:ascii="仿宋_GB2312" w:hAnsi="仿宋_GB2312" w:cs="仿宋_GB2312" w:eastAsia="仿宋_GB2312"/>
              </w:rPr>
              <w:t>投标人具有商用密码设备搭建的模拟仿真实验环境，每提供一种商用密码设备得2分，最高得4分。 须提供产品采购合同或发票（扫描件）或国家版权局颁发的软件著作权证书。</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综合实力</w:t>
            </w:r>
          </w:p>
        </w:tc>
        <w:tc>
          <w:tcPr>
            <w:tcW w:type="dxa" w:w="2492"/>
          </w:tcPr>
          <w:p>
            <w:pPr>
              <w:pStyle w:val="null3"/>
              <w:jc w:val="both"/>
            </w:pPr>
            <w:r>
              <w:rPr>
                <w:rFonts w:ascii="仿宋_GB2312" w:hAnsi="仿宋_GB2312" w:cs="仿宋_GB2312" w:eastAsia="仿宋_GB2312"/>
              </w:rPr>
              <w:t>投标人具有ISO9001质量管理体系认证证书、ISO/IEC27001信息安全管理体系认证证书、ISO/IEC20000-1服务管理体系认证证书。每具有一项得3分，满分9分。须提供有效期内的证书（扫描件），否则不得分。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vMerge/>
          </w:tcPr>
          <w:p/>
        </w:tc>
        <w:tc>
          <w:tcPr>
            <w:tcW w:type="dxa" w:w="1661"/>
          </w:tcPr>
          <w:p>
            <w:pPr>
              <w:pStyle w:val="null3"/>
              <w:jc w:val="both"/>
            </w:pPr>
            <w:r>
              <w:rPr>
                <w:rFonts w:ascii="仿宋_GB2312" w:hAnsi="仿宋_GB2312" w:cs="仿宋_GB2312" w:eastAsia="仿宋_GB2312"/>
              </w:rPr>
              <w:t>项目业绩</w:t>
            </w:r>
          </w:p>
        </w:tc>
        <w:tc>
          <w:tcPr>
            <w:tcW w:type="dxa" w:w="2492"/>
          </w:tcPr>
          <w:p>
            <w:pPr>
              <w:pStyle w:val="null3"/>
              <w:jc w:val="both"/>
            </w:pPr>
            <w:r>
              <w:rPr>
                <w:rFonts w:ascii="仿宋_GB2312" w:hAnsi="仿宋_GB2312" w:cs="仿宋_GB2312" w:eastAsia="仿宋_GB2312"/>
              </w:rPr>
              <w:t>投标人2022年1月1日至今承担过信息化项目密码测评服务的，每有一个合同得3分，最高得15分 。 须提供合同（扫描件），包括合同金额、双方名称及盖章、合同服务内容，业绩认定日期以合同签订日期为准，所有材料均不得遮挡涂黑，否则不得分。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自定义格式</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06"/>
            <w:gridSpan w:val="6"/>
          </w:tcPr>
          <w:p>
            <w:pPr>
              <w:pStyle w:val="null3"/>
              <w:jc w:val="both"/>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HNGP2025-39</w:t>
      </w:r>
    </w:p>
    <w:p>
      <w:pPr>
        <w:pStyle w:val="null3"/>
        <w:jc w:val="left"/>
      </w:pPr>
      <w:r>
        <w:rPr>
          <w:rFonts w:ascii="仿宋_GB2312" w:hAnsi="仿宋_GB2312" w:cs="仿宋_GB2312" w:eastAsia="仿宋_GB2312"/>
        </w:rPr>
        <w:t>项目名称：</w:t>
      </w:r>
      <w:r>
        <w:rPr>
          <w:rFonts w:ascii="仿宋_GB2312" w:hAnsi="仿宋_GB2312" w:cs="仿宋_GB2312" w:eastAsia="仿宋_GB2312"/>
        </w:rPr>
        <w:t>省电子凭证会计数据标准化平台建设项目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1</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服务地点</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C16010302-行业应用软件开发服务</w:t>
            </w:r>
          </w:p>
        </w:tc>
        <w:tc>
          <w:tcPr>
            <w:tcW w:type="dxa" w:w="1038"/>
          </w:tcPr>
          <w:p>
            <w:pPr>
              <w:pStyle w:val="null3"/>
              <w:jc w:val="left"/>
            </w:pPr>
            <w:r>
              <w:rPr>
                <w:rFonts w:ascii="仿宋_GB2312" w:hAnsi="仿宋_GB2312" w:cs="仿宋_GB2312" w:eastAsia="仿宋_GB2312"/>
              </w:rPr>
              <w:t xml:space="preserve"> 1.00套</w:t>
            </w:r>
          </w:p>
        </w:tc>
        <w:tc>
          <w:tcPr>
            <w:tcW w:type="dxa" w:w="1038"/>
          </w:tcPr>
          <w:p>
            <w:pPr>
              <w:pStyle w:val="null3"/>
              <w:jc w:val="left"/>
            </w:pPr>
            <w:r>
              <w:rPr>
                <w:rFonts w:ascii="仿宋_GB2312" w:hAnsi="仿宋_GB2312" w:cs="仿宋_GB2312" w:eastAsia="仿宋_GB2312"/>
              </w:rPr>
              <w:t xml:space="preserve"> 1097800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HNGP2025-39</w:t>
      </w:r>
    </w:p>
    <w:p>
      <w:pPr>
        <w:pStyle w:val="null3"/>
        <w:jc w:val="left"/>
      </w:pPr>
      <w:r>
        <w:rPr>
          <w:rFonts w:ascii="仿宋_GB2312" w:hAnsi="仿宋_GB2312" w:cs="仿宋_GB2312" w:eastAsia="仿宋_GB2312"/>
        </w:rPr>
        <w:t>项目名称：</w:t>
      </w:r>
      <w:r>
        <w:rPr>
          <w:rFonts w:ascii="仿宋_GB2312" w:hAnsi="仿宋_GB2312" w:cs="仿宋_GB2312" w:eastAsia="仿宋_GB2312"/>
        </w:rPr>
        <w:t>省电子凭证会计数据标准化平台建设项目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2</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服务地点</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C16010302-行业应用软件开发服务</w:t>
            </w:r>
          </w:p>
        </w:tc>
        <w:tc>
          <w:tcPr>
            <w:tcW w:type="dxa" w:w="1038"/>
          </w:tcPr>
          <w:p>
            <w:pPr>
              <w:pStyle w:val="null3"/>
              <w:jc w:val="left"/>
            </w:pPr>
            <w:r>
              <w:rPr>
                <w:rFonts w:ascii="仿宋_GB2312" w:hAnsi="仿宋_GB2312" w:cs="仿宋_GB2312" w:eastAsia="仿宋_GB2312"/>
              </w:rPr>
              <w:t xml:space="preserve"> 1.00套</w:t>
            </w:r>
          </w:p>
        </w:tc>
        <w:tc>
          <w:tcPr>
            <w:tcW w:type="dxa" w:w="1038"/>
          </w:tcPr>
          <w:p>
            <w:pPr>
              <w:pStyle w:val="null3"/>
              <w:jc w:val="left"/>
            </w:pPr>
            <w:r>
              <w:rPr>
                <w:rFonts w:ascii="仿宋_GB2312" w:hAnsi="仿宋_GB2312" w:cs="仿宋_GB2312" w:eastAsia="仿宋_GB2312"/>
              </w:rPr>
              <w:t xml:space="preserve"> 721775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HNGP2025-39</w:t>
      </w:r>
    </w:p>
    <w:p>
      <w:pPr>
        <w:pStyle w:val="null3"/>
        <w:jc w:val="left"/>
      </w:pPr>
      <w:r>
        <w:rPr>
          <w:rFonts w:ascii="仿宋_GB2312" w:hAnsi="仿宋_GB2312" w:cs="仿宋_GB2312" w:eastAsia="仿宋_GB2312"/>
        </w:rPr>
        <w:t>项目名称：</w:t>
      </w:r>
      <w:r>
        <w:rPr>
          <w:rFonts w:ascii="仿宋_GB2312" w:hAnsi="仿宋_GB2312" w:cs="仿宋_GB2312" w:eastAsia="仿宋_GB2312"/>
        </w:rPr>
        <w:t>省电子凭证会计数据标准化平台建设项目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3</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服务地点</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C16010302-行业应用软件开发服务</w:t>
            </w:r>
          </w:p>
        </w:tc>
        <w:tc>
          <w:tcPr>
            <w:tcW w:type="dxa" w:w="1038"/>
          </w:tcPr>
          <w:p>
            <w:pPr>
              <w:pStyle w:val="null3"/>
              <w:jc w:val="left"/>
            </w:pPr>
            <w:r>
              <w:rPr>
                <w:rFonts w:ascii="仿宋_GB2312" w:hAnsi="仿宋_GB2312" w:cs="仿宋_GB2312" w:eastAsia="仿宋_GB2312"/>
              </w:rPr>
              <w:t xml:space="preserve"> 1.00套</w:t>
            </w:r>
          </w:p>
        </w:tc>
        <w:tc>
          <w:tcPr>
            <w:tcW w:type="dxa" w:w="1038"/>
          </w:tcPr>
          <w:p>
            <w:pPr>
              <w:pStyle w:val="null3"/>
              <w:jc w:val="left"/>
            </w:pPr>
            <w:r>
              <w:rPr>
                <w:rFonts w:ascii="仿宋_GB2312" w:hAnsi="仿宋_GB2312" w:cs="仿宋_GB2312" w:eastAsia="仿宋_GB2312"/>
              </w:rPr>
              <w:t xml:space="preserve"> 481700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HNGP2025-39</w:t>
      </w:r>
    </w:p>
    <w:p>
      <w:pPr>
        <w:pStyle w:val="null3"/>
        <w:jc w:val="left"/>
      </w:pPr>
      <w:r>
        <w:rPr>
          <w:rFonts w:ascii="仿宋_GB2312" w:hAnsi="仿宋_GB2312" w:cs="仿宋_GB2312" w:eastAsia="仿宋_GB2312"/>
        </w:rPr>
        <w:t>项目名称：</w:t>
      </w:r>
      <w:r>
        <w:rPr>
          <w:rFonts w:ascii="仿宋_GB2312" w:hAnsi="仿宋_GB2312" w:cs="仿宋_GB2312" w:eastAsia="仿宋_GB2312"/>
        </w:rPr>
        <w:t>省电子凭证会计数据标准化平台建设项目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4</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服务地点</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C16010302-行业应用软件开发服务</w:t>
            </w:r>
          </w:p>
        </w:tc>
        <w:tc>
          <w:tcPr>
            <w:tcW w:type="dxa" w:w="1038"/>
          </w:tcPr>
          <w:p>
            <w:pPr>
              <w:pStyle w:val="null3"/>
              <w:jc w:val="left"/>
            </w:pPr>
            <w:r>
              <w:rPr>
                <w:rFonts w:ascii="仿宋_GB2312" w:hAnsi="仿宋_GB2312" w:cs="仿宋_GB2312" w:eastAsia="仿宋_GB2312"/>
              </w:rPr>
              <w:t xml:space="preserve"> 1.00套</w:t>
            </w:r>
          </w:p>
        </w:tc>
        <w:tc>
          <w:tcPr>
            <w:tcW w:type="dxa" w:w="1038"/>
          </w:tcPr>
          <w:p>
            <w:pPr>
              <w:pStyle w:val="null3"/>
              <w:jc w:val="left"/>
            </w:pPr>
            <w:r>
              <w:rPr>
                <w:rFonts w:ascii="仿宋_GB2312" w:hAnsi="仿宋_GB2312" w:cs="仿宋_GB2312" w:eastAsia="仿宋_GB2312"/>
              </w:rPr>
              <w:t xml:space="preserve"> 832500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HNGP2025-39</w:t>
      </w:r>
    </w:p>
    <w:p>
      <w:pPr>
        <w:pStyle w:val="null3"/>
        <w:jc w:val="left"/>
      </w:pPr>
      <w:r>
        <w:rPr>
          <w:rFonts w:ascii="仿宋_GB2312" w:hAnsi="仿宋_GB2312" w:cs="仿宋_GB2312" w:eastAsia="仿宋_GB2312"/>
        </w:rPr>
        <w:t>项目名称：</w:t>
      </w:r>
      <w:r>
        <w:rPr>
          <w:rFonts w:ascii="仿宋_GB2312" w:hAnsi="仿宋_GB2312" w:cs="仿宋_GB2312" w:eastAsia="仿宋_GB2312"/>
        </w:rPr>
        <w:t>省电子凭证会计数据标准化平台建设项目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5</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服务地点</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C16050000-信息化工程监理服务</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121883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HNGP2025-39</w:t>
      </w:r>
    </w:p>
    <w:p>
      <w:pPr>
        <w:pStyle w:val="null3"/>
        <w:jc w:val="left"/>
      </w:pPr>
      <w:r>
        <w:rPr>
          <w:rFonts w:ascii="仿宋_GB2312" w:hAnsi="仿宋_GB2312" w:cs="仿宋_GB2312" w:eastAsia="仿宋_GB2312"/>
        </w:rPr>
        <w:t>项目名称：</w:t>
      </w:r>
      <w:r>
        <w:rPr>
          <w:rFonts w:ascii="仿宋_GB2312" w:hAnsi="仿宋_GB2312" w:cs="仿宋_GB2312" w:eastAsia="仿宋_GB2312"/>
        </w:rPr>
        <w:t>省电子凭证会计数据标准化平台建设项目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6</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服务地点</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C16070400-安全运维服务</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250400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HNGP2025-39</w:t>
      </w:r>
    </w:p>
    <w:p>
      <w:pPr>
        <w:pStyle w:val="null3"/>
        <w:jc w:val="left"/>
      </w:pPr>
      <w:r>
        <w:rPr>
          <w:rFonts w:ascii="仿宋_GB2312" w:hAnsi="仿宋_GB2312" w:cs="仿宋_GB2312" w:eastAsia="仿宋_GB2312"/>
        </w:rPr>
        <w:t>项目名称：</w:t>
      </w:r>
      <w:r>
        <w:rPr>
          <w:rFonts w:ascii="仿宋_GB2312" w:hAnsi="仿宋_GB2312" w:cs="仿宋_GB2312" w:eastAsia="仿宋_GB2312"/>
        </w:rPr>
        <w:t>省电子凭证会计数据标准化平台建设项目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7</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服务地点</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C16060000-测试评估认证服务</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84200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HNGP2025-39</w:t>
      </w:r>
    </w:p>
    <w:p>
      <w:pPr>
        <w:pStyle w:val="null3"/>
        <w:jc w:val="left"/>
      </w:pPr>
      <w:r>
        <w:rPr>
          <w:rFonts w:ascii="仿宋_GB2312" w:hAnsi="仿宋_GB2312" w:cs="仿宋_GB2312" w:eastAsia="仿宋_GB2312"/>
        </w:rPr>
        <w:t>项目名称：</w:t>
      </w:r>
      <w:r>
        <w:rPr>
          <w:rFonts w:ascii="仿宋_GB2312" w:hAnsi="仿宋_GB2312" w:cs="仿宋_GB2312" w:eastAsia="仿宋_GB2312"/>
        </w:rPr>
        <w:t>省电子凭证会计数据标准化平台建设项目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8</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服务地点</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C16060000-测试评估认证服务</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120000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详见附件：自定义格式</w:t>
      </w:r>
    </w:p>
    <w:p>
      <w:pPr>
        <w:pStyle w:val="null3"/>
        <w:ind w:firstLine="960"/>
        <w:jc w:val="left"/>
      </w:pPr>
      <w:r>
        <w:rPr>
          <w:rFonts w:ascii="仿宋_GB2312" w:hAnsi="仿宋_GB2312" w:cs="仿宋_GB2312" w:eastAsia="仿宋_GB2312"/>
        </w:rPr>
        <w:t>详见附件：自定义格式</w:t>
      </w:r>
    </w:p>
    <w:p>
      <w:pPr>
        <w:pStyle w:val="null3"/>
        <w:ind w:firstLine="960"/>
        <w:jc w:val="left"/>
      </w:pPr>
      <w:r>
        <w:rPr>
          <w:rFonts w:ascii="仿宋_GB2312" w:hAnsi="仿宋_GB2312" w:cs="仿宋_GB2312" w:eastAsia="仿宋_GB2312"/>
        </w:rPr>
        <w:t>详见附件：自定义格式</w:t>
      </w:r>
    </w:p>
    <w:p>
      <w:pPr>
        <w:pStyle w:val="null3"/>
        <w:ind w:firstLine="960"/>
        <w:jc w:val="left"/>
      </w:pPr>
      <w:r>
        <w:rPr>
          <w:rFonts w:ascii="仿宋_GB2312" w:hAnsi="仿宋_GB2312" w:cs="仿宋_GB2312" w:eastAsia="仿宋_GB2312"/>
        </w:rPr>
        <w:t>详见附件：自定义格式</w:t>
      </w:r>
    </w:p>
    <w:p>
      <w:pPr>
        <w:pStyle w:val="null3"/>
        <w:ind w:firstLine="960"/>
        <w:jc w:val="left"/>
      </w:pPr>
      <w:r>
        <w:rPr>
          <w:rFonts w:ascii="仿宋_GB2312" w:hAnsi="仿宋_GB2312" w:cs="仿宋_GB2312" w:eastAsia="仿宋_GB2312"/>
        </w:rPr>
        <w:t>详见附件：自定义格式</w:t>
      </w:r>
    </w:p>
    <w:p>
      <w:pPr>
        <w:pStyle w:val="null3"/>
        <w:ind w:firstLine="960"/>
        <w:jc w:val="left"/>
      </w:pPr>
      <w:r>
        <w:rPr>
          <w:rFonts w:ascii="仿宋_GB2312" w:hAnsi="仿宋_GB2312" w:cs="仿宋_GB2312" w:eastAsia="仿宋_GB2312"/>
        </w:rPr>
        <w:t>详见附件：自定义格式</w:t>
      </w:r>
    </w:p>
    <w:p>
      <w:pPr>
        <w:pStyle w:val="null3"/>
        <w:ind w:firstLine="960"/>
        <w:jc w:val="left"/>
      </w:pPr>
      <w:r>
        <w:rPr>
          <w:rFonts w:ascii="仿宋_GB2312" w:hAnsi="仿宋_GB2312" w:cs="仿宋_GB2312" w:eastAsia="仿宋_GB2312"/>
        </w:rPr>
        <w:t>详见附件：自定义格式</w:t>
      </w:r>
    </w:p>
    <w:p>
      <w:pPr>
        <w:pStyle w:val="null3"/>
        <w:ind w:firstLine="960"/>
        <w:jc w:val="left"/>
      </w:pPr>
      <w:r>
        <w:rPr>
          <w:rFonts w:ascii="仿宋_GB2312" w:hAnsi="仿宋_GB2312" w:cs="仿宋_GB2312" w:eastAsia="仿宋_GB2312"/>
        </w:rPr>
        <w:t>详见附件：自定义格式</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 Id="rId6" Target="media/image2.png" Type="http://schemas.openxmlformats.org/officeDocument/2006/relationships/image"/><Relationship Id="rId7" Target="media/image3.png" Type="http://schemas.openxmlformats.org/officeDocument/2006/relationships/image"/><Relationship Id="rId8" Target="media/image4.png" Type="http://schemas.openxmlformats.org/officeDocument/2006/relationships/image"/><Relationship Id="rId9"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