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海南省财政厅2025年信息系统运行维护政府采购项目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HNZC2025-004-003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海南省财政厅2025年信息系统运行维护政府采购项目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HNZC2025-004-003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海南省财政厅2025年信息系统运行维护政府采购项目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4,134,756.00元</w:t>
      </w:r>
      <w:r>
        <w:rPr>
          <w:rFonts w:ascii="仿宋_GB2312" w:hAnsi="仿宋_GB2312" w:cs="仿宋_GB2312" w:eastAsia="仿宋_GB2312"/>
        </w:rPr>
        <w:t>肆佰壹拾叁万肆仟柒佰伍拾陆元整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运维周期为一年，时间为2025年2月25日至2026年2月24日。2025年2月25日起至合同签订生效之日前1天由原供应商负责运维，合同生效之日起至2026年2月24日由新供应商负责运维。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运维周期为一年，时间为2025年8月25日至2026年8月24日。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运维周期为一年，时间为2025年11月1日至2026年10月31日。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运维周期为一年，时间为2025年5月23日至2026年5月22日。时间为2025年5月23日起至合同签订生效之日前1天由原供应商负责运维，合同生效之日起至2026年5月22日由新供应商负责运维。</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（一）OA系统运维服务时间 运维周期为一年，时间为2025年1月1日至2025年12月31日，2025年1月1日至合同签订生效之日前1天由原供应商负责运维，合同生效之日起至2025年12月31日由新供应商负责运维。 （二）督办模块技术服务时间 自合同签订之日起4个月内。</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运维周期为一年，时间为2025年1月1日至2025年12月31日，2025年1月1日至合同签订生效之日前1天由原供应商负责运维，合同生效之日起至2025年12月31日由新供应商负责运维。</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运维周期为一年，2025年8月21日-2026年8月20日。</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 xml:space="preserve"> 运维周期为一年，自合同签订之日起一年。</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服务时间为2025年12月1日至2026年11月30日。</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2025年6月21日-2026年6月20日，2025年6月21日起至合同签订生效之日前1天由原供应商负责运维，合同生效之日起至2026年6月20日由新供应商负责运维。</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2025年信息系统运维等保测评及应急演练服务合同签订后且收到入场通知后75天内完成。</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2025年密码测评服务合同签订后且收到入场通知后75天内完成。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2、资质条件：投标人具有具备公安部第三研究所颁发的有效期内《网络安全服务认证证书等级保护测评服务认证》和证书颁发机构监督评价合格后签发的《证书保持通知书》。（复印件加盖公章）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面向中小企业：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p>
      <w:pPr>
        <w:pStyle w:val="null3"/>
        <w:jc w:val="left"/>
      </w:pPr>
      <w:r>
        <w:rPr>
          <w:rFonts w:ascii="仿宋_GB2312" w:hAnsi="仿宋_GB2312" w:cs="仿宋_GB2312" w:eastAsia="仿宋_GB2312"/>
        </w:rPr>
        <w:t>2、资质条件：投标人需属于国家密码管理局公告（49号）《商用密码检测机构（商用密码应用安全性评估业务）目录》的机构，提供网站公告页面和目录复印件并加盖公章。</w:t>
      </w:r>
    </w:p>
    <w:p>
      <w:pPr>
        <w:pStyle w:val="null3"/>
        <w:jc w:val="left"/>
      </w:pPr>
      <w:r>
        <w:rPr>
          <w:rFonts w:ascii="仿宋_GB2312" w:hAnsi="仿宋_GB2312" w:cs="仿宋_GB2312" w:eastAsia="仿宋_GB2312"/>
        </w:rPr>
        <w:t>3、环保类行政声明函：参加政府采购活动前三年内，在经营活动中没有环保类行政处罚记录（提供声明函）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海口市滨海大道109号财政大厦409房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王康斌</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0898-68567676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符章林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13637571900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采购包1：569,500.00元</w:t>
            </w:r>
          </w:p>
          <w:p>
            <w:pPr>
              <w:pStyle w:val="null3"/>
              <w:jc w:val="left"/>
            </w:pPr>
            <w:r>
              <w:rPr>
                <w:rFonts w:ascii="仿宋_GB2312" w:hAnsi="仿宋_GB2312" w:cs="仿宋_GB2312" w:eastAsia="仿宋_GB2312"/>
              </w:rPr>
              <w:t>采购包2：300,000.00元</w:t>
            </w:r>
          </w:p>
          <w:p>
            <w:pPr>
              <w:pStyle w:val="null3"/>
              <w:jc w:val="left"/>
            </w:pPr>
            <w:r>
              <w:rPr>
                <w:rFonts w:ascii="仿宋_GB2312" w:hAnsi="仿宋_GB2312" w:cs="仿宋_GB2312" w:eastAsia="仿宋_GB2312"/>
              </w:rPr>
              <w:t>采购包3：230,000.00元</w:t>
            </w:r>
          </w:p>
          <w:p>
            <w:pPr>
              <w:pStyle w:val="null3"/>
              <w:jc w:val="left"/>
            </w:pPr>
            <w:r>
              <w:rPr>
                <w:rFonts w:ascii="仿宋_GB2312" w:hAnsi="仿宋_GB2312" w:cs="仿宋_GB2312" w:eastAsia="仿宋_GB2312"/>
              </w:rPr>
              <w:t>采购包4：80,000.00元</w:t>
            </w:r>
          </w:p>
          <w:p>
            <w:pPr>
              <w:pStyle w:val="null3"/>
              <w:jc w:val="left"/>
            </w:pPr>
            <w:r>
              <w:rPr>
                <w:rFonts w:ascii="仿宋_GB2312" w:hAnsi="仿宋_GB2312" w:cs="仿宋_GB2312" w:eastAsia="仿宋_GB2312"/>
              </w:rPr>
              <w:t>采购包5：35,000.00元</w:t>
            </w:r>
          </w:p>
          <w:p>
            <w:pPr>
              <w:pStyle w:val="null3"/>
              <w:jc w:val="left"/>
            </w:pPr>
            <w:r>
              <w:rPr>
                <w:rFonts w:ascii="仿宋_GB2312" w:hAnsi="仿宋_GB2312" w:cs="仿宋_GB2312" w:eastAsia="仿宋_GB2312"/>
              </w:rPr>
              <w:t>采购包6：141,000.00元</w:t>
            </w:r>
          </w:p>
          <w:p>
            <w:pPr>
              <w:pStyle w:val="null3"/>
              <w:jc w:val="left"/>
            </w:pPr>
            <w:r>
              <w:rPr>
                <w:rFonts w:ascii="仿宋_GB2312" w:hAnsi="仿宋_GB2312" w:cs="仿宋_GB2312" w:eastAsia="仿宋_GB2312"/>
              </w:rPr>
              <w:t>采购包7：19,000.00元</w:t>
            </w:r>
          </w:p>
          <w:p>
            <w:pPr>
              <w:pStyle w:val="null3"/>
              <w:jc w:val="left"/>
            </w:pPr>
            <w:r>
              <w:rPr>
                <w:rFonts w:ascii="仿宋_GB2312" w:hAnsi="仿宋_GB2312" w:cs="仿宋_GB2312" w:eastAsia="仿宋_GB2312"/>
              </w:rPr>
              <w:t>采购包8：890,900.00元</w:t>
            </w:r>
          </w:p>
          <w:p>
            <w:pPr>
              <w:pStyle w:val="null3"/>
              <w:jc w:val="left"/>
            </w:pPr>
            <w:r>
              <w:rPr>
                <w:rFonts w:ascii="仿宋_GB2312" w:hAnsi="仿宋_GB2312" w:cs="仿宋_GB2312" w:eastAsia="仿宋_GB2312"/>
              </w:rPr>
              <w:t>采购包9：77,100.00元</w:t>
            </w:r>
          </w:p>
          <w:p>
            <w:pPr>
              <w:pStyle w:val="null3"/>
              <w:jc w:val="left"/>
            </w:pPr>
            <w:r>
              <w:rPr>
                <w:rFonts w:ascii="仿宋_GB2312" w:hAnsi="仿宋_GB2312" w:cs="仿宋_GB2312" w:eastAsia="仿宋_GB2312"/>
              </w:rPr>
              <w:t>采购包10：601,500.00元</w:t>
            </w:r>
          </w:p>
          <w:p>
            <w:pPr>
              <w:pStyle w:val="null3"/>
              <w:jc w:val="left"/>
            </w:pPr>
            <w:r>
              <w:rPr>
                <w:rFonts w:ascii="仿宋_GB2312" w:hAnsi="仿宋_GB2312" w:cs="仿宋_GB2312" w:eastAsia="仿宋_GB2312"/>
              </w:rPr>
              <w:t>采购包11：296,204.00元</w:t>
            </w:r>
          </w:p>
          <w:p>
            <w:pPr>
              <w:pStyle w:val="null3"/>
              <w:jc w:val="left"/>
            </w:pPr>
            <w:r>
              <w:rPr>
                <w:rFonts w:ascii="仿宋_GB2312" w:hAnsi="仿宋_GB2312" w:cs="仿宋_GB2312" w:eastAsia="仿宋_GB2312"/>
              </w:rPr>
              <w:t>采购包12：114,552.00元</w:t>
            </w:r>
          </w:p>
          <w:p>
            <w:pPr>
              <w:pStyle w:val="null3"/>
              <w:jc w:val="left"/>
            </w:pPr>
            <w:r>
              <w:rPr>
                <w:rFonts w:ascii="仿宋_GB2312" w:hAnsi="仿宋_GB2312" w:cs="仿宋_GB2312" w:eastAsia="仿宋_GB2312"/>
              </w:rPr>
              <w:t>采购包13：420,000.00元</w:t>
            </w:r>
          </w:p>
          <w:p>
            <w:pPr>
              <w:pStyle w:val="null3"/>
              <w:jc w:val="left"/>
            </w:pPr>
            <w:r>
              <w:rPr>
                <w:rFonts w:ascii="仿宋_GB2312" w:hAnsi="仿宋_GB2312" w:cs="仿宋_GB2312" w:eastAsia="仿宋_GB2312"/>
              </w:rPr>
              <w:t>采购包14：360,000.00元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p>
          <w:p>
            <w:pPr>
              <w:pStyle w:val="null3"/>
              <w:jc w:val="left"/>
            </w:pPr>
            <w:r>
              <w:rPr>
                <w:rFonts w:ascii="仿宋_GB2312" w:hAnsi="仿宋_GB2312" w:cs="仿宋_GB2312" w:eastAsia="仿宋_GB2312"/>
              </w:rPr>
              <w:t>采购包11：综合评分法</w:t>
            </w:r>
          </w:p>
          <w:p>
            <w:pPr>
              <w:pStyle w:val="null3"/>
              <w:jc w:val="left"/>
            </w:pPr>
            <w:r>
              <w:rPr>
                <w:rFonts w:ascii="仿宋_GB2312" w:hAnsi="仿宋_GB2312" w:cs="仿宋_GB2312" w:eastAsia="仿宋_GB2312"/>
              </w:rPr>
              <w:t>采购包12：综合评分法</w:t>
            </w:r>
          </w:p>
          <w:p>
            <w:pPr>
              <w:pStyle w:val="null3"/>
              <w:jc w:val="left"/>
            </w:pPr>
            <w:r>
              <w:rPr>
                <w:rFonts w:ascii="仿宋_GB2312" w:hAnsi="仿宋_GB2312" w:cs="仿宋_GB2312" w:eastAsia="仿宋_GB2312"/>
              </w:rPr>
              <w:t>采购包13：综合评分法</w:t>
            </w:r>
          </w:p>
          <w:p>
            <w:pPr>
              <w:pStyle w:val="null3"/>
              <w:jc w:val="left"/>
            </w:pPr>
            <w:r>
              <w:rPr>
                <w:rFonts w:ascii="仿宋_GB2312" w:hAnsi="仿宋_GB2312" w:cs="仿宋_GB2312" w:eastAsia="仿宋_GB2312"/>
              </w:rPr>
              <w:t>采购包14：综合评分法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采购包11：不接受</w:t>
            </w:r>
          </w:p>
          <w:p>
            <w:pPr>
              <w:pStyle w:val="null3"/>
              <w:jc w:val="left"/>
            </w:pPr>
            <w:r>
              <w:rPr>
                <w:rFonts w:ascii="仿宋_GB2312" w:hAnsi="仿宋_GB2312" w:cs="仿宋_GB2312" w:eastAsia="仿宋_GB2312"/>
              </w:rPr>
              <w:t>采购包12：不接受</w:t>
            </w:r>
          </w:p>
          <w:p>
            <w:pPr>
              <w:pStyle w:val="null3"/>
              <w:jc w:val="left"/>
            </w:pPr>
            <w:r>
              <w:rPr>
                <w:rFonts w:ascii="仿宋_GB2312" w:hAnsi="仿宋_GB2312" w:cs="仿宋_GB2312" w:eastAsia="仿宋_GB2312"/>
              </w:rPr>
              <w:t>采购包13：不接受</w:t>
            </w:r>
          </w:p>
          <w:p>
            <w:pPr>
              <w:pStyle w:val="null3"/>
              <w:jc w:val="left"/>
            </w:pPr>
            <w:r>
              <w:rPr>
                <w:rFonts w:ascii="仿宋_GB2312" w:hAnsi="仿宋_GB2312" w:cs="仿宋_GB2312" w:eastAsia="仿宋_GB2312"/>
              </w:rPr>
              <w:t>采购包14：不接受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p>
            <w:pPr>
              <w:pStyle w:val="null3"/>
              <w:jc w:val="left"/>
            </w:pPr>
            <w:r>
              <w:rPr>
                <w:rFonts w:ascii="仿宋_GB2312" w:hAnsi="仿宋_GB2312" w:cs="仿宋_GB2312" w:eastAsia="仿宋_GB2312"/>
              </w:rPr>
              <w:t>采购包11：不缴纳</w:t>
            </w:r>
          </w:p>
          <w:p>
            <w:pPr>
              <w:pStyle w:val="null3"/>
              <w:jc w:val="left"/>
            </w:pPr>
            <w:r>
              <w:rPr>
                <w:rFonts w:ascii="仿宋_GB2312" w:hAnsi="仿宋_GB2312" w:cs="仿宋_GB2312" w:eastAsia="仿宋_GB2312"/>
              </w:rPr>
              <w:t>采购包12：不缴纳</w:t>
            </w:r>
          </w:p>
          <w:p>
            <w:pPr>
              <w:pStyle w:val="null3"/>
              <w:jc w:val="left"/>
            </w:pPr>
            <w:r>
              <w:rPr>
                <w:rFonts w:ascii="仿宋_GB2312" w:hAnsi="仿宋_GB2312" w:cs="仿宋_GB2312" w:eastAsia="仿宋_GB2312"/>
              </w:rPr>
              <w:t>采购包13：不缴纳</w:t>
            </w:r>
          </w:p>
          <w:p>
            <w:pPr>
              <w:pStyle w:val="null3"/>
              <w:jc w:val="left"/>
            </w:pPr>
            <w:r>
              <w:rPr>
                <w:rFonts w:ascii="仿宋_GB2312" w:hAnsi="仿宋_GB2312" w:cs="仿宋_GB2312" w:eastAsia="仿宋_GB2312"/>
              </w:rPr>
              <w:t>采购包14：不缴纳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代理服务费收费标准：国家发展计划委员会文件《招标代理服务收费管理暂行办法》(计价格【2002】1980号)中相关规定向中标人（不足6000 元，按6000 元计算，不向甲方收取任何费用）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p>
            <w:pPr>
              <w:pStyle w:val="null3"/>
              <w:jc w:val="left"/>
            </w:pPr>
            <w:r>
              <w:rPr>
                <w:rFonts w:ascii="仿宋_GB2312" w:hAnsi="仿宋_GB2312" w:cs="仿宋_GB2312" w:eastAsia="仿宋_GB2312"/>
              </w:rPr>
              <w:t>采购包11：不允许分包；</w:t>
            </w:r>
          </w:p>
          <w:p>
            <w:pPr>
              <w:pStyle w:val="null3"/>
              <w:jc w:val="left"/>
            </w:pPr>
            <w:r>
              <w:rPr>
                <w:rFonts w:ascii="仿宋_GB2312" w:hAnsi="仿宋_GB2312" w:cs="仿宋_GB2312" w:eastAsia="仿宋_GB2312"/>
              </w:rPr>
              <w:t>采购包12：不允许分包；</w:t>
            </w:r>
          </w:p>
          <w:p>
            <w:pPr>
              <w:pStyle w:val="null3"/>
              <w:jc w:val="left"/>
            </w:pPr>
            <w:r>
              <w:rPr>
                <w:rFonts w:ascii="仿宋_GB2312" w:hAnsi="仿宋_GB2312" w:cs="仿宋_GB2312" w:eastAsia="仿宋_GB2312"/>
              </w:rPr>
              <w:t>采购包13：不允许分包；</w:t>
            </w:r>
          </w:p>
          <w:p>
            <w:pPr>
              <w:pStyle w:val="null3"/>
              <w:jc w:val="left"/>
            </w:pPr>
            <w:r>
              <w:rPr>
                <w:rFonts w:ascii="仿宋_GB2312" w:hAnsi="仿宋_GB2312" w:cs="仿宋_GB2312" w:eastAsia="仿宋_GB2312"/>
              </w:rPr>
              <w:t>采购包14：不允许分包；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p>
            <w:pPr>
              <w:pStyle w:val="null3"/>
              <w:jc w:val="left"/>
            </w:pPr>
            <w:r>
              <w:rPr>
                <w:rFonts w:ascii="仿宋_GB2312" w:hAnsi="仿宋_GB2312" w:cs="仿宋_GB2312" w:eastAsia="仿宋_GB2312"/>
              </w:rPr>
              <w:t>采购包11：3名</w:t>
            </w:r>
          </w:p>
          <w:p>
            <w:pPr>
              <w:pStyle w:val="null3"/>
              <w:jc w:val="left"/>
            </w:pPr>
            <w:r>
              <w:rPr>
                <w:rFonts w:ascii="仿宋_GB2312" w:hAnsi="仿宋_GB2312" w:cs="仿宋_GB2312" w:eastAsia="仿宋_GB2312"/>
              </w:rPr>
              <w:t>采购包12：3名</w:t>
            </w:r>
          </w:p>
          <w:p>
            <w:pPr>
              <w:pStyle w:val="null3"/>
              <w:jc w:val="left"/>
            </w:pPr>
            <w:r>
              <w:rPr>
                <w:rFonts w:ascii="仿宋_GB2312" w:hAnsi="仿宋_GB2312" w:cs="仿宋_GB2312" w:eastAsia="仿宋_GB2312"/>
              </w:rPr>
              <w:t>采购包13：3名</w:t>
            </w:r>
          </w:p>
          <w:p>
            <w:pPr>
              <w:pStyle w:val="null3"/>
              <w:jc w:val="left"/>
            </w:pPr>
            <w:r>
              <w:rPr>
                <w:rFonts w:ascii="仿宋_GB2312" w:hAnsi="仿宋_GB2312" w:cs="仿宋_GB2312" w:eastAsia="仿宋_GB2312"/>
              </w:rPr>
              <w:t>采购包14：3名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p>
            <w:pPr>
              <w:pStyle w:val="null3"/>
              <w:jc w:val="left"/>
            </w:pPr>
            <w:r>
              <w:rPr>
                <w:rFonts w:ascii="仿宋_GB2312" w:hAnsi="仿宋_GB2312" w:cs="仿宋_GB2312" w:eastAsia="仿宋_GB2312"/>
              </w:rPr>
              <w:t>采购包11：1名</w:t>
            </w:r>
          </w:p>
          <w:p>
            <w:pPr>
              <w:pStyle w:val="null3"/>
              <w:jc w:val="left"/>
            </w:pPr>
            <w:r>
              <w:rPr>
                <w:rFonts w:ascii="仿宋_GB2312" w:hAnsi="仿宋_GB2312" w:cs="仿宋_GB2312" w:eastAsia="仿宋_GB2312"/>
              </w:rPr>
              <w:t>采购包12：1名</w:t>
            </w:r>
          </w:p>
          <w:p>
            <w:pPr>
              <w:pStyle w:val="null3"/>
              <w:jc w:val="left"/>
            </w:pPr>
            <w:r>
              <w:rPr>
                <w:rFonts w:ascii="仿宋_GB2312" w:hAnsi="仿宋_GB2312" w:cs="仿宋_GB2312" w:eastAsia="仿宋_GB2312"/>
              </w:rPr>
              <w:t>采购包13：1名</w:t>
            </w:r>
          </w:p>
          <w:p>
            <w:pPr>
              <w:pStyle w:val="null3"/>
              <w:jc w:val="left"/>
            </w:pPr>
            <w:r>
              <w:rPr>
                <w:rFonts w:ascii="仿宋_GB2312" w:hAnsi="仿宋_GB2312" w:cs="仿宋_GB2312" w:eastAsia="仿宋_GB2312"/>
              </w:rPr>
              <w:t>采购包14：1名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联系人：符章林</w:t>
      </w:r>
    </w:p>
    <w:p>
      <w:pPr>
        <w:pStyle w:val="null3"/>
        <w:jc w:val="left"/>
      </w:pPr>
      <w:r>
        <w:rPr>
          <w:rFonts w:ascii="仿宋_GB2312" w:hAnsi="仿宋_GB2312" w:cs="仿宋_GB2312" w:eastAsia="仿宋_GB2312"/>
        </w:rPr>
        <w:t>联系电话：0898-68501524</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海南省财政厅2025年信息系统运行维护政府采购项目，共分为14个标段。</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569,500.00</w:t>
      </w:r>
    </w:p>
    <w:p>
      <w:pPr>
        <w:pStyle w:val="null3"/>
        <w:jc w:val="left"/>
      </w:pPr>
      <w:r>
        <w:rPr>
          <w:rFonts w:ascii="仿宋_GB2312" w:hAnsi="仿宋_GB2312" w:cs="仿宋_GB2312" w:eastAsia="仿宋_GB2312"/>
        </w:rPr>
        <w:t>采购包最高限价（元）: 569,500.00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569,500.00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300,000.00</w:t>
      </w:r>
    </w:p>
    <w:p>
      <w:pPr>
        <w:pStyle w:val="null3"/>
        <w:jc w:val="left"/>
      </w:pPr>
      <w:r>
        <w:rPr>
          <w:rFonts w:ascii="仿宋_GB2312" w:hAnsi="仿宋_GB2312" w:cs="仿宋_GB2312" w:eastAsia="仿宋_GB2312"/>
        </w:rPr>
        <w:t>采购包最高限价（元）: 300,000.00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230,000.00</w:t>
      </w:r>
    </w:p>
    <w:p>
      <w:pPr>
        <w:pStyle w:val="null3"/>
        <w:jc w:val="left"/>
      </w:pPr>
      <w:r>
        <w:rPr>
          <w:rFonts w:ascii="仿宋_GB2312" w:hAnsi="仿宋_GB2312" w:cs="仿宋_GB2312" w:eastAsia="仿宋_GB2312"/>
        </w:rPr>
        <w:t>采购包最高限价（元）: 230,000.00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80,000.00</w:t>
      </w:r>
    </w:p>
    <w:p>
      <w:pPr>
        <w:pStyle w:val="null3"/>
        <w:jc w:val="left"/>
      </w:pPr>
      <w:r>
        <w:rPr>
          <w:rFonts w:ascii="仿宋_GB2312" w:hAnsi="仿宋_GB2312" w:cs="仿宋_GB2312" w:eastAsia="仿宋_GB2312"/>
        </w:rPr>
        <w:t>采购包最高限价（元）: 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35,000.00</w:t>
      </w:r>
    </w:p>
    <w:p>
      <w:pPr>
        <w:pStyle w:val="null3"/>
        <w:jc w:val="left"/>
      </w:pPr>
      <w:r>
        <w:rPr>
          <w:rFonts w:ascii="仿宋_GB2312" w:hAnsi="仿宋_GB2312" w:cs="仿宋_GB2312" w:eastAsia="仿宋_GB2312"/>
        </w:rPr>
        <w:t>采购包最高限价（元）: 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141,000.00</w:t>
      </w:r>
    </w:p>
    <w:p>
      <w:pPr>
        <w:pStyle w:val="null3"/>
        <w:jc w:val="left"/>
      </w:pPr>
      <w:r>
        <w:rPr>
          <w:rFonts w:ascii="仿宋_GB2312" w:hAnsi="仿宋_GB2312" w:cs="仿宋_GB2312" w:eastAsia="仿宋_GB2312"/>
        </w:rPr>
        <w:t>采购包最高限价（元）: 141,000.00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19,000.00</w:t>
      </w:r>
    </w:p>
    <w:p>
      <w:pPr>
        <w:pStyle w:val="null3"/>
        <w:jc w:val="left"/>
      </w:pPr>
      <w:r>
        <w:rPr>
          <w:rFonts w:ascii="仿宋_GB2312" w:hAnsi="仿宋_GB2312" w:cs="仿宋_GB2312" w:eastAsia="仿宋_GB2312"/>
        </w:rPr>
        <w:t>采购包最高限价（元）: 19,000.00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890,900.00</w:t>
      </w:r>
    </w:p>
    <w:p>
      <w:pPr>
        <w:pStyle w:val="null3"/>
        <w:jc w:val="left"/>
      </w:pPr>
      <w:r>
        <w:rPr>
          <w:rFonts w:ascii="仿宋_GB2312" w:hAnsi="仿宋_GB2312" w:cs="仿宋_GB2312" w:eastAsia="仿宋_GB2312"/>
        </w:rPr>
        <w:t>采购包最高限价（元）: 890,900.00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77,100.00</w:t>
      </w:r>
    </w:p>
    <w:p>
      <w:pPr>
        <w:pStyle w:val="null3"/>
        <w:jc w:val="left"/>
      </w:pPr>
      <w:r>
        <w:rPr>
          <w:rFonts w:ascii="仿宋_GB2312" w:hAnsi="仿宋_GB2312" w:cs="仿宋_GB2312" w:eastAsia="仿宋_GB2312"/>
        </w:rPr>
        <w:t>采购包最高限价（元）: 77,100.00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77,100.00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601,500.00</w:t>
      </w:r>
    </w:p>
    <w:p>
      <w:pPr>
        <w:pStyle w:val="null3"/>
        <w:jc w:val="left"/>
      </w:pPr>
      <w:r>
        <w:rPr>
          <w:rFonts w:ascii="仿宋_GB2312" w:hAnsi="仿宋_GB2312" w:cs="仿宋_GB2312" w:eastAsia="仿宋_GB2312"/>
        </w:rPr>
        <w:t>采购包最高限价（元）: 601,500.00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601,500.00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采购包预算金额（元）: 296,204.00</w:t>
      </w:r>
    </w:p>
    <w:p>
      <w:pPr>
        <w:pStyle w:val="null3"/>
        <w:jc w:val="left"/>
      </w:pPr>
      <w:r>
        <w:rPr>
          <w:rFonts w:ascii="仿宋_GB2312" w:hAnsi="仿宋_GB2312" w:cs="仿宋_GB2312" w:eastAsia="仿宋_GB2312"/>
        </w:rPr>
        <w:t>采购包最高限价（元）: 296,204.00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296,204.00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采购包预算金额（元）: 114,552.00</w:t>
      </w:r>
    </w:p>
    <w:p>
      <w:pPr>
        <w:pStyle w:val="null3"/>
        <w:jc w:val="left"/>
      </w:pPr>
      <w:r>
        <w:rPr>
          <w:rFonts w:ascii="仿宋_GB2312" w:hAnsi="仿宋_GB2312" w:cs="仿宋_GB2312" w:eastAsia="仿宋_GB2312"/>
        </w:rPr>
        <w:t>采购包最高限价（元）: 114,552.00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114,552.00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采购包预算金额（元）: 420,000.00</w:t>
      </w:r>
    </w:p>
    <w:p>
      <w:pPr>
        <w:pStyle w:val="null3"/>
        <w:jc w:val="left"/>
      </w:pPr>
      <w:r>
        <w:rPr>
          <w:rFonts w:ascii="仿宋_GB2312" w:hAnsi="仿宋_GB2312" w:cs="仿宋_GB2312" w:eastAsia="仿宋_GB2312"/>
        </w:rPr>
        <w:t>采购包最高限价（元）: 420,000.00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569,500.00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890,900.00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77,100.00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296,204.00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114,552.00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采购包11：</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采购包12：</w:t>
      </w:r>
    </w:p>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采购包13：</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pPr>
      <w:r>
        <w:rPr>
          <w:rFonts w:ascii="仿宋_GB2312" w:hAnsi="仿宋_GB2312" w:cs="仿宋_GB2312" w:eastAsia="仿宋_GB2312"/>
        </w:rPr>
        <w:t>采购包14：</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详见其他附件《第三章采购需求》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详见其他附件《第三章采购需求》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投标人具有具备公安部第三研究所颁发的有效期内《网络安全服务认证证书等级保护测评服务认证》和证书颁发机构监督评价合格后签发的《证书保持通知书》。（复印件加盖公章）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面向中小企业</w:t>
            </w:r>
          </w:p>
        </w:tc>
        <w:tc>
          <w:tcPr>
            <w:tcW w:type="dxa" w:w="3322"/>
          </w:tcPr>
          <w:p>
            <w:pPr>
              <w:pStyle w:val="null3"/>
              <w:jc w:val="left"/>
            </w:pPr>
            <w:r>
              <w:rPr>
                <w:rFonts w:ascii="仿宋_GB2312" w:hAnsi="仿宋_GB2312" w:cs="仿宋_GB2312" w:eastAsia="仿宋_GB2312"/>
              </w:rPr>
              <w:t>本项目属于专门面向中小企业采购，投标人应为中型或小型或微型企业。（1）投标人须提供《中小企业声明函》（工程、服务类），并声明投标人为中型或小型或微型企业。本采购标的对应的中小企业划分标准所属行业为软件和信息技术服务业。若投标人提供的《中小企业声明函》中填写的所属行业与此不一致，投标无效。投标人应认真对照《工业和信息化部、国家统计局、国家发展和改革委员会、财政部关于印发中小企业划型标准规定的通知》（工信部联企业〔2011〕300 号）规定的划分标准，准确划分企业类型。（2）监狱企业、残疾人福利性单位视同小型、微型企业。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投标人需属于国家密码管理局公告（49号）《商用密码检测机构（商用密码应用安全性评估业务）目录》的机构，提供网站公告页面和目录复印件并加盖公章。</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投标函 投标（响应）报价明细表 商务应答表 自觉抵制政府采购领域商业贿赂行为承诺书 封面 法定代表人资格证明书或法定代表人授权委托书 包(1)_开标（报价）一览表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包(1)_开标（报价）一览表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其他材料 投标（响应）报价明细表 商务应答表 自觉抵制政府采购领域商业贿赂行为承诺书 法定代表人资格证明书或法定代表人授权委托书 包(2)_开标（报价）一览表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包(2)_开标（报价）一览表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包(2)_开标（报价）一览表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包(3)_开标（报价）一览表 其他材料 投标函 投标（响应）报价明细表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包(3)_开标（报价）一览表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包(3)_开标（报价）一览表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包(4)_开标（报价）一览表 投标函 投标（响应）报价明细表 其他材料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包(4)_开标（报价）一览表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包(4)_开标（报价）一览表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投标函 投标（响应）报价明细表 包(5)_开标（报价）一览表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包(5)_开标（报价）一览表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包(5)_开标（报价）一览表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包(6)_开标（报价）一览表 投标函 其他材料 投标（响应）报价明细表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包(6)_开标（报价）一览表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包(6)_开标（报价）一览表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其他材料 投标（响应）报价明细表 包(7)_开标（报价）一览表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包(7)_开标（报价）一览表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包(7)_开标（报价）一览表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投标（响应）报价明细表 其他材料 投标函 包(8)_开标（报价）一览表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包(8)_开标（报价）一览表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包(8)_开标（报价）一览表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包(9)_开标（报价）一览表 其他材料 投标函 投标（响应）报价明细表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包(9)_开标（报价）一览表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包(9)_开标（报价）一览表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投标函 投标（响应）报价明细表 包(10)_开标（报价）一览表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包(10)_开标（报价）一览表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包(10)_开标（报价）一览表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投标函 投标（响应）报价明细表 商务应答表 包(11)_开标（报价）一览表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包(11)_开标（报价）一览表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包(11)_开标（报价）一览表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其他材料 投标（响应）报价明细表 投标函 商务应答表 自觉抵制政府采购领域商业贿赂行为承诺书 包(12)_开标（报价）一览表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包(12)_开标（报价）一览表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包(12)_开标（报价）一览表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包(13)_开标（报价）一览表 投标（响应）报价明细表 其他材料 投标函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包(13)_开标（报价）一览表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包(13)_开标（报价）一览表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包(14)_开标（报价）一览表 其他材料 投标函 投标（响应）报价明细表 商务应答表 自觉抵制政府采购领域商业贿赂行为承诺书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包(14)_开标（报价）一览表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包(14)_开标（报价）一览表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1.具有地方政府性债务系统和监测平台开发业绩的，得4分。 2.具有地方政府性债务系统和监测平台运维业绩的，得4分。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 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1.具有电子凭证库和电子签章系统开发业绩的，得4分。 2.具有电子凭证库和电子签章系统运维业绩的，得4分。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1.具有财政社保基金管理系统开发业绩的，得4分。 2.具有财政社保基金管理系统运维业绩的，得4分。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1.具有电子票据管理系统开发业绩的，得4分。 2.具有电子票据管理系统运维业绩的，得4分。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1.具有财政证书综合管理系统开发业绩的，得4分。 2.具有财政证书综合管理系统运维业绩的，得4分。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1.具有OA办公系统开发业绩的，得4分。 2.具有OA办公系统运维业绩的，得4分。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 xml:space="preserve"> 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 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1.具有政府采购网开发业绩的，得4分。 2.具有政府采购网运维业绩的，得4分。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 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1.具有非税收入征缴信息管理系统、一卡通系统、工资统发系统、即时通讯系统（蓝信）开发业绩的，得4分。 2.具有非税收入征缴信息管理系统、一卡通系统、工资统发系统、即时通讯系统（蓝信）运维业绩的，得4分。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 xml:space="preserve"> 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 xml:space="preserve"> 具有ITSS信息技术服务运维资质资质证书的得4分，没有不得分。注：提供证书复印件加盖供应商单位公章。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具有统一报表系统、国有资本经营预算管理系统开发业绩的得4分，没有不得分。 具有统一报表系统、国有资本经营预算管理系统运维业绩的得4分，没有不得分。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供应商具有与本项目同类系统或者平台相关的软件著作权登记证书的，得8分。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注：提供证书原件复印件和上述人员在供应商自本项目公告之前一个月的社保清单并盖章。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对用户需求的理解与建议</w:t>
            </w:r>
          </w:p>
        </w:tc>
        <w:tc>
          <w:tcPr>
            <w:tcW w:type="dxa" w:w="2492"/>
          </w:tcPr>
          <w:p>
            <w:pPr>
              <w:pStyle w:val="null3"/>
              <w:jc w:val="both"/>
            </w:pPr>
            <w:r>
              <w:rPr>
                <w:rFonts w:ascii="仿宋_GB2312" w:hAnsi="仿宋_GB2312" w:cs="仿宋_GB2312" w:eastAsia="仿宋_GB2312"/>
              </w:rPr>
              <w:t xml:space="preserve"> 根据供应商对用户需求的理解与建议（包括但不限于①以用户需求书为基础，在对用户需求充分理解的基础上作出重点难点分析，并提出解决办法；②结合国家、省、地方及行业相关标准与要求作出风险分析并提出防范措施；③针对本项目服务需求提出合理化建议等内容）进行综合评审： 1.有满足采购需求的重难点分析及对应解决措施，每提供一项重难点分析及对应的解决措施得2分，满分6分； 2.有结合行业相关标准与要求作出风险分析及防范措施，每提供一项风险分析及防范措施得2分，满分6分； 3.有针对本项目服务需求提出合理化建议，每提供一项建议得2分，满分8分。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项目服务方案</w:t>
            </w:r>
          </w:p>
        </w:tc>
        <w:tc>
          <w:tcPr>
            <w:tcW w:type="dxa" w:w="2492"/>
          </w:tcPr>
          <w:p>
            <w:pPr>
              <w:pStyle w:val="null3"/>
              <w:jc w:val="both"/>
            </w:pPr>
            <w:r>
              <w:rPr>
                <w:rFonts w:ascii="仿宋_GB2312" w:hAnsi="仿宋_GB2312" w:cs="仿宋_GB2312" w:eastAsia="仿宋_GB2312"/>
              </w:rPr>
              <w:t xml:space="preserve"> 根据供应商提供的项目服务方案（包括但不限于①项目服务内容；②项目组织实施方案；③项目服务计划及工作安排；④项目目标实现等内容）进行综合评审： 1.有完全满足采购需求的项目服务内容得4分，有不完全满足采购需求的项目服务内容得2分，不提供不得分。 2.有完整的项目组织实施方案内容得4分，其他或不提供不得分。 3.有完整的项目服务计划和工作安排得4分，其他或不提供不得分。 4.有完全满足采购需求的项目目标实现得4分，有不完全满足采购需求的项目目标实现得2分，不提供不得分。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项目质量保证方案</w:t>
            </w:r>
          </w:p>
        </w:tc>
        <w:tc>
          <w:tcPr>
            <w:tcW w:type="dxa" w:w="2492"/>
          </w:tcPr>
          <w:p>
            <w:pPr>
              <w:pStyle w:val="null3"/>
              <w:jc w:val="both"/>
            </w:pPr>
            <w:r>
              <w:rPr>
                <w:rFonts w:ascii="仿宋_GB2312" w:hAnsi="仿宋_GB2312" w:cs="仿宋_GB2312" w:eastAsia="仿宋_GB2312"/>
              </w:rPr>
              <w:t xml:space="preserve"> 根据供应商提供的项目质量保证方案（包括但不限于①项目服务团队配置；②项目技术支持；③维护服务质量保障措施；④紧急情况和突发事件的处理方法和措施等内容）进行综合评审： 1.有分工明确的项目团队配置内容得2分，其他或不提供不得分。 2.有完全满足采购需求的项目技术支持得4分，有不完全满足采购需求的项目技术支持得2分，不提供不得分。 3.有维护服务质量保障措施，每提供一条措施得2分，满分8分。 4.有紧急情况和突发事件的处理方法和措施等内容，每提供一条措施得2分，满分10分。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综合能力</w:t>
            </w:r>
          </w:p>
        </w:tc>
        <w:tc>
          <w:tcPr>
            <w:tcW w:type="dxa" w:w="2492"/>
          </w:tcPr>
          <w:p>
            <w:pPr>
              <w:pStyle w:val="null3"/>
              <w:jc w:val="both"/>
            </w:pPr>
            <w:r>
              <w:rPr>
                <w:rFonts w:ascii="仿宋_GB2312" w:hAnsi="仿宋_GB2312" w:cs="仿宋_GB2312" w:eastAsia="仿宋_GB2312"/>
              </w:rPr>
              <w:t>具有ITSS信息技术服务运维资质资质证书的，得4分。 注：提供证书复印件加盖供应商单位公章，未提供或者提供的资料不符合要求的则不得分。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相关业绩</w:t>
            </w:r>
          </w:p>
        </w:tc>
        <w:tc>
          <w:tcPr>
            <w:tcW w:type="dxa" w:w="2492"/>
          </w:tcPr>
          <w:p>
            <w:pPr>
              <w:pStyle w:val="null3"/>
              <w:jc w:val="both"/>
            </w:pPr>
            <w:r>
              <w:rPr>
                <w:rFonts w:ascii="仿宋_GB2312" w:hAnsi="仿宋_GB2312" w:cs="仿宋_GB2312" w:eastAsia="仿宋_GB2312"/>
              </w:rPr>
              <w:t>1.具有数据库管理平台开发业绩的，得3分。 2.具有数据库管理平台运维业绩的，得3分。 注：提供合同关键页复印件加盖供应商公章，未提供或者提供的资料不符合要求的则不得分。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软件研发能力</w:t>
            </w:r>
          </w:p>
        </w:tc>
        <w:tc>
          <w:tcPr>
            <w:tcW w:type="dxa" w:w="2492"/>
          </w:tcPr>
          <w:p>
            <w:pPr>
              <w:pStyle w:val="null3"/>
              <w:jc w:val="both"/>
            </w:pPr>
            <w:r>
              <w:rPr>
                <w:rFonts w:ascii="仿宋_GB2312" w:hAnsi="仿宋_GB2312" w:cs="仿宋_GB2312" w:eastAsia="仿宋_GB2312"/>
              </w:rPr>
              <w:t>1.具有与本项目同类系统或者平台相关的软件著作权登记证书的，得 5分。 2.具有与本项目同类系统或者平台相关的专利证书的，得 5分。 注：响应文件中需提供证书复印件加盖供应商公章，未提供或者提供的资料不符合要求的则不得分。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 xml:space="preserve"> 项目实施团队： 1.项目经理1人，具有3年以上信息系统运维工作经验，高级项目管理类证书（信息系统项目管理师高级证书或IT服务项目经理或PMP项目经理证书）资质的得4分，本项满分4分； 2.具有信息化或者信息系统专业相关的计算机技术与软件专业技术资格（水平）考试认证中级及以上资格证书的，每人得2分，不可重复得分；本项满分6分； 注：提供证书原件复印件和上述人员在供应商自本项目公告之前一个月的社保清单并加盖供应商公章。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 1.含完整的运维巡检计划得4分，不提供运维巡检计划不得分； 2.含完整的运维措施得4分，不提供运维措施不得分； 3.含完整的项目管理措施得4分，不提供项目管理措施不得分； 4.含工作总结得4分（包含月度总结得1分、季度总结得1分、年度总结得2分）； 5.含完全满足采购需求的运维报告模板得4分，不提供运维报告模板不得分； 6.含完善的应急处理预案得5分，不提供应急处理预案不得分。 注：未提供运维方案不得分。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供应商需提供培训方案，结合项目需求提供培训方式、培训次数、培训内容、培训团队等内容。 1.培训方案内容完整，培训方式包含线上线下，培训次数达6次及以上的，得10分； 2.培训方案内容完整，培训方式包含线上线下，培训次数4-5次的，得7分； 3.培训方案内容完整，培训方式单一，培训次数少于3次，得3分； 注：未提供培训方案不得分。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供应商提供2022年01月至今具有类似存储系统、小型机运维服务项目业绩案例，每提供一个得3分，本项最多得15分。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 .项目经理 1 人，具有5年以上相关运维工作经验，且具有HDS（Hitachi Data Systems)认证技术人员和IBM高级工程师(IBM Certified Advanced Technical Export)得8 分；具有5年以上相关运维工作经验，只有1个证书的得4分；其余不得分；本项满分8分； 2.设备运维服务人员（除项目经理外）2 人及以上，具有HDS认证技术人员或IBM中级工程师或以上级职称证书每提供1名得 3 分，本项满分6分；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提供与原厂相关备件证明材料，保证备件正规来源，提供证明材料得10分，不提供不得分。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商务部分49.00分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供应商提供详细、深化的运维方案： 1.含完整的运维巡检计划得4分，不提供运维巡检计划不得分； 2.含完整的运维措施得4分，不提供运维措施不得分； 3.含完整的项目管理措施得4分，不提供项目管理措施不得分； 4.含工作总结得4分（包含月度总结得1分、季度总结得1分、年度总结得2分）； 5.含完全满足采购需求的运维报告模板得4分，不提供运维报告模板不得分； 6.含完善的应急处理预案得5分，不提供应急处理预案不得分。 注：未提供运维方案不得分。</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 xml:space="preserve"> 供应商需提供培训方案，结合项目需求提供培训方式、培训次数、培训内容、培训团队等内容。 1.培训方案内容完整，培训方式包含线上线下，培训次数达6次及以上的，得10分； 2.培训方案内容完整，培训方式包含线上线下，培训次数4-5次的，得7分； 3.培训方案内容不完整，培训方式单一，培训次数少于3次，得3分； 注：未提供培训方案不得分。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服务响应时间</w:t>
            </w:r>
          </w:p>
        </w:tc>
        <w:tc>
          <w:tcPr>
            <w:tcW w:type="dxa" w:w="2492"/>
          </w:tcPr>
          <w:p>
            <w:pPr>
              <w:pStyle w:val="null3"/>
              <w:jc w:val="both"/>
            </w:pPr>
            <w:r>
              <w:rPr>
                <w:rFonts w:ascii="仿宋_GB2312" w:hAnsi="仿宋_GB2312" w:cs="仿宋_GB2312" w:eastAsia="仿宋_GB2312"/>
              </w:rPr>
              <w:t xml:space="preserve"> 提供1 小时内到场紧急故障到场服务，以及 7*24小时邮件、电话咨询及远程服务，得6分；提供2小时内到场紧急故障到场服务，以及 7*24 小时邮件、电话咨询及远程服务，得3分；其余不得分。 证明材料：提供承诺函加盖单位公章。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服务商资质</w:t>
            </w:r>
          </w:p>
        </w:tc>
        <w:tc>
          <w:tcPr>
            <w:tcW w:type="dxa" w:w="2492"/>
          </w:tcPr>
          <w:p>
            <w:pPr>
              <w:pStyle w:val="null3"/>
              <w:jc w:val="both"/>
            </w:pPr>
            <w:r>
              <w:rPr>
                <w:rFonts w:ascii="仿宋_GB2312" w:hAnsi="仿宋_GB2312" w:cs="仿宋_GB2312" w:eastAsia="仿宋_GB2312"/>
              </w:rPr>
              <w:t>提供相关系统集成或信息技术服务能力资质证书，每有一项得5分，本项满分10分。 证明材料：提供证书复印件并加盖单位公章，不提供不得分。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类似案例</w:t>
            </w:r>
          </w:p>
        </w:tc>
        <w:tc>
          <w:tcPr>
            <w:tcW w:type="dxa" w:w="2492"/>
          </w:tcPr>
          <w:p>
            <w:pPr>
              <w:pStyle w:val="null3"/>
              <w:jc w:val="both"/>
            </w:pPr>
            <w:r>
              <w:rPr>
                <w:rFonts w:ascii="仿宋_GB2312" w:hAnsi="仿宋_GB2312" w:cs="仿宋_GB2312" w:eastAsia="仿宋_GB2312"/>
              </w:rPr>
              <w:t>供应商提供2022年01月至今具有网络运维服务项目业绩案例，每提供一个得3分，本项最多得15分。 证明材料：提供中标/成交通知书复印件或合同（以签订时间为准）复印件并加盖单位公章，不提供不得分。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项目实施团队： 1.项目经理 1 人，具有5年以上网络运维工作经验，且具有高级网络工程师证书（软考网络规划设计师、华为、H3C、迈普等高级网络工程师证书)得8 分；具有5年以上网络运维工作经验，且具有网络工程师证书（软考网络工程师、华为、H3C、迈普等中级网络工程师证书）的得5分；其余不得分；本项满分8分； 2.设备运维服务人员（除项目经理外）2人及以上，具有网络工程师证书（软考网络工程师、华为、H3C、迈普等中级网络工程师或以上级职称证书）每提供1名得 3 分，最高得6分。 证明材料：提供证书复印件及在本单位缴纳2024年1月至今任意一个月社保清单并加盖单位公章，不提供不得分。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w:t>
            </w:r>
          </w:p>
        </w:tc>
        <w:tc>
          <w:tcPr>
            <w:tcW w:type="dxa" w:w="2492"/>
          </w:tcPr>
          <w:p>
            <w:pPr>
              <w:pStyle w:val="null3"/>
              <w:jc w:val="both"/>
            </w:pPr>
            <w:r>
              <w:rPr>
                <w:rFonts w:ascii="仿宋_GB2312" w:hAnsi="仿宋_GB2312" w:cs="仿宋_GB2312" w:eastAsia="仿宋_GB2312"/>
              </w:rPr>
              <w:t>提供与原厂相关备件证明材料，保证备件正规来源，提供证明材料得10分，不提供不得分。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技术方案</w:t>
            </w:r>
          </w:p>
        </w:tc>
        <w:tc>
          <w:tcPr>
            <w:tcW w:type="dxa" w:w="2492"/>
          </w:tcPr>
          <w:p>
            <w:pPr>
              <w:pStyle w:val="null3"/>
              <w:jc w:val="both"/>
            </w:pPr>
            <w:r>
              <w:rPr>
                <w:rFonts w:ascii="仿宋_GB2312" w:hAnsi="仿宋_GB2312" w:cs="仿宋_GB2312" w:eastAsia="仿宋_GB2312"/>
              </w:rPr>
              <w:t>1.提供等级保护测评项目流程且描述详细，完全满足采购需求，得3分；有等级保护测评项目流程但不完全满足采购需求，得1分，不提供不得分； 2.提供有渗透测试方案且描述详细，完全满足采购需求，得2分；有渗透测试方案但不完全满足采购需求，得1分；不提供不得分。 3.有实施计划且详细可执行，完全满足采购需求，得3分，有实施计划但不完全满足采购需求得1分，不提供不得分； 4.有测评进度表且进度表详细可执行，完全满足采购需求，得2分；有测评进度表但不完全满足得1分；不提供不得分； 5.有测评方法且具体详细，完全满足采购需求，得2分；有测评方法但不完全满足采购需求得1分；不提供不得分； 6.有风险说明及风险规避处置措施并且具体详细，完全满足采购需求，得5分；风险说明及风险规避处置措施每有一点不完全满足采购需求的扣1分，扣完为止； 7.提供8个及以上等保测评问题完整的整改咨询建议，得8分；每少一个扣1分，扣完为止 8.有项目有测评售后服务且售后服务内容具体详细，完全满足采购需求，得8分；有项目有测评售后服务，售后服务内容不完全满足采购需求得4分；不提供不得分。 以上内容由投标人根据自身对项目的理解认识自行编制，评标委员会根据投标人对本项目要求内容的各个方面编制情况进行评价打分。</w:t>
            </w:r>
          </w:p>
        </w:tc>
        <w:tc>
          <w:tcPr>
            <w:tcW w:type="dxa" w:w="831"/>
          </w:tcPr>
          <w:p>
            <w:pPr>
              <w:pStyle w:val="null3"/>
              <w:jc w:val="right"/>
            </w:pPr>
            <w:r>
              <w:rPr>
                <w:rFonts w:ascii="仿宋_GB2312" w:hAnsi="仿宋_GB2312" w:cs="仿宋_GB2312" w:eastAsia="仿宋_GB2312"/>
              </w:rPr>
              <w:t>33.00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 xml:space="preserve"> 拟派项目团队成员具有以下证书： （1）项目管理专业人士资格认证(PMP)证书； （2）信息系统项目管理师证书； （3）注册网络安全测评专业人员（NSATP）证书； （4）注册信息安全专业人员（CISP）证书； （5）高级或中级信息安全等级测评师资格； （6）信息安全保障人员认证证书（CISAW）； （7）信息安全管理师（CIIP-D）证书； （8）数据安全能力成熟度模型测评师证书（DSMM）。 每具有1个证书得3分，同一人具有多项证书可重复得分，最高得30分 。 须提供相应证书、团队所有人员须提供2024年1月至今任意3个月在投标单位社保缴纳的证明，否则不得分。以上资料皆为扫描件。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投标人具有ISO9001质量管理体系认证证书、ISO/IEC27001信息安全管理体系认证证书、ISO/IEC20000-1服务管理体系认证证书、网络与信息安全通报中心颁发的技术 支撑单位证书、信息安全风险评估服务资质证书。 每提供一个有效证书得3分，最高得12分。须提供有效期内的证书（扫描件），否则不得分。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投标人2022年1月1日至今承担过信息化项目等保测评服务的，每提供一个合同得3分，最高得15分 。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对项目测评的理解及熟悉程度</w:t>
            </w:r>
          </w:p>
        </w:tc>
        <w:tc>
          <w:tcPr>
            <w:tcW w:type="dxa" w:w="2492"/>
          </w:tcPr>
          <w:p>
            <w:pPr>
              <w:pStyle w:val="null3"/>
              <w:jc w:val="both"/>
            </w:pPr>
            <w:r>
              <w:rPr>
                <w:rFonts w:ascii="仿宋_GB2312" w:hAnsi="仿宋_GB2312" w:cs="仿宋_GB2312" w:eastAsia="仿宋_GB2312"/>
              </w:rPr>
              <w:t xml:space="preserve"> 按照投标文件针对项目背景、建设目标、测评要求的理解响应情况进行评审打分，理解应满足采购需求 。 1.根据上述要求，投标文件中该项响应内容完全满足采购需求得7分； 2.根据上述要求，投标文件中该项响应内容不完全满足采购需求得4分； 3.不提供不得分。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项目重点难点分析和应对措施及相关的合理化建议</w:t>
            </w:r>
          </w:p>
        </w:tc>
        <w:tc>
          <w:tcPr>
            <w:tcW w:type="dxa" w:w="2492"/>
          </w:tcPr>
          <w:p>
            <w:pPr>
              <w:pStyle w:val="null3"/>
              <w:jc w:val="both"/>
            </w:pPr>
            <w:r>
              <w:rPr>
                <w:rFonts w:ascii="仿宋_GB2312" w:hAnsi="仿宋_GB2312" w:cs="仿宋_GB2312" w:eastAsia="仿宋_GB2312"/>
              </w:rPr>
              <w:t>投标人提供对项目的测评重点难点分析及解决措施，分析及措施应满足采购需求。 1.方案中有完全满足采购需求的测评重难点分析得3分，不提供不得分； 2.根据方案中提出的测评重难点，方案中有针对所有测评重难点分析措施得2分，不提供不得分； 3.总体设计中有针对所有测评重难点应对措施得2分，不提供不得分。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项目实施策略</w:t>
            </w:r>
          </w:p>
        </w:tc>
        <w:tc>
          <w:tcPr>
            <w:tcW w:type="dxa" w:w="2492"/>
          </w:tcPr>
          <w:p>
            <w:pPr>
              <w:pStyle w:val="null3"/>
              <w:jc w:val="both"/>
            </w:pPr>
            <w:r>
              <w:rPr>
                <w:rFonts w:ascii="仿宋_GB2312" w:hAnsi="仿宋_GB2312" w:cs="仿宋_GB2312" w:eastAsia="仿宋_GB2312"/>
              </w:rPr>
              <w:t xml:space="preserve"> 按照投标文件针对测评内容、测评方法、测评流程、测评步骤等策略的响应情况进行评审打分，实施策略应满足采购需求。 1.实施策略中存在满足采购需求的测试内容得2分； 2.实施策略中存在满足采购需求的测试方法得1分； 3.实施策略中存在满足采购需求的测试流程得1分； 4.实施策略中存在满足采购需求的测试步骤得2分。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项目管理制度及措施</w:t>
            </w:r>
          </w:p>
        </w:tc>
        <w:tc>
          <w:tcPr>
            <w:tcW w:type="dxa" w:w="2492"/>
          </w:tcPr>
          <w:p>
            <w:pPr>
              <w:pStyle w:val="null3"/>
              <w:jc w:val="both"/>
            </w:pPr>
            <w:r>
              <w:rPr>
                <w:rFonts w:ascii="仿宋_GB2312" w:hAnsi="仿宋_GB2312" w:cs="仿宋_GB2312" w:eastAsia="仿宋_GB2312"/>
              </w:rPr>
              <w:t xml:space="preserve"> 根据投标文件中项目管理制度、流程、措施、方法进行评审打分，制度及措施应满足采购需求 。 方案完全满足上述要求得4分；每有一项内容缺失或不满足采购需求扣1分，扣完为止。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质量管理</w:t>
            </w:r>
          </w:p>
        </w:tc>
        <w:tc>
          <w:tcPr>
            <w:tcW w:type="dxa" w:w="2492"/>
          </w:tcPr>
          <w:p>
            <w:pPr>
              <w:pStyle w:val="null3"/>
              <w:jc w:val="both"/>
            </w:pPr>
            <w:r>
              <w:rPr>
                <w:rFonts w:ascii="仿宋_GB2312" w:hAnsi="仿宋_GB2312" w:cs="仿宋_GB2312" w:eastAsia="仿宋_GB2312"/>
              </w:rPr>
              <w:t>提供满足采购需求的质量保障体系，完善的质量保障措施，有对项目质量的承诺（提供承诺函并加盖公章），提供规范化的项目文档。 1.方案中存在质量保障体系得2分，不提供不得分； 2.方案中存在完善的质量保障措施得2分，不提供不得分； 3.方案中存在对项目质量的承诺（提供承诺函并加盖公章）得1分，不提供不得分。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风险管理</w:t>
            </w:r>
          </w:p>
        </w:tc>
        <w:tc>
          <w:tcPr>
            <w:tcW w:type="dxa" w:w="2492"/>
          </w:tcPr>
          <w:p>
            <w:pPr>
              <w:pStyle w:val="null3"/>
              <w:jc w:val="both"/>
            </w:pPr>
            <w:r>
              <w:rPr>
                <w:rFonts w:ascii="仿宋_GB2312" w:hAnsi="仿宋_GB2312" w:cs="仿宋_GB2312" w:eastAsia="仿宋_GB2312"/>
              </w:rPr>
              <w:t>能够识别风险且有风险应对措施者，按三个档次进行评审 。 1.根据上述要求，方案中存在风险识别及风险应对措施得2分； 2.根据上述要求，方案中存在满足采购需求的管理措施得2分； 3.不提供不得分。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（3）商用密码应用安全性评估从业人员考核合格的证明文件； （4）注册信息安全专业人员（CISP）证书； （5）信息系统审计师（CISA）； （6）信息安全保障人员认证证书（CISAW）。 每具有1个证书得3分，同一人具有多项证书可重复得分，最高得30分 。 须提供相应证书、团队所有人员须提供2024年1月至今任意3个月在投标单位社保缴纳的证明，否则不得分。以上资料皆为扫描件。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 xml:space="preserve"> 投标人具有ISO9001质量管理体系认证证书、ISO/IEC27001信息安全管理体系认证证书、ISO/IEC20000-1服务管理体系认证证书。每具有一项得3分，满分9分。须提供有效期内的证书（扫描件），否则不得分。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投标人2022年1月1日至今承担过信息化项目密码测评服务的，每有一个合同得3分，最高得18分 。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详见附件：政府采购合同（信息化运维项目-服务合同-模板）.docx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债务管理系统运维服务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569500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电子凭证库和电子签章系统运维服务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社保基金管理系统运维服务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电子票据管理系统运维服务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财政证书综合管理系统运维服务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OA办公系统运维及督办模块技术服务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141000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政府采购网运维服务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4个系统运维服务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890900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统一报表及国有资本经营预算管理系统运维服务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77100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数据库管理平台使用和Oracle数据库运维服务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601500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存储系统设备和小型机运维服务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296204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核心网络设备运维服务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114552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等保测评及应急演练服务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HNZC2025-004-003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海南省财政厅2025年信息系统运行维护政府采购项目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密码测评服务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详见附件：包(1)_开标（报价）一览表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详见附件：包(2)_开标（报价）一览表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详见附件：包(3)_开标（报价）一览表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详见附件：包(4)_开标（报价）一览表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详见附件：包(5)_开标（报价）一览表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详见附件：包(6)_开标（报价）一览表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详见附件：包(7)_开标（报价）一览表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详见附件：包(8)_开标（报价）一览表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详见附件：包(9)_开标（报价）一览表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详见附件：包(10)_开标（报价）一览表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详见附件：包(11)_开标（报价）一览表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详见附件：包(12)_开标（报价）一览表</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详见附件：包(13)_开标（报价）一览表</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详见附件：包(14)_开标（报价）一览表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