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sz w:val="40"/>
          <w:szCs w:val="40"/>
          <w:lang w:val="en-US" w:eastAsia="zh-CN"/>
        </w:rPr>
      </w:pPr>
      <w:bookmarkStart w:id="0" w:name="_Toc31721"/>
      <w:bookmarkStart w:id="1" w:name="_Toc7170"/>
      <w:bookmarkStart w:id="2" w:name="_Toc433127012"/>
      <w:r>
        <w:rPr>
          <w:rFonts w:hint="eastAsia" w:ascii="宋体" w:hAnsi="宋体" w:cs="宋体"/>
          <w:sz w:val="40"/>
          <w:szCs w:val="40"/>
          <w:lang w:val="en-US" w:eastAsia="zh-CN"/>
        </w:rPr>
        <w:t>第三章 采购需求</w:t>
      </w:r>
    </w:p>
    <w:p>
      <w:pPr>
        <w:pStyle w:val="2"/>
        <w:jc w:val="center"/>
        <w:rPr>
          <w:rFonts w:hint="eastAsia"/>
          <w:lang w:eastAsia="zh-CN"/>
        </w:rPr>
      </w:pPr>
      <w:r>
        <w:rPr>
          <w:rFonts w:hint="eastAsia" w:ascii="宋体" w:hAnsi="宋体" w:cs="宋体"/>
          <w:sz w:val="32"/>
          <w:szCs w:val="32"/>
          <w:lang w:val="en-US" w:eastAsia="zh-CN"/>
        </w:rPr>
        <w:t>第1包：债务管理系统运维服务用户需求书</w:t>
      </w:r>
    </w:p>
    <w:p>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一、项目名概况</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w:t>
      </w:r>
      <w:r>
        <w:rPr>
          <w:rFonts w:hint="eastAsia"/>
        </w:rPr>
        <w:t>海南省财政厅2025年信息系统运行维护政府采购项目</w:t>
      </w:r>
      <w:r>
        <w:rPr>
          <w:rFonts w:hint="eastAsia" w:ascii="宋体" w:hAnsi="宋体" w:cs="宋体"/>
          <w:sz w:val="24"/>
          <w:lang w:val="en-US" w:eastAsia="zh-CN"/>
        </w:rPr>
        <w:t>（第1包）-</w:t>
      </w:r>
      <w:r>
        <w:rPr>
          <w:rFonts w:hint="eastAsia" w:ascii="宋体" w:hAnsi="宋体" w:eastAsia="宋体" w:cs="宋体"/>
          <w:sz w:val="24"/>
          <w:szCs w:val="24"/>
          <w:lang w:val="en-US" w:eastAsia="zh-CN"/>
        </w:rPr>
        <w:t>债务管理系统运维服务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项目采购预算：5</w:t>
      </w:r>
      <w:r>
        <w:rPr>
          <w:rFonts w:hint="eastAsia" w:ascii="宋体" w:hAnsi="宋体" w:cs="宋体"/>
          <w:sz w:val="24"/>
          <w:szCs w:val="24"/>
          <w:lang w:val="en-US" w:eastAsia="zh-CN"/>
        </w:rPr>
        <w:t>6.95</w:t>
      </w:r>
      <w:r>
        <w:rPr>
          <w:rFonts w:hint="eastAsia" w:ascii="宋体" w:hAnsi="宋体" w:eastAsia="宋体" w:cs="宋体"/>
          <w:sz w:val="24"/>
          <w:szCs w:val="24"/>
          <w:lang w:val="en-US" w:eastAsia="zh-CN"/>
        </w:rPr>
        <w:t>万元</w:t>
      </w:r>
    </w:p>
    <w:p>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债务管理系统是财政组织开发的，版权和源代码归属于财政部，我省只具有使用权。债务管理系统运维服务包含地方政府性债务系统和监测平台运维，服务内容包括：系统日常使用故障排除；月报、季报技术支持；数据二次加工技术支持；与财政部中央版的数据接口调试；专项服务技术支持；本级债务单位数据填报技术支持；本级单位数据上报技术支持；全省数据汇总上报服务支持；总部专项技术支持；专项数据统计分析；系统缺陷修复；配合国产化服务适配工作。</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提供至少1名运维工程师驻场服务。</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w:t>
      </w:r>
      <w:r>
        <w:rPr>
          <w:rFonts w:hint="eastAsia" w:ascii="宋体" w:hAnsi="宋体" w:cs="宋体"/>
          <w:sz w:val="24"/>
          <w:szCs w:val="24"/>
          <w:lang w:val="en-US" w:eastAsia="zh-CN"/>
        </w:rPr>
        <w:t>一</w:t>
      </w:r>
      <w:r>
        <w:rPr>
          <w:rFonts w:hint="eastAsia" w:ascii="宋体" w:hAnsi="宋体" w:eastAsia="宋体" w:cs="宋体"/>
          <w:sz w:val="24"/>
          <w:szCs w:val="24"/>
          <w:lang w:val="en-US" w:eastAsia="zh-CN"/>
        </w:rPr>
        <w:t>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年2月25日至202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年2月24日。202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年2月25日起至合同签订生效之日前1天由原供应商负责运维，合同生效之日起至202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年2月24日由新供应商负责运维。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numPr>
          <w:ilvl w:val="0"/>
          <w:numId w:val="0"/>
        </w:num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年2月25日起至合同签订生效之日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★供应商需提供不少于1名驻场技术人员，应当具有与项目合同履行相关的技术服务经验，熟悉债务管理系统，出现系统问题能及时解决。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第2包：电子凭证库和电子签章系统运维服务用户需求书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w:t>
      </w:r>
      <w:r>
        <w:rPr>
          <w:rFonts w:hint="eastAsia" w:ascii="宋体" w:hAnsi="宋体" w:cs="宋体"/>
          <w:sz w:val="24"/>
        </w:rPr>
        <w:t>海南省财政厅2025年信息系统运行维护政府采购项目</w:t>
      </w:r>
      <w:r>
        <w:rPr>
          <w:rFonts w:hint="eastAsia" w:ascii="宋体" w:hAnsi="宋体" w:cs="宋体"/>
          <w:sz w:val="24"/>
          <w:lang w:val="en-US" w:eastAsia="zh-CN"/>
        </w:rPr>
        <w:t>（第2包）-</w:t>
      </w:r>
      <w:r>
        <w:rPr>
          <w:rFonts w:hint="eastAsia" w:ascii="宋体" w:hAnsi="宋体" w:eastAsia="宋体" w:cs="宋体"/>
          <w:sz w:val="24"/>
          <w:szCs w:val="24"/>
          <w:lang w:val="en-US" w:eastAsia="zh-CN"/>
        </w:rPr>
        <w:t>电子凭证库和电子签章系统运维服务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项目采购预算：30万元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电子凭证库和电子签章系统是财政组织开发的，版权和源代码归属于财政部，我省只具有使用权。服务内容包括：计算机及相关设备变更带来的环境适配对电子凭证库和电子签章系统的调整；操作系统与软件适配带来对电子凭证库和电子签章系统的调整；由于计算机及操作系统故障带来的电子凭证库和电子签章系统重新安装、数据修复；由于电子凭证库和电子签章系统原因造成的故障排除和数据调整；按照财政部或采购方要求升级电子凭证库和电子印章系统；电子凭证库和电子签章系统日常运行和应用过程中的故障处理、数据处理和技术咨询；运维服务包含国产化适配运维；系统缺陷修复。</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提供至少1名运维工程师驻场服务。</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年8月25日至202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年8月24日。</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★供应商需提供不少于1名驻场技术人员，应当具有与项目合同履行相关的技术服务经验，熟悉电子凭证库和电子签章系统，出现系统问题能及时解决。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w:t>
      </w:r>
      <w:r>
        <w:rPr>
          <w:rFonts w:hint="eastAsia" w:ascii="宋体" w:hAnsi="宋体" w:cs="宋体"/>
          <w:b/>
          <w:bCs/>
          <w:sz w:val="32"/>
          <w:szCs w:val="32"/>
          <w:lang w:val="en-US" w:eastAsia="zh-CN"/>
        </w:rPr>
        <w:t>3</w:t>
      </w:r>
      <w:r>
        <w:rPr>
          <w:rFonts w:hint="eastAsia" w:ascii="宋体" w:hAnsi="宋体" w:eastAsia="宋体" w:cs="宋体"/>
          <w:b/>
          <w:bCs/>
          <w:sz w:val="32"/>
          <w:szCs w:val="32"/>
          <w:lang w:val="en-US" w:eastAsia="zh-CN"/>
        </w:rPr>
        <w:t>包：财政社保基金管理系统运维服务用户需求书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（第3包）-</w:t>
      </w:r>
      <w:r>
        <w:rPr>
          <w:rFonts w:hint="eastAsia" w:ascii="宋体" w:hAnsi="宋体" w:eastAsia="宋体" w:cs="宋体"/>
          <w:sz w:val="24"/>
          <w:szCs w:val="24"/>
          <w:lang w:val="en-US" w:eastAsia="zh-CN"/>
        </w:rPr>
        <w:t>财政社保基金管理系统(一期，财政部下发软件）运维服务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项目采购预算：23万元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财政社保基金管理系统是财政组织开发的，版权和源代码归属于财政部，我省只具有使用权。服务内容包括：问题解决、补丁更新、知识转移、服务巡检、标准现场服务、运维驻场支持服务、产品应用培训、系统数据备份、专属热线支持、专属在线支持、系统应急保障、系统缺陷修复、国产化服务适配等内容。</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提供1名运维工程师驻场服务。</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年11月1日至202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年10月31日。</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五、服务要求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★供应商需提供不少于1名驻场技术人员，应当具有与项目合同履行相关的技术服务经验，熟悉财政社保基金管理系统，出现系统问题能及时解决。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spacing w:line="360" w:lineRule="auto"/>
        <w:rPr>
          <w:rFonts w:hint="eastAsia" w:ascii="宋体" w:hAnsi="宋体" w:eastAsia="宋体" w:cs="宋体"/>
          <w:sz w:val="24"/>
          <w:szCs w:val="24"/>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default" w:ascii="宋体" w:hAnsi="宋体" w:eastAsia="宋体" w:cs="宋体"/>
          <w:b/>
          <w:bCs/>
          <w:szCs w:val="24"/>
          <w:lang w:val="en-US" w:eastAsia="zh-CN"/>
        </w:rPr>
      </w:pPr>
      <w:r>
        <w:rPr>
          <w:rFonts w:hint="eastAsia" w:ascii="宋体" w:hAnsi="宋体" w:cs="宋体"/>
          <w:sz w:val="32"/>
          <w:szCs w:val="32"/>
          <w:lang w:val="en-US" w:eastAsia="zh-CN"/>
        </w:rPr>
        <w:t>第4包：电子票据管理系统运维服务用户需求书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w:t>
      </w:r>
      <w:r>
        <w:rPr>
          <w:rFonts w:hint="eastAsia" w:ascii="宋体" w:hAnsi="宋体" w:cs="宋体"/>
          <w:sz w:val="24"/>
        </w:rPr>
        <w:t>海南省财政厅2025年信息系统运行维护政府采购项目</w:t>
      </w:r>
      <w:r>
        <w:rPr>
          <w:rFonts w:hint="eastAsia" w:ascii="宋体" w:hAnsi="宋体" w:cs="宋体"/>
          <w:sz w:val="24"/>
          <w:lang w:val="en-US" w:eastAsia="zh-CN"/>
        </w:rPr>
        <w:t>（第4包）-</w:t>
      </w:r>
      <w:r>
        <w:rPr>
          <w:rFonts w:hint="eastAsia" w:ascii="宋体" w:hAnsi="宋体" w:eastAsia="宋体" w:cs="宋体"/>
          <w:sz w:val="24"/>
          <w:szCs w:val="24"/>
          <w:lang w:val="en-US" w:eastAsia="zh-CN"/>
        </w:rPr>
        <w:t>电子票据管理系统(财政部下发软件）运维服务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项目采购预算：8万元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电子票据管理系统是财政组织开发的，版权和源代码归属于财政部，我省只具有使用权。服务内容包括：</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2.技术服务。服务内容包括但不限于系统运行技术支持、错误数据处理、日常用户咨询和反映问题处理、系统运行效率优化、系统报表参数和取数口径调整、软件升级等。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r>
        <w:rPr>
          <w:rFonts w:hint="eastAsia" w:ascii="宋体" w:hAnsi="宋体" w:cs="宋体"/>
          <w:sz w:val="24"/>
          <w:szCs w:val="24"/>
          <w:lang w:val="en-US"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6.国产化服务适配工作。</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电话及在线服务、现场服务、远程服务等方式。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运维周期为一年，</w:t>
      </w:r>
      <w:r>
        <w:rPr>
          <w:rFonts w:hint="eastAsia" w:ascii="宋体" w:hAnsi="宋体" w:eastAsia="宋体" w:cs="宋体"/>
          <w:sz w:val="24"/>
        </w:rPr>
        <w:t>时间为2025年</w:t>
      </w:r>
      <w:r>
        <w:rPr>
          <w:rFonts w:hint="eastAsia" w:ascii="宋体" w:hAnsi="宋体" w:eastAsia="宋体" w:cs="宋体"/>
          <w:sz w:val="24"/>
          <w:lang w:val="en-US" w:eastAsia="zh-CN"/>
        </w:rPr>
        <w:t>5</w:t>
      </w:r>
      <w:r>
        <w:rPr>
          <w:rFonts w:hint="eastAsia" w:ascii="宋体" w:hAnsi="宋体" w:eastAsia="宋体" w:cs="宋体"/>
          <w:sz w:val="24"/>
        </w:rPr>
        <w:t>月2</w:t>
      </w:r>
      <w:r>
        <w:rPr>
          <w:rFonts w:hint="eastAsia" w:ascii="宋体" w:hAnsi="宋体" w:eastAsia="宋体" w:cs="宋体"/>
          <w:sz w:val="24"/>
          <w:lang w:val="en-US" w:eastAsia="zh-CN"/>
        </w:rPr>
        <w:t>3</w:t>
      </w:r>
      <w:r>
        <w:rPr>
          <w:rFonts w:hint="eastAsia" w:ascii="宋体" w:hAnsi="宋体" w:eastAsia="宋体" w:cs="宋体"/>
          <w:sz w:val="24"/>
        </w:rPr>
        <w:t>日至2026年</w:t>
      </w:r>
      <w:r>
        <w:rPr>
          <w:rFonts w:hint="eastAsia" w:ascii="宋体" w:hAnsi="宋体" w:eastAsia="宋体" w:cs="宋体"/>
          <w:sz w:val="24"/>
          <w:lang w:val="en-US" w:eastAsia="zh-CN"/>
        </w:rPr>
        <w:t>5</w:t>
      </w:r>
      <w:r>
        <w:rPr>
          <w:rFonts w:hint="eastAsia" w:ascii="宋体" w:hAnsi="宋体" w:eastAsia="宋体" w:cs="宋体"/>
          <w:sz w:val="24"/>
        </w:rPr>
        <w:t>月</w:t>
      </w:r>
      <w:r>
        <w:rPr>
          <w:rFonts w:hint="eastAsia" w:ascii="宋体" w:hAnsi="宋体" w:eastAsia="宋体" w:cs="宋体"/>
          <w:sz w:val="24"/>
          <w:lang w:val="en-US" w:eastAsia="zh-CN"/>
        </w:rPr>
        <w:t>22</w:t>
      </w:r>
      <w:r>
        <w:rPr>
          <w:rFonts w:hint="eastAsia" w:ascii="宋体" w:hAnsi="宋体" w:eastAsia="宋体" w:cs="宋体"/>
          <w:sz w:val="24"/>
        </w:rPr>
        <w:t>日。</w:t>
      </w:r>
      <w:r>
        <w:rPr>
          <w:rFonts w:hint="eastAsia" w:ascii="宋体" w:hAnsi="宋体" w:eastAsia="宋体" w:cs="宋体"/>
          <w:sz w:val="24"/>
          <w:szCs w:val="24"/>
          <w:lang w:val="en-US" w:eastAsia="zh-CN"/>
        </w:rPr>
        <w:t>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年5月23日起至合同签订生效之日前1天由原供应商负责运维，合同生效之日起至202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月22日由新供应商负责运维。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numPr>
          <w:ilvl w:val="0"/>
          <w:numId w:val="0"/>
        </w:num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月2</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ind w:firstLine="420" w:firstLineChars="200"/>
        <w:rPr>
          <w:rFonts w:hint="eastAsia"/>
          <w:lang w:val="en-US" w:eastAsia="zh-CN"/>
        </w:rPr>
      </w:pP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★应当具有与项目合同履行相关的技术服务经验，熟悉电子票据管理系统，出现系统问题能及时解决。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第5包：财政证书综合管理系统运维服务用户需求书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（第5包）-</w:t>
      </w:r>
      <w:r>
        <w:rPr>
          <w:rFonts w:hint="eastAsia" w:ascii="宋体" w:hAnsi="宋体" w:eastAsia="宋体" w:cs="宋体"/>
          <w:sz w:val="24"/>
          <w:szCs w:val="24"/>
          <w:lang w:val="en-US" w:eastAsia="zh-CN"/>
        </w:rPr>
        <w:t>财政证书综合管理系统(财政部推广软件）运维服务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项目采购预算：3.</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财政证书综合管理系统是财政组织开发的，版权和源代码归属于财政部，我省只具有使用权。服务内容包括：系统软硬件环境维护、系统安全维护、日常系统数据维护、系统管理员功能维护、系统技术服务咨询、系统远程技术支持、国产化服务适配工作等内容。</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年1月1日至合同签订生效之日前1天由原供应商负责运维，合同生效之日起至202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年月</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★应当具有与项目合同履行相关的技术服务经验，熟悉财政证书综合管理系统，出现系统问题能及时解决。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pStyle w:val="2"/>
        <w:jc w:val="center"/>
        <w:rPr>
          <w:rFonts w:hint="eastAsia" w:ascii="宋体" w:hAnsi="宋体" w:cs="宋体"/>
          <w:sz w:val="32"/>
          <w:szCs w:val="32"/>
          <w:lang w:val="en-US" w:eastAsia="zh-CN"/>
        </w:rPr>
      </w:pPr>
      <w:r>
        <w:rPr>
          <w:rFonts w:hint="eastAsia" w:ascii="宋体" w:hAnsi="宋体" w:cs="宋体"/>
          <w:sz w:val="32"/>
          <w:szCs w:val="32"/>
          <w:lang w:val="en-US" w:eastAsia="zh-CN"/>
        </w:rPr>
        <w:t>第6包：OA办公系统运维及督办模块技术服务用户需求书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（第6包）-</w:t>
      </w:r>
      <w:r>
        <w:rPr>
          <w:rFonts w:hint="eastAsia" w:ascii="宋体" w:hAnsi="宋体" w:eastAsia="宋体" w:cs="宋体"/>
          <w:sz w:val="24"/>
          <w:szCs w:val="24"/>
          <w:lang w:val="en-US" w:eastAsia="zh-CN"/>
        </w:rPr>
        <w:t>OA办公系统运维及督办模块技术服务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项目采购预算：14.1万元（其中OA办公系统运维4.5万元，督办模块技术服务9.6万元）。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（一）OA系统运维服务内容</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OA办公系统是省工信厅组织开发的，版权和源代码归属于省工信厅，我厅只具有使用权。服务内容包括：提供办公及移动办公系统1年技术服务；提供办公系统7×8小时的技术支持和技术咨询服务；提供4次巡检服务，包括系统检查和补丁更新、运行状态监控、系统日志清理；配合采购方开展系统数据分类分级工作；国产化服务适配工作；系统问题的应急响应。</w:t>
      </w:r>
    </w:p>
    <w:p>
      <w:pPr>
        <w:widowControl w:val="0"/>
        <w:numPr>
          <w:ilvl w:val="0"/>
          <w:numId w:val="0"/>
        </w:numPr>
        <w:shd w:val="clear" w:color="auto" w:fill="auto"/>
        <w:snapToGrid/>
        <w:spacing w:before="0" w:beforeAutospacing="0" w:after="0" w:afterAutospacing="0" w:line="360" w:lineRule="auto"/>
        <w:ind w:firstLine="0" w:firstLineChars="0"/>
        <w:jc w:val="both"/>
        <w:textAlignment w:val="auto"/>
        <w:rPr>
          <w:rFonts w:hint="eastAsia" w:ascii="宋体" w:hAnsi="宋体" w:eastAsia="宋体" w:cs="宋体"/>
          <w:b w:val="0"/>
          <w:bCs w:val="0"/>
          <w:color w:val="auto"/>
          <w:sz w:val="24"/>
          <w:szCs w:val="24"/>
          <w:highlight w:val="none"/>
          <w:shd w:val="clear" w:color="auto" w:fill="auto"/>
          <w:lang w:val="en-US" w:eastAsia="zh-CN" w:bidi="ar-SA"/>
        </w:rPr>
      </w:pPr>
      <w:r>
        <w:rPr>
          <w:rFonts w:hint="eastAsia" w:ascii="宋体" w:hAnsi="宋体" w:cs="宋体"/>
          <w:b w:val="0"/>
          <w:bCs w:val="0"/>
          <w:color w:val="auto"/>
          <w:sz w:val="24"/>
          <w:szCs w:val="24"/>
          <w:highlight w:val="none"/>
          <w:shd w:val="clear" w:color="auto" w:fill="auto"/>
          <w:lang w:val="en-US" w:eastAsia="zh-CN" w:bidi="ar-SA"/>
        </w:rPr>
        <w:t xml:space="preserve">    （二）</w:t>
      </w:r>
      <w:r>
        <w:rPr>
          <w:rFonts w:hint="eastAsia" w:ascii="宋体" w:hAnsi="宋体" w:eastAsia="宋体" w:cs="宋体"/>
          <w:b w:val="0"/>
          <w:bCs w:val="0"/>
          <w:color w:val="auto"/>
          <w:sz w:val="24"/>
          <w:szCs w:val="24"/>
          <w:highlight w:val="none"/>
          <w:shd w:val="clear" w:color="auto" w:fill="auto"/>
          <w:lang w:val="en-US" w:eastAsia="zh-CN" w:bidi="ar-SA"/>
        </w:rPr>
        <w:t>督办模块技术支服务内容</w:t>
      </w:r>
    </w:p>
    <w:p>
      <w:pPr>
        <w:widowControl w:val="0"/>
        <w:numPr>
          <w:ilvl w:val="0"/>
          <w:numId w:val="0"/>
        </w:numPr>
        <w:shd w:val="clear" w:color="auto" w:fill="auto"/>
        <w:snapToGrid/>
        <w:spacing w:before="0" w:beforeAutospacing="0" w:after="0" w:afterAutospacing="0" w:line="578" w:lineRule="exact"/>
        <w:ind w:firstLine="0" w:firstLineChars="0"/>
        <w:jc w:val="both"/>
        <w:textAlignment w:val="auto"/>
        <w:rPr>
          <w:rFonts w:hint="eastAsia" w:ascii="仿宋_GB2312" w:hAnsi="仿宋_GB2312" w:eastAsia="仿宋_GB2312" w:cs="仿宋_GB2312"/>
          <w:b w:val="0"/>
          <w:bCs w:val="0"/>
          <w:color w:val="auto"/>
          <w:sz w:val="28"/>
          <w:szCs w:val="28"/>
          <w:highlight w:val="none"/>
          <w:shd w:val="clear" w:color="auto" w:fill="auto"/>
          <w:lang w:val="en-US" w:eastAsia="zh-CN" w:bidi="ar-SA"/>
        </w:rPr>
      </w:pPr>
      <w:r>
        <w:rPr>
          <w:rFonts w:hint="eastAsia" w:ascii="仿宋_GB2312" w:hAnsi="仿宋_GB2312" w:eastAsia="仿宋_GB2312" w:cs="仿宋_GB2312"/>
          <w:b w:val="0"/>
          <w:bCs w:val="0"/>
          <w:color w:val="auto"/>
          <w:sz w:val="28"/>
          <w:szCs w:val="28"/>
          <w:highlight w:val="none"/>
          <w:shd w:val="clear" w:color="auto" w:fill="auto"/>
          <w:lang w:val="en-US" w:eastAsia="zh-CN" w:bidi="ar-SA"/>
        </w:rPr>
        <w:t xml:space="preserve">     </w:t>
      </w:r>
    </w:p>
    <w:tbl>
      <w:tblPr>
        <w:tblStyle w:val="28"/>
        <w:tblW w:w="9716"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350"/>
        <w:gridCol w:w="1633"/>
        <w:gridCol w:w="1867"/>
        <w:gridCol w:w="4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2" w:hRule="atLeast"/>
        </w:trPr>
        <w:tc>
          <w:tcPr>
            <w:tcW w:w="13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kern w:val="0"/>
                <w:sz w:val="24"/>
                <w:szCs w:val="24"/>
                <w:lang w:val="en-US" w:eastAsia="zh-CN" w:bidi="ar-SA"/>
              </w:rPr>
            </w:pPr>
          </w:p>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督办</w:t>
            </w:r>
            <w:r>
              <w:rPr>
                <w:rFonts w:hint="eastAsia" w:ascii="宋体" w:hAnsi="宋体" w:cs="宋体"/>
                <w:i w:val="0"/>
                <w:color w:val="000000"/>
                <w:kern w:val="0"/>
                <w:sz w:val="24"/>
                <w:szCs w:val="24"/>
                <w:lang w:val="en-US" w:eastAsia="zh-CN" w:bidi="ar-SA"/>
              </w:rPr>
              <w:t>模块技术服务</w:t>
            </w: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新增功能服务-领导工作台</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督办工作情况统计</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省级任务情况统计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内部任务情况统计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审计整改任务情况统计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个人待办</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督办任务待办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审计整改任务待办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处室办件量排行榜</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处室办件量排行榜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处室办件量排行榜导出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任务逾期排行榜</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任务逾期排行榜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任务逾期排行榜导出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新增功能服务-汇报审核升级</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新增功能-汇报审核升级</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汇报审核信息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联系人提交汇报内容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协办处室领导汇报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分管领导审核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厅长审核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撤销审核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汇报审核流转记录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新增功能服务-任务协办分配</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协办部门分配申请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协办部门申请信息详情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协办部门分配审核</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协办部门申请审核信息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待审核申请待办列表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协办部门申请审核记录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新增功能服务-事项签报</w:t>
            </w:r>
          </w:p>
        </w:tc>
        <w:tc>
          <w:tcPr>
            <w:tcW w:w="186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新增功能-事项签报</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事项签报添加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2"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事项签报详情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8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事项签报修改记录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05" w:hRule="atLeast"/>
        </w:trPr>
        <w:tc>
          <w:tcPr>
            <w:tcW w:w="13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rPr>
            </w:pPr>
          </w:p>
        </w:tc>
        <w:tc>
          <w:tcPr>
            <w:tcW w:w="16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新增功能服务-待办数据推送OA</w:t>
            </w:r>
          </w:p>
        </w:tc>
        <w:tc>
          <w:tcPr>
            <w:tcW w:w="186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新增功能-待办数据推送OA</w:t>
            </w:r>
          </w:p>
        </w:tc>
        <w:tc>
          <w:tcPr>
            <w:tcW w:w="48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4"/>
                <w:szCs w:val="24"/>
              </w:rPr>
            </w:pPr>
            <w:r>
              <w:rPr>
                <w:rFonts w:hint="eastAsia" w:ascii="宋体" w:hAnsi="宋体" w:eastAsia="宋体" w:cs="宋体"/>
                <w:i w:val="0"/>
                <w:color w:val="000000"/>
                <w:kern w:val="0"/>
                <w:sz w:val="24"/>
                <w:szCs w:val="24"/>
                <w:lang w:val="en-US" w:eastAsia="zh-CN" w:bidi="ar-SA"/>
              </w:rPr>
              <w:t>待办督办系统数据推送OA</w:t>
            </w:r>
          </w:p>
        </w:tc>
      </w:tr>
    </w:tbl>
    <w:p>
      <w:pPr>
        <w:spacing w:line="360" w:lineRule="auto"/>
        <w:ind w:firstLine="0" w:firstLineChars="0"/>
        <w:rPr>
          <w:rFonts w:hint="eastAsia" w:ascii="宋体" w:hAnsi="宋体" w:eastAsia="宋体" w:cs="宋体"/>
          <w:sz w:val="24"/>
          <w:szCs w:val="24"/>
          <w:lang w:val="en-US" w:eastAsia="zh-CN"/>
        </w:rPr>
      </w:pP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w:t>
      </w:r>
      <w:r>
        <w:rPr>
          <w:rFonts w:hint="eastAsia" w:ascii="宋体" w:hAnsi="宋体" w:cs="宋体"/>
          <w:sz w:val="24"/>
          <w:szCs w:val="24"/>
          <w:lang w:val="en-US" w:eastAsia="zh-CN"/>
        </w:rPr>
        <w:t>OA系统</w:t>
      </w:r>
      <w:r>
        <w:rPr>
          <w:rFonts w:hint="eastAsia" w:ascii="宋体" w:hAnsi="宋体" w:eastAsia="宋体" w:cs="宋体"/>
          <w:sz w:val="24"/>
          <w:szCs w:val="24"/>
          <w:lang w:val="en-US" w:eastAsia="zh-CN"/>
        </w:rPr>
        <w:t>运维服务时间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年1月1日至合同签订生效之日前1天由原供应商负责运维，合同生效之日起至202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年12月31日由新供应商负责运维。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（二）督办模块技术服务时间</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自合同签订之日起</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个月</w:t>
      </w:r>
      <w:r>
        <w:rPr>
          <w:rFonts w:hint="eastAsia" w:ascii="宋体" w:hAnsi="宋体" w:cs="宋体"/>
          <w:sz w:val="24"/>
          <w:szCs w:val="24"/>
          <w:lang w:val="en-US" w:eastAsia="zh-CN"/>
        </w:rPr>
        <w:t>内</w:t>
      </w:r>
      <w:r>
        <w:rPr>
          <w:rFonts w:hint="eastAsia" w:ascii="宋体" w:hAnsi="宋体" w:eastAsia="宋体" w:cs="宋体"/>
          <w:sz w:val="24"/>
          <w:szCs w:val="24"/>
          <w:lang w:val="en-US" w:eastAsia="zh-CN"/>
        </w:rPr>
        <w:t>。</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spacing w:line="360" w:lineRule="auto"/>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（一）运维服务</w:t>
      </w:r>
      <w:r>
        <w:rPr>
          <w:rFonts w:hint="eastAsia" w:ascii="宋体" w:hAnsi="宋体" w:cs="宋体"/>
          <w:sz w:val="24"/>
          <w:szCs w:val="24"/>
          <w:lang w:val="en-US" w:eastAsia="zh-CN"/>
        </w:rPr>
        <w:t>费用支付</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采购人将中标合同金额分二笔支付给新供应商。新供应商支付</w:t>
      </w: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numPr>
          <w:ilvl w:val="0"/>
          <w:numId w:val="2"/>
        </w:numPr>
        <w:spacing w:line="360" w:lineRule="auto"/>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督办模块技术服务</w:t>
      </w:r>
      <w:r>
        <w:rPr>
          <w:rFonts w:hint="eastAsia" w:ascii="宋体" w:hAnsi="宋体" w:cs="宋体"/>
          <w:sz w:val="24"/>
          <w:szCs w:val="24"/>
          <w:lang w:val="en-US" w:eastAsia="zh-CN"/>
        </w:rPr>
        <w:t>费用支付</w:t>
      </w:r>
    </w:p>
    <w:p>
      <w:pPr>
        <w:numPr>
          <w:ilvl w:val="0"/>
          <w:numId w:val="0"/>
        </w:numPr>
        <w:spacing w:line="360" w:lineRule="auto"/>
        <w:ind w:firstLine="0" w:firstLineChars="0"/>
        <w:rPr>
          <w:rFonts w:hint="eastAsia" w:ascii="宋体" w:hAnsi="宋体" w:cs="宋体"/>
          <w:sz w:val="24"/>
          <w:szCs w:val="24"/>
          <w:lang w:val="en-US" w:eastAsia="zh-CN"/>
        </w:rPr>
      </w:pPr>
      <w:r>
        <w:rPr>
          <w:rFonts w:hint="eastAsia" w:ascii="宋体" w:hAnsi="宋体" w:cs="宋体"/>
          <w:sz w:val="24"/>
          <w:szCs w:val="24"/>
          <w:lang w:val="en-US" w:eastAsia="zh-CN"/>
        </w:rPr>
        <w:t xml:space="preserve">     合同签订后支付</w:t>
      </w:r>
      <w:r>
        <w:rPr>
          <w:rFonts w:hint="eastAsia" w:ascii="宋体" w:hAnsi="宋体" w:eastAsia="宋体" w:cs="宋体"/>
          <w:sz w:val="24"/>
          <w:szCs w:val="24"/>
          <w:lang w:val="en-US" w:eastAsia="zh-CN"/>
        </w:rPr>
        <w:t>督办模块技术服务</w:t>
      </w:r>
      <w:r>
        <w:rPr>
          <w:rFonts w:hint="eastAsia" w:ascii="宋体" w:hAnsi="宋体" w:cs="宋体"/>
          <w:sz w:val="24"/>
          <w:szCs w:val="24"/>
          <w:lang w:val="en-US" w:eastAsia="zh-CN"/>
        </w:rPr>
        <w:t>费用的50%，</w:t>
      </w:r>
      <w:r>
        <w:rPr>
          <w:rFonts w:hint="eastAsia" w:ascii="宋体" w:hAnsi="宋体" w:eastAsia="宋体" w:cs="宋体"/>
          <w:sz w:val="24"/>
          <w:szCs w:val="24"/>
          <w:lang w:val="en-US" w:eastAsia="zh-CN"/>
        </w:rPr>
        <w:t>督办模块技术服务</w:t>
      </w:r>
      <w:r>
        <w:rPr>
          <w:rFonts w:hint="eastAsia" w:ascii="宋体" w:hAnsi="宋体" w:cs="宋体"/>
          <w:sz w:val="24"/>
          <w:szCs w:val="24"/>
          <w:lang w:val="en-US" w:eastAsia="zh-CN"/>
        </w:rPr>
        <w:t>完成并通过验收确认后支付服务费用的50%。</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★应当具有与项目合同履行相关的技术服务经验，熟悉OA办公系统，出现系统问题能及时解决。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spacing w:line="360" w:lineRule="auto"/>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t>第</w:t>
      </w:r>
      <w:r>
        <w:rPr>
          <w:rFonts w:hint="eastAsia" w:ascii="宋体" w:hAnsi="宋体" w:cs="宋体"/>
          <w:b/>
          <w:bCs/>
          <w:sz w:val="32"/>
          <w:szCs w:val="32"/>
          <w:lang w:val="en-US" w:eastAsia="zh-CN"/>
        </w:rPr>
        <w:t>7</w:t>
      </w:r>
      <w:r>
        <w:rPr>
          <w:rFonts w:hint="eastAsia" w:ascii="宋体" w:hAnsi="宋体" w:eastAsia="宋体" w:cs="宋体"/>
          <w:b/>
          <w:bCs/>
          <w:sz w:val="32"/>
          <w:szCs w:val="32"/>
          <w:lang w:val="en-US" w:eastAsia="zh-CN"/>
        </w:rPr>
        <w:t>包：政府采购网运维服务用户需求书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（第7包）-</w:t>
      </w:r>
      <w:r>
        <w:rPr>
          <w:rFonts w:hint="eastAsia" w:ascii="宋体" w:hAnsi="宋体" w:eastAsia="宋体" w:cs="宋体"/>
          <w:sz w:val="24"/>
          <w:szCs w:val="24"/>
          <w:lang w:val="en-US" w:eastAsia="zh-CN"/>
        </w:rPr>
        <w:t>政府采购网运维服务</w:t>
      </w:r>
      <w:r>
        <w:rPr>
          <w:rFonts w:hint="eastAsia" w:ascii="宋体" w:hAnsi="宋体" w:cs="宋体"/>
          <w:sz w:val="24"/>
          <w:szCs w:val="24"/>
          <w:lang w:val="en-US" w:eastAsia="zh-CN"/>
        </w:rPr>
        <w:t>（旧版）</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项目采购预算：1.9万元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网站软硬件环境维护；保障网站的运行安全；网站升级及补丁更新；网站的日常运行维护、指导、备份；网站日常页面维护；网站内容管理、后台功能维护；国产化服务适配工作等内容。</w:t>
      </w:r>
      <w:r>
        <w:rPr>
          <w:rFonts w:hint="eastAsia" w:ascii="宋体" w:hAnsi="宋体" w:eastAsia="宋体" w:cs="宋体"/>
          <w:sz w:val="24"/>
          <w:szCs w:val="24"/>
        </w:rPr>
        <w:t xml:space="preserve"> </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ind w:firstLine="480" w:firstLineChars="200"/>
      </w:pPr>
      <w:r>
        <w:rPr>
          <w:rFonts w:hint="eastAsia" w:ascii="宋体" w:hAnsi="宋体" w:eastAsia="宋体" w:cs="宋体"/>
          <w:sz w:val="24"/>
          <w:szCs w:val="24"/>
          <w:lang w:val="en-US" w:eastAsia="zh-CN"/>
        </w:rPr>
        <w:t>运维周期为一年，时间为202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年1月1日至合同签订生效之日前1天由原供应商负责运维，合同生效之日起至202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年12月31日由新供应商负责运维。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五、费用支付</w:t>
      </w:r>
    </w:p>
    <w:p>
      <w:pPr>
        <w:spacing w:line="360" w:lineRule="auto"/>
        <w:ind w:firstLine="0" w:firstLineChars="0"/>
        <w:rPr>
          <w:rFonts w:hint="eastAsia"/>
          <w:lang w:val="en-US" w:eastAsia="zh-CN"/>
        </w:rPr>
      </w:pPr>
      <w:r>
        <w:rPr>
          <w:rFonts w:hint="eastAsia" w:ascii="宋体" w:hAnsi="宋体" w:cs="宋体"/>
          <w:sz w:val="24"/>
          <w:szCs w:val="24"/>
          <w:lang w:val="en-US" w:eastAsia="zh-CN"/>
        </w:rPr>
        <w:t xml:space="preserve">    采购人将中标合同金额分二笔支付给新供应商。新供应商支付</w:t>
      </w:r>
      <w:r>
        <w:rPr>
          <w:rFonts w:hint="eastAsia" w:ascii="宋体" w:hAnsi="宋体" w:eastAsia="宋体" w:cs="宋体"/>
          <w:sz w:val="24"/>
          <w:szCs w:val="24"/>
          <w:lang w:val="en-US" w:eastAsia="zh-CN"/>
        </w:rPr>
        <w:t>2024年</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月</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日起至合同签订生效之日</w:t>
      </w:r>
      <w:r>
        <w:rPr>
          <w:rFonts w:hint="eastAsia" w:ascii="宋体" w:hAnsi="宋体" w:cs="宋体"/>
          <w:sz w:val="24"/>
          <w:szCs w:val="24"/>
          <w:lang w:val="en-US" w:eastAsia="zh-CN"/>
        </w:rPr>
        <w:t>的</w:t>
      </w:r>
      <w:r>
        <w:rPr>
          <w:rFonts w:hint="eastAsia" w:ascii="宋体" w:hAnsi="宋体" w:eastAsia="宋体" w:cs="宋体"/>
          <w:sz w:val="24"/>
          <w:szCs w:val="24"/>
          <w:lang w:val="en-US" w:eastAsia="zh-CN"/>
        </w:rPr>
        <w:t>前1天</w:t>
      </w:r>
      <w:r>
        <w:rPr>
          <w:rFonts w:hint="eastAsia" w:ascii="宋体" w:hAnsi="宋体" w:cs="宋体"/>
          <w:sz w:val="24"/>
          <w:szCs w:val="24"/>
          <w:lang w:val="en-US" w:eastAsia="zh-CN"/>
        </w:rPr>
        <w:t>的运维费给原供应商，支付金额为合同总金额除以365天乘以运维天数。</w:t>
      </w:r>
    </w:p>
    <w:p>
      <w:pPr>
        <w:spacing w:line="360" w:lineRule="auto"/>
        <w:rPr>
          <w:rFonts w:hint="eastAsia" w:ascii="宋体" w:hAnsi="宋体" w:eastAsia="宋体" w:cs="宋体"/>
          <w:b/>
          <w:bCs/>
          <w:sz w:val="24"/>
          <w:szCs w:val="24"/>
        </w:rPr>
      </w:pPr>
      <w:r>
        <w:rPr>
          <w:rFonts w:hint="eastAsia" w:ascii="宋体" w:hAnsi="宋体" w:cs="宋体"/>
          <w:b/>
          <w:bCs/>
          <w:sz w:val="24"/>
          <w:szCs w:val="24"/>
          <w:lang w:val="en-US" w:eastAsia="zh-CN"/>
        </w:rPr>
        <w:t>六</w:t>
      </w:r>
      <w:r>
        <w:rPr>
          <w:rFonts w:hint="eastAsia" w:ascii="宋体" w:hAnsi="宋体" w:eastAsia="宋体" w:cs="宋体"/>
          <w:b/>
          <w:bCs/>
          <w:sz w:val="24"/>
          <w:szCs w:val="24"/>
          <w:lang w:val="en-US" w:eastAsia="zh-CN"/>
        </w:rPr>
        <w:t>、服务要求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★应当具有与项目合同履行相关的技术服务经验，熟悉政府采购网，出现系统问题能及时解决。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供应商向采购方提供的网站运维服务报告，内容包括：运维服务工作总结、日常运维工作记录表、运维报告确认单等。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spacing w:line="360" w:lineRule="auto"/>
        <w:jc w:val="center"/>
        <w:rPr>
          <w:rFonts w:hint="eastAsia" w:ascii="宋体" w:hAnsi="宋体" w:cs="宋体"/>
          <w:sz w:val="32"/>
          <w:szCs w:val="32"/>
          <w:lang w:val="en-US" w:eastAsia="zh-CN"/>
        </w:rPr>
      </w:pPr>
      <w:r>
        <w:rPr>
          <w:rFonts w:hint="eastAsia" w:ascii="宋体" w:hAnsi="宋体" w:cs="宋体"/>
          <w:sz w:val="32"/>
          <w:szCs w:val="32"/>
          <w:lang w:val="en-US" w:eastAsia="zh-CN"/>
        </w:rPr>
        <w:t>第8包：4个系统运维服务用户需求书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（第8包）-</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个系统运维服务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项目采购预算：89.09万元（其中非税收入征缴信息管理系统运维服务30.9万元，一卡通子系统运维服务24.97万元，工资统发子系系统运维服务23.72万元，即时通讯系统运维服务9.5万元）。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个系统运维包括：非税收入征缴信息管理系统、一卡通子系统、工资统发子系统、即时通讯（蓝信）系统运维服务。</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（一）非税收入征缴信息管理系统运维服务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驻场服务。选派一名熟悉非税征缴信息管理系统的技术人员驻点到采购方指定的场所提供现场技术支持服务，服务内容包括但不限于系统运行技术支持、错误数据处理、日常用户咨询和反映问题处理、系统运行效率优化、系统报表参数和取数口径调整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按照海南省政务信息化最新接口报文规范，配合海政通、海易办开发商测试发送、接收、转换全过程数据，建立相应业务数据取数视图。根据采购方要求，配合从后台数据库提取相关报表、统计分析等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6.在合同期内提供非税征缴系统所用区块链签名服务，并确保区块链签名服务稳定、高效运行。</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7.国产化服务适配工作。</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（二）一卡通子系统运维服务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驻场服务。选派一名熟悉一卡通子系统的技术人员驻点到采购方指定的场所提供现场技术支持服务，服务内容包括但不限于系统运行技术支持、错误数据处理、日常用户咨询和反映问题处理、系统运行效率优化、系统报表参数和取数口径调整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（三）工资统发子系统运维服务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驻场服务。选派一名熟悉工资统发子系统的技术人员驻点到采购方指定的场所提供现场技术支持服务，服务内容包括但不限于系统运行技术支持、错误数据处理、日常用户咨询和反映问题处理、系统运行效率优化、系统报表参数和取数口径调整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四</w:t>
      </w:r>
      <w:r>
        <w:rPr>
          <w:rFonts w:hint="eastAsia" w:ascii="宋体" w:hAnsi="宋体" w:eastAsia="宋体" w:cs="宋体"/>
          <w:sz w:val="24"/>
          <w:szCs w:val="24"/>
          <w:lang w:val="en-US" w:eastAsia="zh-CN"/>
        </w:rPr>
        <w:t>）即时通讯系统运维服务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2.远程服务。提供7*8小时远程技术支持服务，服务内容包括但不限于系统运行技术支持、错误数据处理、系统运行效率优化、产品升级等。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3.现场服务。远程服务解决不了的问题，需1个小时内到达现场解决问题。</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4.安全加固服务。根据采购方或其他第三方检测发现的系统漏洞情况，及时组织系统开发人员封堵、修复漏洞，并进行加固处理。</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驻场服务、现场服务、远程服务、电话及在线服务等方式。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运维周期为一年，2025年8月</w:t>
      </w:r>
      <w:r>
        <w:rPr>
          <w:rFonts w:hint="eastAsia" w:ascii="宋体" w:hAnsi="宋体" w:cs="宋体"/>
          <w:kern w:val="2"/>
          <w:sz w:val="24"/>
          <w:szCs w:val="24"/>
          <w:lang w:val="en-US" w:eastAsia="zh-CN"/>
        </w:rPr>
        <w:t>21</w:t>
      </w:r>
      <w:r>
        <w:rPr>
          <w:rFonts w:hint="eastAsia" w:ascii="宋体" w:hAnsi="宋体" w:eastAsia="宋体" w:cs="宋体"/>
          <w:kern w:val="2"/>
          <w:sz w:val="24"/>
          <w:szCs w:val="24"/>
          <w:lang w:val="en-US" w:eastAsia="zh-CN"/>
        </w:rPr>
        <w:t>日-2026年8月</w:t>
      </w:r>
      <w:r>
        <w:rPr>
          <w:rFonts w:hint="eastAsia" w:ascii="宋体" w:hAnsi="宋体" w:cs="宋体"/>
          <w:kern w:val="2"/>
          <w:sz w:val="24"/>
          <w:szCs w:val="24"/>
          <w:lang w:val="en-US" w:eastAsia="zh-CN"/>
        </w:rPr>
        <w:t>20</w:t>
      </w:r>
      <w:r>
        <w:rPr>
          <w:rFonts w:hint="eastAsia" w:ascii="宋体" w:hAnsi="宋体" w:eastAsia="宋体" w:cs="宋体"/>
          <w:kern w:val="2"/>
          <w:sz w:val="24"/>
          <w:szCs w:val="24"/>
          <w:lang w:val="en-US" w:eastAsia="zh-CN"/>
        </w:rPr>
        <w:t>日。</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非税收入征缴信息管理系统、一卡通子系统、工资统发子系统运维服务供应商需各提供每个系统不少于1名驻场技术人员。供应商应当具有与项目合同履行相关的技术服务经验，熟悉非税收入征缴信息管理系统、一卡通子系统、工资统发子系统、即时通讯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（2）如驻场人员无法解决的重大故障，在接到采购人提出的重大故障报障的2小时内由供应商另行安排专业技术人员到达现场处理。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spacing w:line="360" w:lineRule="auto"/>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第9包：</w:t>
      </w:r>
      <w:r>
        <w:rPr>
          <w:rFonts w:hint="eastAsia" w:ascii="宋体" w:hAnsi="宋体" w:cs="宋体"/>
          <w:sz w:val="32"/>
          <w:szCs w:val="32"/>
        </w:rPr>
        <w:t>统一报表及国有资本经营预算管理系统</w:t>
      </w:r>
      <w:r>
        <w:rPr>
          <w:rFonts w:hint="eastAsia" w:ascii="宋体" w:hAnsi="宋体" w:eastAsia="宋体" w:cs="宋体"/>
          <w:sz w:val="32"/>
          <w:szCs w:val="32"/>
          <w:lang w:val="en-US" w:eastAsia="zh-CN"/>
        </w:rPr>
        <w:t>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（第9包）-</w:t>
      </w:r>
      <w:r>
        <w:rPr>
          <w:rFonts w:hint="eastAsia" w:ascii="宋体" w:hAnsi="宋体" w:cs="宋体"/>
          <w:sz w:val="24"/>
        </w:rPr>
        <w:t>统一报表及国有资本经营预算管理系统</w:t>
      </w:r>
      <w:r>
        <w:rPr>
          <w:rFonts w:hint="eastAsia" w:ascii="宋体" w:hAnsi="宋体" w:eastAsia="宋体" w:cs="宋体"/>
          <w:sz w:val="24"/>
          <w:szCs w:val="24"/>
          <w:lang w:val="en-US" w:eastAsia="zh-CN"/>
        </w:rPr>
        <w:t>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项目采购预算：</w:t>
      </w:r>
      <w:r>
        <w:rPr>
          <w:rFonts w:hint="eastAsia" w:ascii="宋体" w:hAnsi="宋体" w:cs="宋体"/>
          <w:sz w:val="24"/>
          <w:szCs w:val="24"/>
          <w:lang w:val="en-US" w:eastAsia="zh-CN"/>
        </w:rPr>
        <w:t>7</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71</w:t>
      </w:r>
      <w:r>
        <w:rPr>
          <w:rFonts w:hint="eastAsia" w:ascii="宋体" w:hAnsi="宋体" w:eastAsia="宋体" w:cs="宋体"/>
          <w:sz w:val="24"/>
          <w:szCs w:val="24"/>
          <w:lang w:val="en-US" w:eastAsia="zh-CN"/>
        </w:rPr>
        <w:t>万元</w:t>
      </w:r>
    </w:p>
    <w:p>
      <w:pPr>
        <w:spacing w:line="360" w:lineRule="auto"/>
        <w:ind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（一）统一报表系统</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2.技术服务。服务内容包括但不限于系统运行技术支持、错误数据处理、日常用户咨询和反映问题处理、系统运行效率优化、系统报表参数和取数口径调整、软件升级等。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r>
        <w:rPr>
          <w:rFonts w:hint="eastAsia" w:ascii="宋体" w:hAnsi="宋体" w:cs="宋体"/>
          <w:sz w:val="24"/>
          <w:szCs w:val="24"/>
          <w:lang w:val="en-US"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6.国产化服务适配工作。</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二</w:t>
      </w:r>
      <w:r>
        <w:rPr>
          <w:rFonts w:hint="eastAsia" w:ascii="宋体" w:hAnsi="宋体" w:eastAsia="宋体" w:cs="宋体"/>
          <w:sz w:val="24"/>
          <w:szCs w:val="24"/>
          <w:lang w:val="en-US" w:eastAsia="zh-CN"/>
        </w:rPr>
        <w:t>）国有资本经营预算管理系统</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1.日常巡检。检查应用服务器 CPU占用、内存占用、剩余硬盘存储空间等情况，检查操作系统、中间件服务器、数据库的运行日志、安全日志，及时排除潜在故障风险。</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2.技术服务。服务内容包括但不限于系统运行技术支持、错误数据处理、日常用户咨询和反映问题处理、系统运行效率优化、系统报表参数和取数口径调整、软件升级等。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3.安全加固服务。根据采购方或其他第三方检测发现的系统漏洞情况，及时组织系统开发人员封堵、修复漏洞，并进行加固处理。</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4.故障处理及应急响应服务。及时对系统异常及故障进行排障处理，并按要求上报。根据采购方要求，参与应急演练，编制专项应急预案，配合采购方撰写应急处置响应报告等。</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5.数据服务。根据采购方要求，配合从后台数据库提取相关报表、统计分析等服务</w:t>
      </w:r>
      <w:r>
        <w:rPr>
          <w:rFonts w:hint="eastAsia" w:ascii="宋体" w:hAnsi="宋体" w:cs="宋体"/>
          <w:sz w:val="24"/>
          <w:szCs w:val="24"/>
          <w:lang w:val="en-US" w:eastAsia="zh-CN"/>
        </w:rPr>
        <w:t>。</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6.国产化服务适配工作。</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运维周期为一年，自合同签订之日起一年。</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五、服务要求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（1）供应商需具有履行本项目合同的信息系统建设或者信息系统运维相关服务经验。</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★应当具有与项目合同履行相关的技术服务经验，熟悉统一报表系统</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国有资本经营预算管理系统，出现系统问题能及时解决。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（1）供应商需确保服务人员的在职情况不影响服务质量，不得以服务人员离职、休假等原因延迟或不提供服务。如有情况需提前与采购人协商，并提供具有可行性的解决方案，不得影响采购人正常开展工作。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360" w:lineRule="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供应商向采购方提供的系统运维服务报告，内容包括：运维服务工作总结、日常运维工作记录表、运维报告确认单等。</w:t>
      </w:r>
    </w:p>
    <w:p>
      <w:pPr>
        <w:rPr>
          <w:rFonts w:hint="eastAsia"/>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第10包：数据库管理平台使用和Oracle数据库运维服务用户需求书</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一、项目名概况</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项目名称：海南省财政厅2025年信息系统运行维护政府采购项目</w:t>
      </w:r>
      <w:r>
        <w:rPr>
          <w:rFonts w:hint="eastAsia" w:ascii="宋体" w:hAnsi="宋体" w:cs="宋体"/>
          <w:sz w:val="24"/>
          <w:lang w:val="en-US" w:eastAsia="zh-CN"/>
        </w:rPr>
        <w:t>（第10包）-</w:t>
      </w:r>
      <w:r>
        <w:rPr>
          <w:rFonts w:hint="eastAsia" w:ascii="宋体" w:hAnsi="宋体" w:eastAsia="宋体" w:cs="宋体"/>
          <w:sz w:val="24"/>
          <w:szCs w:val="24"/>
          <w:lang w:val="en-US" w:eastAsia="zh-CN"/>
        </w:rPr>
        <w:t>数据库管理平台使用和Oracle数据库运维服务</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项目采购单位：海南省财政科技服务中心</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项目采购预算：60.15万元（其中数据库管理平台使用服务采购预算35.2万元，Oracle数据库运维服务24.95万元）。</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二、服务内容</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数据库管理平台使用服务</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Oracle数据库3个计算节点、4个存储节点的资源监控管理平台</w:t>
      </w:r>
      <w:r>
        <w:rPr>
          <w:rFonts w:hint="eastAsia" w:ascii="宋体" w:hAnsi="宋体" w:eastAsia="宋体" w:cs="宋体"/>
          <w:sz w:val="24"/>
          <w:szCs w:val="24"/>
          <w:lang w:eastAsia="zh-CN"/>
        </w:rPr>
        <w:t>使用</w:t>
      </w:r>
      <w:r>
        <w:rPr>
          <w:rFonts w:hint="eastAsia" w:ascii="宋体" w:hAnsi="宋体" w:eastAsia="宋体" w:cs="宋体"/>
          <w:sz w:val="24"/>
          <w:szCs w:val="24"/>
        </w:rPr>
        <w:t>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存算</w:t>
      </w:r>
      <w:r>
        <w:rPr>
          <w:rFonts w:hint="eastAsia" w:ascii="宋体" w:hAnsi="宋体" w:eastAsia="宋体" w:cs="宋体"/>
          <w:sz w:val="24"/>
          <w:szCs w:val="24"/>
        </w:rPr>
        <w:t>资源硬件管理</w:t>
      </w:r>
      <w:r>
        <w:rPr>
          <w:rFonts w:hint="eastAsia" w:ascii="宋体" w:hAnsi="宋体" w:eastAsia="宋体" w:cs="宋体"/>
          <w:sz w:val="24"/>
          <w:szCs w:val="24"/>
          <w:lang w:val="en-US" w:eastAsia="zh-CN"/>
        </w:rPr>
        <w:t>能力；</w:t>
      </w:r>
      <w:r>
        <w:rPr>
          <w:rFonts w:hint="eastAsia" w:ascii="宋体" w:hAnsi="宋体" w:eastAsia="宋体" w:cs="宋体"/>
          <w:sz w:val="24"/>
          <w:szCs w:val="24"/>
        </w:rPr>
        <w:t>网络资源硬件管理</w:t>
      </w:r>
      <w:r>
        <w:rPr>
          <w:rFonts w:hint="eastAsia" w:ascii="宋体" w:hAnsi="宋体" w:eastAsia="宋体" w:cs="宋体"/>
          <w:sz w:val="24"/>
          <w:szCs w:val="24"/>
          <w:lang w:val="en-US" w:eastAsia="zh-CN"/>
        </w:rPr>
        <w:t>能力；</w:t>
      </w:r>
      <w:r>
        <w:rPr>
          <w:rFonts w:hint="eastAsia" w:ascii="宋体" w:hAnsi="宋体" w:eastAsia="宋体" w:cs="宋体"/>
          <w:sz w:val="24"/>
          <w:szCs w:val="24"/>
        </w:rPr>
        <w:t>存储资源管理</w:t>
      </w:r>
      <w:r>
        <w:rPr>
          <w:rFonts w:hint="eastAsia" w:ascii="宋体" w:hAnsi="宋体" w:eastAsia="宋体" w:cs="宋体"/>
          <w:sz w:val="24"/>
          <w:szCs w:val="24"/>
          <w:lang w:val="en-US" w:eastAsia="zh-CN"/>
        </w:rPr>
        <w:t>能力；</w:t>
      </w:r>
      <w:r>
        <w:rPr>
          <w:rFonts w:hint="eastAsia" w:ascii="宋体" w:hAnsi="宋体" w:eastAsia="宋体" w:cs="宋体"/>
          <w:sz w:val="24"/>
          <w:szCs w:val="24"/>
        </w:rPr>
        <w:t>数据库资源管理</w:t>
      </w:r>
      <w:r>
        <w:rPr>
          <w:rFonts w:hint="eastAsia" w:ascii="宋体" w:hAnsi="宋体" w:eastAsia="宋体" w:cs="宋体"/>
          <w:sz w:val="24"/>
          <w:szCs w:val="24"/>
          <w:lang w:val="en-US" w:eastAsia="zh-CN"/>
        </w:rPr>
        <w:t>能力；</w:t>
      </w:r>
      <w:r>
        <w:rPr>
          <w:rFonts w:hint="eastAsia" w:ascii="宋体" w:hAnsi="宋体" w:eastAsia="宋体" w:cs="宋体"/>
          <w:sz w:val="24"/>
          <w:szCs w:val="24"/>
        </w:rPr>
        <w:t>数据救援</w:t>
      </w:r>
      <w:r>
        <w:rPr>
          <w:rFonts w:hint="eastAsia" w:ascii="宋体" w:hAnsi="宋体" w:eastAsia="宋体" w:cs="宋体"/>
          <w:sz w:val="24"/>
          <w:szCs w:val="24"/>
          <w:lang w:eastAsia="zh-CN"/>
        </w:rPr>
        <w:t>服务</w:t>
      </w:r>
      <w:r>
        <w:rPr>
          <w:rFonts w:hint="eastAsia" w:ascii="宋体" w:hAnsi="宋体" w:eastAsia="宋体" w:cs="宋体"/>
          <w:sz w:val="24"/>
          <w:szCs w:val="24"/>
          <w:lang w:val="en-US" w:eastAsia="zh-CN"/>
        </w:rPr>
        <w:t>能力；</w:t>
      </w:r>
      <w:r>
        <w:rPr>
          <w:rFonts w:hint="eastAsia" w:ascii="宋体" w:hAnsi="宋体" w:eastAsia="宋体" w:cs="宋体"/>
          <w:sz w:val="24"/>
          <w:szCs w:val="24"/>
        </w:rPr>
        <w:t>统一监控告警管理服务</w:t>
      </w:r>
      <w:r>
        <w:rPr>
          <w:rFonts w:hint="eastAsia" w:ascii="宋体" w:hAnsi="宋体" w:eastAsia="宋体" w:cs="宋体"/>
          <w:sz w:val="24"/>
          <w:szCs w:val="24"/>
          <w:lang w:val="en-US" w:eastAsia="zh-CN"/>
        </w:rPr>
        <w:t>；国产化服务适配工作</w:t>
      </w:r>
      <w:r>
        <w:rPr>
          <w:rFonts w:hint="eastAsia" w:ascii="宋体" w:hAnsi="宋体" w:eastAsia="宋体" w:cs="宋体"/>
          <w:sz w:val="24"/>
          <w:szCs w:val="24"/>
          <w:lang w:eastAsia="zh-CN"/>
        </w:rPr>
        <w:t>等。</w:t>
      </w:r>
    </w:p>
    <w:p>
      <w:pPr>
        <w:numPr>
          <w:ilvl w:val="0"/>
          <w:numId w:val="0"/>
        </w:numPr>
        <w:adjustRightInd/>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eastAsia="zh-CN"/>
        </w:rPr>
        <w:t>（二）</w:t>
      </w:r>
      <w:r>
        <w:rPr>
          <w:rFonts w:hint="eastAsia" w:ascii="宋体" w:hAnsi="宋体" w:eastAsia="宋体" w:cs="宋体"/>
          <w:sz w:val="24"/>
          <w:szCs w:val="24"/>
        </w:rPr>
        <w:t>Oracle数据库运维</w:t>
      </w:r>
      <w:r>
        <w:rPr>
          <w:rFonts w:hint="eastAsia" w:ascii="宋体" w:hAnsi="宋体" w:eastAsia="宋体" w:cs="宋体"/>
          <w:sz w:val="24"/>
          <w:szCs w:val="24"/>
          <w:lang w:val="en-US" w:eastAsia="zh-CN"/>
        </w:rPr>
        <w:t>服务</w:t>
      </w:r>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 xml:space="preserve"> </w:t>
      </w:r>
      <w:r>
        <w:rPr>
          <w:rFonts w:hint="eastAsia" w:ascii="宋体" w:hAnsi="宋体" w:cs="宋体"/>
          <w:sz w:val="24"/>
          <w:szCs w:val="24"/>
          <w:lang w:eastAsia="zh-CN"/>
        </w:rPr>
        <w:t>通过专业的维保服务保持海南省财政核心业务系统Oracle数据库使用的持续性，降低系统故障率、提升数据库系统性能有效的提高运维工作效率。</w:t>
      </w:r>
      <w:r>
        <w:rPr>
          <w:rFonts w:hint="eastAsia" w:ascii="宋体" w:hAnsi="宋体" w:cs="宋体"/>
          <w:sz w:val="24"/>
          <w:szCs w:val="24"/>
          <w:lang w:val="en-US" w:eastAsia="zh-CN"/>
        </w:rPr>
        <w:t>服务内容如下</w:t>
      </w:r>
      <w:r>
        <w:rPr>
          <w:rFonts w:hint="eastAsia" w:ascii="宋体" w:hAnsi="宋体" w:cs="宋体"/>
          <w:sz w:val="24"/>
          <w:szCs w:val="24"/>
          <w:lang w:eastAsia="zh-CN"/>
        </w:rPr>
        <w:t>：</w:t>
      </w:r>
    </w:p>
    <w:tbl>
      <w:tblPr>
        <w:tblStyle w:val="28"/>
        <w:tblW w:w="92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28"/>
        <w:gridCol w:w="3011"/>
        <w:gridCol w:w="1021"/>
        <w:gridCol w:w="1958"/>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jc w:val="center"/>
        </w:trPr>
        <w:tc>
          <w:tcPr>
            <w:tcW w:w="853"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序号</w:t>
            </w:r>
          </w:p>
        </w:tc>
        <w:tc>
          <w:tcPr>
            <w:tcW w:w="1428"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服务名称</w:t>
            </w:r>
          </w:p>
        </w:tc>
        <w:tc>
          <w:tcPr>
            <w:tcW w:w="3011"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明细描述</w:t>
            </w:r>
          </w:p>
        </w:tc>
        <w:tc>
          <w:tcPr>
            <w:tcW w:w="1021"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数量</w:t>
            </w:r>
          </w:p>
        </w:tc>
        <w:tc>
          <w:tcPr>
            <w:tcW w:w="1958"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服务</w:t>
            </w:r>
            <w:r>
              <w:rPr>
                <w:rFonts w:hint="eastAsia" w:ascii="宋体" w:hAnsi="宋体" w:eastAsia="宋体" w:cs="宋体"/>
                <w:b/>
                <w:bCs w:val="0"/>
                <w:color w:val="000000"/>
                <w:kern w:val="0"/>
                <w:sz w:val="24"/>
                <w:szCs w:val="24"/>
                <w:lang w:eastAsia="zh-CN"/>
              </w:rPr>
              <w:t>说明</w:t>
            </w:r>
          </w:p>
        </w:tc>
        <w:tc>
          <w:tcPr>
            <w:tcW w:w="995" w:type="dxa"/>
            <w:vAlign w:val="center"/>
          </w:tcPr>
          <w:p>
            <w:pPr>
              <w:widowControl/>
              <w:spacing w:line="300" w:lineRule="exact"/>
              <w:jc w:val="center"/>
              <w:rPr>
                <w:rFonts w:hint="eastAsia" w:ascii="宋体" w:hAnsi="宋体" w:eastAsia="宋体" w:cs="宋体"/>
                <w:b/>
                <w:bCs w:val="0"/>
                <w:color w:val="000000"/>
                <w:kern w:val="0"/>
                <w:sz w:val="24"/>
                <w:szCs w:val="24"/>
              </w:rPr>
            </w:pPr>
            <w:r>
              <w:rPr>
                <w:rFonts w:hint="eastAsia" w:ascii="宋体" w:hAnsi="宋体" w:eastAsia="宋体" w:cs="宋体"/>
                <w:b/>
                <w:bCs w:val="0"/>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数据库远程维保服务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数据库运维包括：</w:t>
            </w:r>
            <w:r>
              <w:rPr>
                <w:rFonts w:hint="eastAsia" w:ascii="宋体" w:hAnsi="宋体" w:eastAsia="宋体" w:cs="宋体"/>
                <w:bCs/>
                <w:color w:val="000000"/>
                <w:kern w:val="0"/>
                <w:sz w:val="24"/>
                <w:szCs w:val="24"/>
              </w:rPr>
              <w:t xml:space="preserve">HIFASP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CCFASP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CNFASP </w:t>
            </w:r>
          </w:p>
          <w:p>
            <w:pPr>
              <w:widowControl/>
              <w:spacing w:before="19" w:line="300" w:lineRule="exact"/>
              <w:jc w:val="left"/>
              <w:rPr>
                <w:rFonts w:hint="eastAsia" w:ascii="宋体" w:hAnsi="宋体" w:eastAsia="宋体" w:cs="宋体"/>
                <w:bCs/>
                <w:color w:val="000000"/>
                <w:kern w:val="0"/>
                <w:sz w:val="24"/>
                <w:szCs w:val="24"/>
                <w:lang w:val="en-US" w:eastAsia="zh-CN"/>
              </w:rPr>
            </w:pP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OTFASP</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HIOTHER</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HIACCMIS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GFMIS </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val="en-US" w:eastAsia="zh-CN"/>
              </w:rPr>
              <w:t>7</w:t>
            </w:r>
            <w:r>
              <w:rPr>
                <w:rFonts w:hint="eastAsia" w:ascii="宋体" w:hAnsi="宋体" w:eastAsia="宋体" w:cs="宋体"/>
                <w:bCs/>
                <w:color w:val="000000"/>
                <w:kern w:val="0"/>
                <w:sz w:val="24"/>
                <w:szCs w:val="24"/>
              </w:rPr>
              <w:t>套</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提供7* 24小时不间断服务，不限次数电话、在线、远程接入服务。</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2</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数据库人天服务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高级</w:t>
            </w:r>
            <w:r>
              <w:rPr>
                <w:rFonts w:hint="eastAsia" w:ascii="宋体" w:hAnsi="宋体" w:eastAsia="宋体" w:cs="宋体"/>
                <w:bCs/>
                <w:color w:val="000000"/>
                <w:kern w:val="0"/>
                <w:sz w:val="24"/>
                <w:szCs w:val="24"/>
              </w:rPr>
              <w:t>工程师服务</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10天</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数据库高级技术现场支持人天服务</w:t>
            </w:r>
            <w:r>
              <w:rPr>
                <w:rFonts w:hint="eastAsia" w:ascii="宋体" w:hAnsi="宋体" w:eastAsia="宋体" w:cs="宋体"/>
                <w:bCs/>
                <w:color w:val="000000"/>
                <w:kern w:val="0"/>
                <w:sz w:val="24"/>
                <w:szCs w:val="24"/>
                <w:lang w:eastAsia="zh-CN"/>
              </w:rPr>
              <w:t>。</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7" w:hRule="atLeast"/>
          <w:jc w:val="center"/>
        </w:trPr>
        <w:tc>
          <w:tcPr>
            <w:tcW w:w="853" w:type="dxa"/>
            <w:vAlign w:val="center"/>
          </w:tcPr>
          <w:p>
            <w:pPr>
              <w:spacing w:before="19" w:line="56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3</w:t>
            </w:r>
          </w:p>
        </w:tc>
        <w:tc>
          <w:tcPr>
            <w:tcW w:w="142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数据库常规健康</w:t>
            </w:r>
            <w:r>
              <w:rPr>
                <w:rFonts w:hint="eastAsia" w:ascii="宋体" w:hAnsi="宋体" w:eastAsia="宋体" w:cs="宋体"/>
                <w:bCs/>
                <w:color w:val="000000"/>
                <w:kern w:val="0"/>
                <w:sz w:val="24"/>
                <w:szCs w:val="24"/>
                <w:lang w:eastAsia="zh-CN"/>
              </w:rPr>
              <w:t>巡检</w:t>
            </w:r>
            <w:r>
              <w:rPr>
                <w:rFonts w:hint="eastAsia" w:ascii="宋体" w:hAnsi="宋体" w:eastAsia="宋体" w:cs="宋体"/>
                <w:bCs/>
                <w:color w:val="000000"/>
                <w:kern w:val="0"/>
                <w:sz w:val="24"/>
                <w:szCs w:val="24"/>
              </w:rPr>
              <w:t>服务</w:t>
            </w:r>
          </w:p>
        </w:tc>
        <w:tc>
          <w:tcPr>
            <w:tcW w:w="3011"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HIFASP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CCFASP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CNFASP </w:t>
            </w:r>
          </w:p>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OTFASP</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HIOTHER</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HIACCMIS </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 xml:space="preserve">GFMIS </w:t>
            </w:r>
          </w:p>
        </w:tc>
        <w:tc>
          <w:tcPr>
            <w:tcW w:w="1021" w:type="dxa"/>
            <w:vAlign w:val="center"/>
          </w:tcPr>
          <w:p>
            <w:pPr>
              <w:widowControl/>
              <w:spacing w:before="19"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1次*</w:t>
            </w:r>
            <w:r>
              <w:rPr>
                <w:rFonts w:hint="eastAsia" w:ascii="宋体" w:hAnsi="宋体" w:eastAsia="宋体" w:cs="宋体"/>
                <w:bCs/>
                <w:color w:val="000000"/>
                <w:kern w:val="0"/>
                <w:sz w:val="24"/>
                <w:szCs w:val="24"/>
                <w:lang w:val="en-US" w:eastAsia="zh-CN"/>
              </w:rPr>
              <w:t>7</w:t>
            </w:r>
            <w:r>
              <w:rPr>
                <w:rFonts w:hint="eastAsia" w:ascii="宋体" w:hAnsi="宋体" w:eastAsia="宋体" w:cs="宋体"/>
                <w:bCs/>
                <w:color w:val="000000"/>
                <w:kern w:val="0"/>
                <w:sz w:val="24"/>
                <w:szCs w:val="24"/>
              </w:rPr>
              <w:t>套/半年</w:t>
            </w:r>
          </w:p>
        </w:tc>
        <w:tc>
          <w:tcPr>
            <w:tcW w:w="1958" w:type="dxa"/>
            <w:vAlign w:val="center"/>
          </w:tcPr>
          <w:p>
            <w:pPr>
              <w:widowControl/>
              <w:spacing w:before="19" w:line="300" w:lineRule="exact"/>
              <w:jc w:val="left"/>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项目范围内的数据库常规巡检，协助分析峰值原因并提供解决方案 </w:t>
            </w:r>
            <w:r>
              <w:rPr>
                <w:rFonts w:hint="eastAsia" w:ascii="宋体" w:hAnsi="宋体" w:eastAsia="宋体" w:cs="宋体"/>
                <w:bCs/>
                <w:color w:val="000000"/>
                <w:kern w:val="0"/>
                <w:sz w:val="24"/>
                <w:szCs w:val="24"/>
                <w:lang w:eastAsia="zh-CN"/>
              </w:rPr>
              <w:t>。</w:t>
            </w:r>
          </w:p>
        </w:tc>
        <w:tc>
          <w:tcPr>
            <w:tcW w:w="995" w:type="dxa"/>
            <w:vAlign w:val="center"/>
          </w:tcPr>
          <w:p>
            <w:pPr>
              <w:spacing w:before="19" w:line="560" w:lineRule="exact"/>
              <w:jc w:val="left"/>
              <w:rPr>
                <w:rFonts w:ascii="仿宋_GB2312" w:hAnsi="仿宋_GB2312" w:eastAsia="仿宋_GB2312" w:cs="仿宋_GB2312"/>
                <w:bCs/>
                <w:color w:val="000000"/>
                <w:kern w:val="0"/>
                <w:sz w:val="24"/>
                <w:szCs w:val="24"/>
              </w:rPr>
            </w:pPr>
          </w:p>
        </w:tc>
      </w:tr>
    </w:tbl>
    <w:p>
      <w:pPr>
        <w:spacing w:line="360" w:lineRule="auto"/>
        <w:ind w:firstLine="0" w:firstLineChars="0"/>
        <w:rPr>
          <w:rFonts w:hint="eastAsia" w:ascii="宋体" w:hAnsi="宋体" w:cs="宋体"/>
          <w:sz w:val="24"/>
          <w:szCs w:val="24"/>
          <w:lang w:val="en-US" w:eastAsia="zh-CN"/>
        </w:rPr>
      </w:pP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三、服务方式</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现场服务、远程服务、电话及在线服务等方式。</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四、服务时间</w:t>
      </w:r>
    </w:p>
    <w:p>
      <w:pPr>
        <w:widowControl/>
        <w:spacing w:line="460" w:lineRule="exact"/>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w:t>
      </w:r>
      <w:r>
        <w:rPr>
          <w:rFonts w:hint="eastAsia" w:ascii="宋体" w:hAnsi="宋体" w:eastAsia="宋体" w:cs="宋体"/>
          <w:kern w:val="2"/>
          <w:sz w:val="24"/>
          <w:szCs w:val="24"/>
          <w:lang w:val="en-US" w:eastAsia="zh-CN"/>
        </w:rPr>
        <w:t>时间为2025年12月1日至2026年11月30日。</w:t>
      </w:r>
    </w:p>
    <w:p>
      <w:pPr>
        <w:spacing w:line="46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五、服务要求</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1.供应商要求</w:t>
      </w:r>
    </w:p>
    <w:p>
      <w:pPr>
        <w:spacing w:line="460" w:lineRule="exact"/>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（1）供应商需具有履行本项目合同的数据库管理平台使用相关技术和经验。</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（2）供应商需具有一定的软件研发（或者升级改造）能力，具有与本项目同类系统或者平台相关的软件著作权登记证书。</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2.服务团队人员要求</w:t>
      </w:r>
    </w:p>
    <w:p>
      <w:pPr>
        <w:spacing w:line="460" w:lineRule="exact"/>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★应当具有与项目合同履行相关的技术服务经验，熟悉数据库管理平台，出现平台问题能及时解决。</w:t>
      </w:r>
      <w:r>
        <w:rPr>
          <w:rFonts w:hint="eastAsia" w:ascii="宋体" w:hAnsi="宋体" w:eastAsia="宋体" w:cs="宋体"/>
          <w:b/>
          <w:bCs/>
          <w:sz w:val="24"/>
          <w:szCs w:val="24"/>
          <w:lang w:val="en-US" w:eastAsia="zh-CN"/>
        </w:rPr>
        <w:t>（响应文件中需提供承诺函（承诺函格式自拟）加盖供应商公章）</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3.服务响应要求</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供应商需确保管理平台技术服务人员的在职情况不影响服务质量，不得以服务人员离职、休假等原因延迟或不提供服务。如有情况需提前与采购人协商，并提供具有可行性的解决方案，不得影响采购人正常开展工作。</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（2）在接到采购人提出的重大故障报障后，远程无法解决，2小时内由供应商应安排技术人员到达现场处理。</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（3）日常工作时间外的突发性事件供应商需在接到报障起1小时内响应，2小时内安排技术人员上门处理。</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1.本项目供应商应当充分了解项目需求，并根据项目需求提供对用户需求的理解与建议、项目服务方案、项目质量保证方案等。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2.若成交供应商未能满足上述要求，采购人有权拒绝接受所提供的服务，并有权单方终止服务合同，由此产生的一切责任及费用由成交供应商承担。 </w:t>
      </w:r>
    </w:p>
    <w:p>
      <w:pPr>
        <w:spacing w:line="4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3.本项目包括但不限于上述要求，如国家、省、行业具备相关标准、技术规范及要求，则按其执行。    </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六、费用支付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spacing w:line="460" w:lineRule="exact"/>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七</w:t>
      </w:r>
      <w:r>
        <w:rPr>
          <w:rFonts w:hint="eastAsia" w:ascii="宋体" w:hAnsi="宋体" w:eastAsia="宋体" w:cs="宋体"/>
          <w:b/>
          <w:bCs/>
          <w:sz w:val="24"/>
          <w:szCs w:val="24"/>
          <w:lang w:val="en-US" w:eastAsia="zh-CN"/>
        </w:rPr>
        <w:t>、服务验收</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供应商向采购方提供的平台使用服务报告，内容包括：服务工作总结、服务工作记录表、服务报告确认单等。</w:t>
      </w: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spacing w:line="460" w:lineRule="exact"/>
        <w:rPr>
          <w:rFonts w:hint="eastAsia" w:ascii="宋体" w:hAnsi="宋体" w:eastAsia="宋体" w:cs="宋体"/>
          <w:sz w:val="24"/>
          <w:szCs w:val="24"/>
          <w:lang w:val="en-US" w:eastAsia="zh-CN"/>
        </w:rPr>
      </w:pPr>
    </w:p>
    <w:p>
      <w:pPr>
        <w:pStyle w:val="2"/>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第11包：存储系统设备和小型机运维服务用户需求书</w:t>
      </w:r>
    </w:p>
    <w:p>
      <w:pPr>
        <w:widowControl w:val="0"/>
        <w:wordWrap/>
        <w:adjustRightInd/>
        <w:snapToGrid/>
        <w:spacing w:line="360" w:lineRule="auto"/>
        <w:ind w:firstLine="0" w:firstLineChars="0"/>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一、</w:t>
      </w:r>
      <w:r>
        <w:rPr>
          <w:rFonts w:hint="eastAsia" w:ascii="宋体" w:hAnsi="宋体" w:eastAsia="宋体" w:cs="宋体"/>
          <w:b/>
          <w:bCs/>
          <w:sz w:val="24"/>
          <w:szCs w:val="24"/>
          <w:lang w:val="en-US" w:eastAsia="zh-CN"/>
        </w:rPr>
        <w:t>项目概况</w:t>
      </w:r>
    </w:p>
    <w:p>
      <w:pPr>
        <w:widowControl w:val="0"/>
        <w:wordWrap/>
        <w:adjustRightInd/>
        <w:snapToGrid/>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项目名称：海南省财政厅2025年信息系统运行维护政府采购项目</w:t>
      </w:r>
      <w:r>
        <w:rPr>
          <w:rFonts w:hint="eastAsia" w:ascii="宋体" w:hAnsi="宋体" w:cs="宋体"/>
          <w:sz w:val="24"/>
          <w:lang w:val="en-US" w:eastAsia="zh-CN"/>
        </w:rPr>
        <w:t>（第11包）-存储系统设备和小型机运维</w:t>
      </w:r>
      <w:r>
        <w:rPr>
          <w:rFonts w:hint="eastAsia" w:ascii="宋体" w:hAnsi="宋体" w:eastAsia="宋体" w:cs="宋体"/>
          <w:sz w:val="24"/>
          <w:szCs w:val="24"/>
          <w:lang w:val="en-US" w:eastAsia="zh-CN"/>
        </w:rPr>
        <w:t>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项目单位：海南省财政科技服务中心；</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采购预算29.6204万元</w:t>
      </w:r>
      <w:r>
        <w:rPr>
          <w:rFonts w:hint="eastAsia" w:ascii="宋体" w:hAnsi="宋体" w:cs="宋体"/>
          <w:sz w:val="24"/>
          <w:szCs w:val="24"/>
          <w:lang w:val="en-US" w:eastAsia="zh-CN"/>
        </w:rPr>
        <w:t>。</w:t>
      </w:r>
    </w:p>
    <w:p>
      <w:pPr>
        <w:widowControl w:val="0"/>
        <w:wordWrap/>
        <w:adjustRightInd/>
        <w:snapToGrid/>
        <w:spacing w:line="360" w:lineRule="auto"/>
        <w:ind w:firstLine="0" w:firstLineChars="0"/>
        <w:textAlignment w:val="auto"/>
        <w:rPr>
          <w:rFonts w:hint="eastAsia" w:ascii="宋体" w:hAnsi="宋体" w:eastAsia="宋体" w:cs="宋体"/>
          <w:b/>
          <w:bCs/>
          <w:i w:val="0"/>
          <w:iCs w:val="0"/>
          <w:sz w:val="24"/>
          <w:szCs w:val="24"/>
          <w:lang w:val="en-US" w:eastAsia="zh-CN"/>
        </w:rPr>
      </w:pPr>
      <w:r>
        <w:rPr>
          <w:rFonts w:hint="eastAsia" w:ascii="宋体" w:hAnsi="宋体" w:cs="宋体"/>
          <w:b/>
          <w:bCs/>
          <w:i w:val="0"/>
          <w:iCs w:val="0"/>
          <w:sz w:val="24"/>
          <w:szCs w:val="24"/>
          <w:lang w:val="en-US" w:eastAsia="zh-CN"/>
        </w:rPr>
        <w:t>二、</w:t>
      </w:r>
      <w:r>
        <w:rPr>
          <w:rFonts w:hint="eastAsia" w:ascii="宋体" w:hAnsi="宋体" w:eastAsia="宋体" w:cs="宋体"/>
          <w:b/>
          <w:bCs/>
          <w:i w:val="0"/>
          <w:iCs w:val="0"/>
          <w:sz w:val="24"/>
          <w:szCs w:val="24"/>
          <w:lang w:eastAsia="zh-CN"/>
        </w:rPr>
        <w:t>服务</w:t>
      </w:r>
      <w:r>
        <w:rPr>
          <w:rFonts w:hint="eastAsia" w:ascii="宋体" w:hAnsi="宋体" w:eastAsia="宋体" w:cs="宋体"/>
          <w:b/>
          <w:bCs/>
          <w:i w:val="0"/>
          <w:iCs w:val="0"/>
          <w:sz w:val="24"/>
          <w:szCs w:val="24"/>
          <w:lang w:val="en-US" w:eastAsia="zh-CN"/>
        </w:rPr>
        <w:t>内容</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（一）</w:t>
      </w:r>
      <w:r>
        <w:rPr>
          <w:rFonts w:hint="eastAsia" w:ascii="宋体" w:hAnsi="宋体" w:eastAsia="宋体" w:cs="宋体"/>
          <w:sz w:val="24"/>
          <w:szCs w:val="24"/>
          <w:lang w:val="en-US" w:eastAsia="zh-CN"/>
        </w:rPr>
        <w:t>存储系统维保服务。具体情况如下：</w:t>
      </w:r>
    </w:p>
    <w:tbl>
      <w:tblPr>
        <w:tblStyle w:val="28"/>
        <w:tblW w:w="96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9"/>
        <w:gridCol w:w="1185"/>
        <w:gridCol w:w="1299"/>
        <w:gridCol w:w="750"/>
        <w:gridCol w:w="5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8" w:hRule="atLeast"/>
        </w:trPr>
        <w:tc>
          <w:tcPr>
            <w:tcW w:w="75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序号</w:t>
            </w:r>
          </w:p>
        </w:tc>
        <w:tc>
          <w:tcPr>
            <w:tcW w:w="1185"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产品名称</w:t>
            </w:r>
          </w:p>
        </w:tc>
        <w:tc>
          <w:tcPr>
            <w:tcW w:w="129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品牌型号</w:t>
            </w:r>
          </w:p>
        </w:tc>
        <w:tc>
          <w:tcPr>
            <w:tcW w:w="750"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数量</w:t>
            </w:r>
          </w:p>
        </w:tc>
        <w:tc>
          <w:tcPr>
            <w:tcW w:w="5676"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配置及服务描述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53" w:hRule="atLeast"/>
        </w:trPr>
        <w:tc>
          <w:tcPr>
            <w:tcW w:w="75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11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企业级高端存储</w:t>
            </w:r>
          </w:p>
        </w:tc>
        <w:tc>
          <w:tcPr>
            <w:tcW w:w="129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HDS VSP</w:t>
            </w:r>
          </w:p>
        </w:tc>
        <w:tc>
          <w:tcPr>
            <w:tcW w:w="7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5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两块MPB板卡、94块900GB SAS10K硬盘、33块1.2TB SAS10K 硬盘等，设备性能检测，运行状况观察、测试和分析；设备维护，故障处理及修复；设备防静电除尘；运行日志填写；配件支持；季度巡检等。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trPr>
        <w:tc>
          <w:tcPr>
            <w:tcW w:w="75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11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SAN光纤交换机</w:t>
            </w:r>
          </w:p>
        </w:tc>
        <w:tc>
          <w:tcPr>
            <w:tcW w:w="1299"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brocade 6510</w:t>
            </w:r>
          </w:p>
        </w:tc>
        <w:tc>
          <w:tcPr>
            <w:tcW w:w="7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5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设备性能检测，运行状况观察、测试和分析；设备维护，故障处理及修复；设备防静电除尘；运行日志填写；配件支持；季度巡检等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980" w:hRule="atLeast"/>
        </w:trPr>
        <w:tc>
          <w:tcPr>
            <w:tcW w:w="75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3</w:t>
            </w:r>
          </w:p>
        </w:tc>
        <w:tc>
          <w:tcPr>
            <w:tcW w:w="1185"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CDP设备</w:t>
            </w:r>
          </w:p>
        </w:tc>
        <w:tc>
          <w:tcPr>
            <w:tcW w:w="1299"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powervault MD1220</w:t>
            </w:r>
          </w:p>
        </w:tc>
        <w:tc>
          <w:tcPr>
            <w:tcW w:w="750"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5676" w:type="dxa"/>
            <w:tcBorders>
              <w:top w:val="single" w:color="000000" w:sz="8" w:space="0"/>
              <w:left w:val="single" w:color="000000" w:sz="8" w:space="0"/>
              <w:bottom w:val="single" w:color="000000" w:sz="8" w:space="0"/>
              <w:right w:val="single" w:color="000000" w:sz="8" w:space="0"/>
            </w:tcBorders>
            <w:vAlign w:val="center"/>
          </w:tcPr>
          <w:p>
            <w:pPr>
              <w:spacing w:before="0" w:beforeAutospacing="0" w:after="0" w:afterAutospacing="0"/>
              <w:ind w:left="0" w:right="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飞康CDP机头：2U FalconStor飞康GA700 CDP机头一个，两路Intel Xeon E5-2620@2GH处理器，32GB内存，两块500GB近线SAS磁盘，4个千兆以太网口，两块8Gb双口光纤卡，一块双口6GbSAS卡；FalconStor Software持续数据保护软件7.8 (Build 7832），40TB扩展容量许可。</w:t>
            </w:r>
          </w:p>
          <w:p>
            <w:pPr>
              <w:spacing w:before="0" w:beforeAutospacing="0" w:after="0" w:afterAutospacing="0"/>
              <w:ind w:left="0" w:right="0"/>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飞康CDP扩展柜：2U MD1220扩展柜4个，每控制柜含双电源双控制器，每控制柜前置24块2.5英寸1.2TB 10K转近线SAS盘。</w:t>
            </w:r>
          </w:p>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硬件设备维保，系统运行监测、资源逻辑分配、性能调优、排查系统错误隐患、持续优化建议、季度巡检等</w:t>
            </w:r>
          </w:p>
        </w:tc>
      </w:tr>
    </w:tbl>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小型机维保服务</w:t>
      </w:r>
      <w:r>
        <w:rPr>
          <w:rFonts w:hint="eastAsia" w:ascii="宋体" w:hAnsi="宋体" w:eastAsia="宋体" w:cs="宋体"/>
          <w:sz w:val="24"/>
          <w:szCs w:val="24"/>
        </w:rPr>
        <w:t>。</w:t>
      </w:r>
      <w:r>
        <w:rPr>
          <w:rFonts w:hint="eastAsia" w:ascii="宋体" w:hAnsi="宋体" w:eastAsia="宋体" w:cs="宋体"/>
          <w:sz w:val="24"/>
          <w:szCs w:val="24"/>
          <w:lang w:val="en-US" w:eastAsia="zh-CN"/>
        </w:rPr>
        <w:t>具体情况如下：</w:t>
      </w:r>
    </w:p>
    <w:tbl>
      <w:tblPr>
        <w:tblStyle w:val="28"/>
        <w:tblW w:w="9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68"/>
        <w:gridCol w:w="1260"/>
        <w:gridCol w:w="1245"/>
        <w:gridCol w:w="765"/>
        <w:gridCol w:w="5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jc w:val="center"/>
        </w:trPr>
        <w:tc>
          <w:tcPr>
            <w:tcW w:w="768"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eastAsia="zh-CN"/>
              </w:rPr>
              <w:t>序号</w:t>
            </w:r>
          </w:p>
        </w:tc>
        <w:tc>
          <w:tcPr>
            <w:tcW w:w="1260"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产品名称</w:t>
            </w:r>
          </w:p>
        </w:tc>
        <w:tc>
          <w:tcPr>
            <w:tcW w:w="124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品牌型号</w:t>
            </w:r>
          </w:p>
        </w:tc>
        <w:tc>
          <w:tcPr>
            <w:tcW w:w="76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eastAsia="zh-CN"/>
              </w:rPr>
              <w:t>数量</w:t>
            </w:r>
          </w:p>
        </w:tc>
        <w:tc>
          <w:tcPr>
            <w:tcW w:w="5762"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配置及服务描述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68"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1260"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IBM</w:t>
            </w:r>
            <w:r>
              <w:rPr>
                <w:rFonts w:hint="eastAsia" w:ascii="宋体" w:hAnsi="宋体" w:eastAsia="宋体" w:cs="宋体"/>
                <w:kern w:val="2"/>
                <w:sz w:val="24"/>
                <w:szCs w:val="24"/>
                <w:lang w:eastAsia="zh-CN"/>
              </w:rPr>
              <w:t>小型机</w:t>
            </w:r>
          </w:p>
        </w:tc>
        <w:tc>
          <w:tcPr>
            <w:tcW w:w="124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IBM P7709117-MMB</w:t>
            </w:r>
          </w:p>
        </w:tc>
        <w:tc>
          <w:tcPr>
            <w:tcW w:w="765" w:type="dxa"/>
            <w:shd w:val="clear" w:color="auto" w:fill="FFFFFF"/>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5762" w:type="dxa"/>
            <w:shd w:val="clear" w:color="auto" w:fill="FFFFFF"/>
            <w:vAlign w:val="center"/>
          </w:tcPr>
          <w:p>
            <w:pPr>
              <w:spacing w:before="0" w:beforeAutospacing="0" w:after="0" w:afterAutospacing="0"/>
              <w:ind w:left="0" w:right="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 xml:space="preserve">CPU </w:t>
            </w:r>
            <w:r>
              <w:rPr>
                <w:rFonts w:hint="eastAsia" w:ascii="宋体" w:hAnsi="宋体" w:eastAsia="宋体" w:cs="宋体"/>
                <w:kern w:val="2"/>
                <w:sz w:val="24"/>
                <w:szCs w:val="24"/>
              </w:rPr>
              <w:t>3.1GHz主频，128核、1536GB DDR3内存、3T 15000转 SAS接口硬盘、2个SAS 控制器、16个1725 W热插拔冗余电源、8个双口千兆网卡、8个双口8G光纤通道卡、48个PCIe 插槽</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设备性能检测，运行状况观察、测试和分析；设备维护，故障处理及修复；设备防静电除尘；运行日志填写；配件支持；季度巡检等。</w:t>
            </w:r>
          </w:p>
        </w:tc>
      </w:tr>
    </w:tbl>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技术支持与维保服务的范围包括</w:t>
      </w:r>
      <w:r>
        <w:rPr>
          <w:rFonts w:hint="eastAsia" w:ascii="宋体" w:hAnsi="宋体" w:eastAsia="宋体" w:cs="宋体"/>
          <w:sz w:val="24"/>
          <w:szCs w:val="24"/>
          <w:lang w:eastAsia="zh-CN"/>
        </w:rPr>
        <w:t>以上</w:t>
      </w:r>
      <w:r>
        <w:rPr>
          <w:rFonts w:hint="eastAsia" w:ascii="宋体" w:hAnsi="宋体" w:eastAsia="宋体" w:cs="宋体"/>
          <w:sz w:val="24"/>
          <w:szCs w:val="24"/>
        </w:rPr>
        <w:t>设备所涉及的所有软、硬件产品。</w:t>
      </w:r>
      <w:r>
        <w:rPr>
          <w:rFonts w:hint="eastAsia" w:ascii="宋体" w:hAnsi="宋体" w:eastAsia="宋体" w:cs="宋体"/>
          <w:sz w:val="24"/>
          <w:szCs w:val="24"/>
          <w:lang w:eastAsia="zh-CN"/>
        </w:rPr>
        <w:t>以上设备（</w:t>
      </w:r>
      <w:r>
        <w:rPr>
          <w:rFonts w:hint="eastAsia" w:ascii="宋体" w:hAnsi="宋体" w:eastAsia="宋体" w:cs="宋体"/>
          <w:sz w:val="24"/>
          <w:szCs w:val="24"/>
          <w:lang w:val="en-US" w:eastAsia="zh-CN"/>
        </w:rPr>
        <w:t>含</w:t>
      </w:r>
      <w:r>
        <w:rPr>
          <w:rFonts w:hint="eastAsia" w:ascii="宋体" w:hAnsi="宋体" w:eastAsia="宋体" w:cs="宋体"/>
          <w:sz w:val="24"/>
          <w:szCs w:val="24"/>
        </w:rPr>
        <w:t>所有附带设备</w:t>
      </w:r>
      <w:r>
        <w:rPr>
          <w:rFonts w:hint="eastAsia" w:ascii="宋体" w:hAnsi="宋体" w:eastAsia="宋体" w:cs="宋体"/>
          <w:sz w:val="24"/>
          <w:szCs w:val="24"/>
          <w:lang w:eastAsia="zh-CN"/>
        </w:rPr>
        <w:t>）及配套软件</w:t>
      </w:r>
      <w:r>
        <w:rPr>
          <w:rFonts w:hint="eastAsia" w:ascii="宋体" w:hAnsi="宋体" w:eastAsia="宋体" w:cs="宋体"/>
          <w:sz w:val="24"/>
          <w:szCs w:val="24"/>
        </w:rPr>
        <w:t>均包含在此次</w:t>
      </w:r>
      <w:r>
        <w:rPr>
          <w:rFonts w:hint="eastAsia" w:ascii="宋体" w:hAnsi="宋体" w:eastAsia="宋体" w:cs="宋体"/>
          <w:sz w:val="24"/>
          <w:szCs w:val="24"/>
          <w:lang w:val="en-US" w:eastAsia="zh-CN"/>
        </w:rPr>
        <w:t>维</w:t>
      </w:r>
      <w:r>
        <w:rPr>
          <w:rFonts w:hint="eastAsia" w:ascii="宋体" w:hAnsi="宋体" w:eastAsia="宋体" w:cs="宋体"/>
          <w:sz w:val="24"/>
          <w:szCs w:val="24"/>
        </w:rPr>
        <w:t>保范围之内</w:t>
      </w:r>
      <w:r>
        <w:rPr>
          <w:rFonts w:hint="eastAsia" w:ascii="宋体" w:hAnsi="宋体" w:eastAsia="宋体" w:cs="宋体"/>
          <w:sz w:val="24"/>
          <w:szCs w:val="24"/>
          <w:lang w:eastAsia="zh-CN"/>
        </w:rPr>
        <w:t>。</w:t>
      </w:r>
      <w:r>
        <w:rPr>
          <w:rFonts w:hint="eastAsia" w:ascii="宋体" w:hAnsi="宋体" w:eastAsia="宋体" w:cs="宋体"/>
          <w:sz w:val="24"/>
          <w:szCs w:val="24"/>
        </w:rPr>
        <w:t>在设备机型、批次与数量准确的情况下，序列号以现场实物为准。投标人须充分考虑其服务风险和成本，服务期内，为采购人提供上述设备</w:t>
      </w:r>
      <w:r>
        <w:rPr>
          <w:rFonts w:hint="eastAsia" w:ascii="宋体" w:hAnsi="宋体" w:eastAsia="宋体" w:cs="宋体"/>
          <w:sz w:val="24"/>
          <w:szCs w:val="24"/>
          <w:lang w:val="en-US" w:eastAsia="zh-CN"/>
        </w:rPr>
        <w:t>及配套基础软件</w:t>
      </w:r>
      <w:r>
        <w:rPr>
          <w:rFonts w:hint="eastAsia" w:ascii="宋体" w:hAnsi="宋体" w:eastAsia="宋体" w:cs="宋体"/>
          <w:sz w:val="24"/>
          <w:szCs w:val="24"/>
        </w:rPr>
        <w:t>的维保服务，采购人不再额外支付费用。</w:t>
      </w:r>
      <w:r>
        <w:rPr>
          <w:rFonts w:hint="eastAsia" w:ascii="宋体" w:hAnsi="宋体" w:eastAsia="宋体" w:cs="宋体"/>
          <w:sz w:val="24"/>
          <w:szCs w:val="24"/>
          <w:lang w:val="en-US" w:eastAsia="zh-CN"/>
        </w:rPr>
        <w:t>具体服务内容如下：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为设备建立档案信息库（设备信息、资源使用情况、备份情况），并及时更新。每个设备的档案信息至少包括以下项目：配置项编号、分区名称、序列号、操作系统版本、IP地址、CPU 、内存、磁盘空间、存储空间、业务系统、分区类型、网卡数量、HBA卡数量等；设备资源使用情况表至少包括以下项目：</w:t>
      </w:r>
      <w:r>
        <w:rPr>
          <w:rFonts w:hint="eastAsia" w:ascii="宋体" w:hAnsi="宋体" w:eastAsia="宋体" w:cs="宋体"/>
          <w:sz w:val="24"/>
          <w:szCs w:val="24"/>
          <w:lang w:eastAsia="zh-CN"/>
        </w:rPr>
        <w:t>设备</w:t>
      </w:r>
      <w:r>
        <w:rPr>
          <w:rFonts w:hint="eastAsia" w:ascii="宋体" w:hAnsi="宋体" w:eastAsia="宋体" w:cs="宋体"/>
          <w:sz w:val="24"/>
          <w:szCs w:val="24"/>
        </w:rPr>
        <w:t>名称、最大分区数、已创建分区数、已分配CPU、已分配内存、未分配CPU、未分配内存、已分配板卡、未分配板卡等。</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期内每季度应至少进行1次设备现场巡检。通过巡检及时发现设备运行中出现的隐患，减少设备发生故障的概率，保证设备的稳定运行。由设备原厂商进行的设备巡检应出具原厂商提供的巡检报告或服务证明文件。按照原厂商设备维护手册、行业经验和采购人要求结合实际制定每一服务年度的巡检工作计划。巡检内容包括检查设备软硬件配置和运行情况、系统日志和错误日志，并对日志等信息进行分析、查找现存和潜在软硬件风险并进行处理等，同时根据采购人要求进行设备配置信息和操作系统级系统备份。</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提供</w:t>
      </w:r>
      <w:r>
        <w:rPr>
          <w:rFonts w:hint="eastAsia" w:ascii="宋体" w:hAnsi="宋体" w:eastAsia="宋体" w:cs="宋体"/>
          <w:sz w:val="24"/>
          <w:szCs w:val="24"/>
          <w:lang w:val="en-US" w:eastAsia="zh-CN"/>
        </w:rPr>
        <w:t>上述</w:t>
      </w:r>
      <w:r>
        <w:rPr>
          <w:rFonts w:hint="eastAsia" w:ascii="宋体" w:hAnsi="宋体" w:eastAsia="宋体" w:cs="宋体"/>
          <w:sz w:val="24"/>
          <w:szCs w:val="24"/>
        </w:rPr>
        <w:t>软硬件相关变更服务：包括参数配置变更、版本升级、安全加固、性能优化服务，部署、恢复、迁移操作系统</w:t>
      </w:r>
      <w:r>
        <w:rPr>
          <w:rFonts w:hint="eastAsia" w:ascii="宋体" w:hAnsi="宋体" w:eastAsia="宋体" w:cs="宋体"/>
          <w:sz w:val="24"/>
          <w:szCs w:val="24"/>
          <w:lang w:eastAsia="zh-CN"/>
        </w:rPr>
        <w:t>，</w:t>
      </w:r>
      <w:r>
        <w:rPr>
          <w:rFonts w:hint="eastAsia" w:ascii="宋体" w:hAnsi="宋体" w:eastAsia="宋体" w:cs="宋体"/>
          <w:sz w:val="24"/>
          <w:szCs w:val="24"/>
        </w:rPr>
        <w:t>整合操作系统和虚拟化软件等服务。提供系统平台变更时，如机房场地、供电系统、主机、网络、存储、系统软件等变更时，所要求的与本次招标涉及软硬件设备相关的支持服务。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服务期内应结合</w:t>
      </w:r>
      <w:r>
        <w:rPr>
          <w:rFonts w:hint="eastAsia" w:ascii="宋体" w:hAnsi="宋体" w:eastAsia="宋体" w:cs="宋体"/>
          <w:sz w:val="24"/>
          <w:szCs w:val="24"/>
          <w:lang w:eastAsia="zh-CN"/>
        </w:rPr>
        <w:t>采购人</w:t>
      </w:r>
      <w:r>
        <w:rPr>
          <w:rFonts w:hint="eastAsia" w:ascii="宋体" w:hAnsi="宋体" w:eastAsia="宋体" w:cs="宋体"/>
          <w:sz w:val="24"/>
          <w:szCs w:val="24"/>
        </w:rPr>
        <w:t>提供的设备日常运行数据每年提供</w:t>
      </w:r>
      <w:r>
        <w:rPr>
          <w:rFonts w:hint="eastAsia" w:ascii="宋体" w:hAnsi="宋体" w:eastAsia="宋体" w:cs="宋体"/>
          <w:sz w:val="24"/>
          <w:szCs w:val="24"/>
          <w:lang w:val="en-US" w:eastAsia="zh-CN"/>
        </w:rPr>
        <w:t>不少于</w:t>
      </w:r>
      <w:r>
        <w:rPr>
          <w:rFonts w:hint="eastAsia" w:ascii="宋体" w:hAnsi="宋体" w:eastAsia="宋体" w:cs="宋体"/>
          <w:sz w:val="24"/>
          <w:szCs w:val="24"/>
        </w:rPr>
        <w:t>一次现场的系统性能分析、优化和趋势分析服务，并对存在的系统风险提供合理的解决方案，并提供设备性能分析报告和趋势分析报告，针对设备的CPU</w:t>
      </w:r>
      <w:r>
        <w:rPr>
          <w:rFonts w:hint="eastAsia" w:ascii="宋体" w:hAnsi="宋体" w:eastAsia="宋体" w:cs="宋体"/>
          <w:sz w:val="24"/>
          <w:szCs w:val="24"/>
          <w:lang w:eastAsia="zh-CN"/>
        </w:rPr>
        <w:t>、</w:t>
      </w:r>
      <w:r>
        <w:rPr>
          <w:rFonts w:hint="eastAsia" w:ascii="宋体" w:hAnsi="宋体" w:eastAsia="宋体" w:cs="宋体"/>
          <w:sz w:val="24"/>
          <w:szCs w:val="24"/>
        </w:rPr>
        <w:t>内存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IO读写</w:t>
      </w:r>
      <w:r>
        <w:rPr>
          <w:rFonts w:hint="eastAsia" w:ascii="宋体" w:hAnsi="宋体" w:eastAsia="宋体" w:cs="宋体"/>
          <w:sz w:val="24"/>
          <w:szCs w:val="24"/>
        </w:rPr>
        <w:t>等关键性能指标进行分析，重点分析CPU</w:t>
      </w:r>
      <w:r>
        <w:rPr>
          <w:rFonts w:hint="eastAsia" w:ascii="宋体" w:hAnsi="宋体" w:eastAsia="宋体" w:cs="宋体"/>
          <w:sz w:val="24"/>
          <w:szCs w:val="24"/>
          <w:lang w:eastAsia="zh-CN"/>
        </w:rPr>
        <w:t>、</w:t>
      </w:r>
      <w:r>
        <w:rPr>
          <w:rFonts w:hint="eastAsia" w:ascii="宋体" w:hAnsi="宋体" w:eastAsia="宋体" w:cs="宋体"/>
          <w:sz w:val="24"/>
          <w:szCs w:val="24"/>
        </w:rPr>
        <w:t>内存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IO读写</w:t>
      </w:r>
      <w:r>
        <w:rPr>
          <w:rFonts w:hint="eastAsia" w:ascii="宋体" w:hAnsi="宋体" w:eastAsia="宋体" w:cs="宋体"/>
          <w:sz w:val="24"/>
          <w:szCs w:val="24"/>
        </w:rPr>
        <w:t>的峰值、峰值出现的时间点以及峰值出现的频度，进而判断其性能是否存在瓶颈</w:t>
      </w:r>
      <w:r>
        <w:rPr>
          <w:rFonts w:hint="eastAsia" w:ascii="宋体" w:hAnsi="宋体" w:eastAsia="宋体" w:cs="宋体"/>
          <w:sz w:val="24"/>
          <w:szCs w:val="24"/>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5.其他服务。</w:t>
      </w:r>
      <w:r>
        <w:rPr>
          <w:rFonts w:hint="eastAsia" w:ascii="宋体" w:hAnsi="宋体" w:eastAsia="宋体" w:cs="宋体"/>
          <w:sz w:val="24"/>
          <w:szCs w:val="24"/>
        </w:rPr>
        <w:t>提供</w:t>
      </w:r>
      <w:r>
        <w:rPr>
          <w:rFonts w:hint="eastAsia" w:ascii="宋体" w:hAnsi="宋体" w:eastAsia="宋体" w:cs="宋体"/>
          <w:sz w:val="24"/>
          <w:szCs w:val="24"/>
          <w:lang w:eastAsia="zh-CN"/>
        </w:rPr>
        <w:t>设备</w:t>
      </w:r>
      <w:r>
        <w:rPr>
          <w:rFonts w:hint="eastAsia" w:ascii="宋体" w:hAnsi="宋体" w:eastAsia="宋体" w:cs="宋体"/>
          <w:sz w:val="24"/>
          <w:szCs w:val="24"/>
          <w:lang w:val="en-US" w:eastAsia="zh-CN"/>
        </w:rPr>
        <w:t>所部署</w:t>
      </w:r>
      <w:r>
        <w:rPr>
          <w:rFonts w:hint="eastAsia" w:ascii="宋体" w:hAnsi="宋体" w:eastAsia="宋体" w:cs="宋体"/>
          <w:sz w:val="24"/>
          <w:szCs w:val="24"/>
        </w:rPr>
        <w:t>系统实施、业务变更所需的现场技术支持服务。对关键系统中存在的设备、系统软件及应用软件的多厂商问题，在发生系统故障及问题时，投标人应按采购人要求配合或协调相关厂商进行分析并加以解决。提供应用系统上线、相关系统变更等情况时必要的现场值守服务。</w:t>
      </w:r>
      <w:r>
        <w:rPr>
          <w:rFonts w:hint="eastAsia" w:ascii="宋体" w:hAnsi="宋体" w:eastAsia="宋体" w:cs="宋体"/>
          <w:sz w:val="24"/>
          <w:szCs w:val="24"/>
          <w:lang w:val="en-US" w:eastAsia="zh-CN"/>
        </w:rPr>
        <w:t>提供</w:t>
      </w:r>
      <w:r>
        <w:rPr>
          <w:rFonts w:hint="eastAsia" w:ascii="宋体" w:hAnsi="宋体" w:eastAsia="宋体" w:cs="宋体"/>
          <w:sz w:val="24"/>
          <w:szCs w:val="24"/>
        </w:rPr>
        <w:t>包括安装安全补丁、实施安全策略以及协助采购人完成安全评测、安全基线、安全日志留存等相关工作。提供不限次数的系统性风险及故障排查服务、特殊时期现场保障服务。</w:t>
      </w:r>
    </w:p>
    <w:p>
      <w:pPr>
        <w:pStyle w:val="51"/>
        <w:wordWrap/>
        <w:adjustRightInd/>
        <w:snapToGrid/>
        <w:spacing w:line="560" w:lineRule="exact"/>
        <w:ind w:firstLine="0" w:firstLineChars="0"/>
        <w:jc w:val="left"/>
        <w:textAlignment w:val="auto"/>
        <w:rPr>
          <w:rFonts w:hint="eastAsia" w:ascii="宋体" w:hAnsi="宋体" w:eastAsia="宋体" w:cs="宋体"/>
          <w:b/>
          <w:bCs/>
          <w:color w:val="auto"/>
          <w:kern w:val="2"/>
          <w:sz w:val="24"/>
          <w:szCs w:val="24"/>
          <w:highlight w:val="none"/>
          <w:shd w:val="clear" w:color="auto" w:fill="auto"/>
          <w:lang w:eastAsia="zh-CN"/>
        </w:rPr>
      </w:pPr>
      <w:r>
        <w:rPr>
          <w:rFonts w:hint="eastAsia" w:ascii="宋体" w:hAnsi="宋体" w:eastAsia="宋体" w:cs="宋体"/>
          <w:b/>
          <w:bCs/>
          <w:color w:val="auto"/>
          <w:kern w:val="2"/>
          <w:sz w:val="24"/>
          <w:szCs w:val="24"/>
          <w:highlight w:val="none"/>
          <w:shd w:val="clear" w:color="auto" w:fill="auto"/>
          <w:lang w:eastAsia="zh-CN"/>
        </w:rPr>
        <w:t>三、服务时间</w:t>
      </w:r>
    </w:p>
    <w:p>
      <w:pPr>
        <w:pStyle w:val="51"/>
        <w:widowControl w:val="0"/>
        <w:wordWrap/>
        <w:adjustRightInd/>
        <w:snapToGrid/>
        <w:spacing w:line="560" w:lineRule="exact"/>
        <w:ind w:firstLine="480" w:firstLineChars="200"/>
        <w:jc w:val="left"/>
        <w:textAlignment w:val="auto"/>
        <w:rPr>
          <w:rFonts w:hint="eastAsia" w:ascii="宋体" w:hAnsi="宋体" w:eastAsia="宋体" w:cs="宋体"/>
          <w:kern w:val="2"/>
          <w:sz w:val="24"/>
          <w:szCs w:val="24"/>
        </w:rPr>
      </w:pPr>
      <w:r>
        <w:rPr>
          <w:rFonts w:hint="eastAsia" w:ascii="宋体" w:hAnsi="宋体" w:eastAsia="宋体" w:cs="宋体"/>
          <w:color w:val="auto"/>
          <w:kern w:val="2"/>
          <w:sz w:val="24"/>
          <w:szCs w:val="24"/>
          <w:highlight w:val="none"/>
          <w:shd w:val="clear" w:color="auto" w:fill="auto"/>
          <w:lang w:val="en-US" w:eastAsia="zh-CN" w:bidi="ar-SA"/>
        </w:rPr>
        <w:t>2025年6月21日-2026年6月20日，2025年6月21日起至合同签订生效之日前1天由原供应商负责运维，合同生效之日起至2026年6月20日由新供应商负责运维。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四、费用支付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widowControl w:val="0"/>
        <w:wordWrap/>
        <w:adjustRightInd/>
        <w:snapToGrid/>
        <w:spacing w:line="360" w:lineRule="auto"/>
        <w:ind w:firstLine="0" w:firstLineChars="0"/>
        <w:textAlignment w:val="auto"/>
        <w:rPr>
          <w:rFonts w:hint="eastAsia" w:ascii="宋体" w:hAnsi="宋体" w:eastAsia="宋体" w:cs="宋体"/>
          <w:b/>
          <w:bCs/>
          <w:sz w:val="24"/>
          <w:szCs w:val="24"/>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服务要求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bookmarkStart w:id="3" w:name="_Toc1157709341"/>
      <w:bookmarkStart w:id="4" w:name="_Toc1193356327"/>
      <w:bookmarkStart w:id="5" w:name="_Toc1719633407"/>
      <w:bookmarkStart w:id="6" w:name="_Toc20738"/>
      <w:bookmarkStart w:id="7" w:name="_Toc24388"/>
      <w:r>
        <w:rPr>
          <w:rFonts w:hint="eastAsia" w:ascii="宋体" w:hAnsi="宋体" w:cs="宋体"/>
          <w:sz w:val="24"/>
          <w:szCs w:val="24"/>
          <w:lang w:val="en-US" w:eastAsia="zh-CN"/>
        </w:rPr>
        <w:t>（一）</w:t>
      </w:r>
      <w:r>
        <w:rPr>
          <w:rFonts w:hint="eastAsia" w:ascii="宋体" w:hAnsi="宋体" w:eastAsia="宋体" w:cs="宋体"/>
          <w:sz w:val="24"/>
          <w:szCs w:val="24"/>
          <w:lang w:val="en-US" w:eastAsia="zh-CN"/>
        </w:rPr>
        <w:t xml:space="preserve"> 技术支持和运维服务方案</w:t>
      </w:r>
      <w:r>
        <w:rPr>
          <w:rFonts w:hint="eastAsia" w:ascii="宋体" w:hAnsi="宋体" w:eastAsia="宋体" w:cs="宋体"/>
          <w:sz w:val="24"/>
          <w:szCs w:val="24"/>
        </w:rPr>
        <w:t>要求</w:t>
      </w:r>
      <w:bookmarkEnd w:id="3"/>
      <w:bookmarkEnd w:id="4"/>
      <w:bookmarkEnd w:id="5"/>
      <w:bookmarkEnd w:id="6"/>
      <w:bookmarkEnd w:id="7"/>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投标人必须提供完整的技术支持与保修服务解决方案，包括但不限于设备维保方案、巡检方案、应急方案、备品备件方案、验收方案等。</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维保方案：应详细阐述项目方案、技术支持与保修服务体系，各类设备服务响应流程，技术支持与保修服务投入人员情况，服务质量监督机制等与保障本项目完整顺利实施的相关内容。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巡检方案：对巡检内容及相关要求的详细响应。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应急方案：对应急演练、容灾备份提供技术支持，对相关应急方案要求的详细响应。</w:t>
      </w:r>
      <w:r>
        <w:rPr>
          <w:rFonts w:hint="eastAsia" w:ascii="宋体" w:hAnsi="宋体" w:eastAsia="宋体" w:cs="宋体"/>
          <w:sz w:val="24"/>
          <w:szCs w:val="24"/>
        </w:rPr>
        <w:tab/>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备品备件方案：对备品备件相关要求的响应。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验收方案：对验收要求的详细响应。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服务</w:t>
      </w:r>
      <w:r>
        <w:rPr>
          <w:rFonts w:hint="eastAsia" w:ascii="宋体" w:hAnsi="宋体" w:eastAsia="宋体" w:cs="宋体"/>
          <w:sz w:val="24"/>
          <w:szCs w:val="24"/>
        </w:rPr>
        <w:t>实施要求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投标人必须承诺，在本项目实施过程中，遵守有关管理规范、制度、工作要求和办法的规定，以满足采购人工作需要。如遇相关规定变更时，也应随之调整以满足采购人的需要。</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出现下列情况时，采购人有权要求投标人调用设备原厂商的技术力量和备品备件用于本项目的服务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且不另外支付费用。</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投标人接到采购人的宕机故障报修后，12小时内未确定故障原因或24小时内仍未解决问题时；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投标人接到采购人的非宕机故障报修后，12小时内未确定故障原因或48小时内仍未解决问题时；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投标人不能向采购人提供合法渠道的合格备品备件时。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投标人</w:t>
      </w:r>
      <w:r>
        <w:rPr>
          <w:rFonts w:hint="eastAsia" w:ascii="宋体" w:hAnsi="宋体" w:eastAsia="宋体" w:cs="宋体"/>
          <w:sz w:val="24"/>
          <w:szCs w:val="24"/>
        </w:rPr>
        <w:t>保证将质量管理贯穿整个维护服务周期，所采用的服务质量措施如下：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备件管理：投标人备件库都有专门库管人员进行管理，所有的备品备件均是通过正规渠道所进，是纯正的原厂备件，严谨的备件管理流程将保证备件供应的科学性和可靠性。</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文档管理：投标人工程师每次技术服务后，用户技术人员在确认系统已经良好运行后，签署技术支持服务报告；投标人对所有服务文档进行归档，建立和更新设备管理档案，包括设备安装、运行、维护等信息，并定期向用户进行汇总报告。</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服务监督和评价：投标人客户服务中心将定期向用户管理层和技术人员了解投标人对用户的技术支持和服务执行情况，征求用户意见，不断改善投标人的服务工作，使用户对投标人的服务更放心、更满意。</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投标人应具有基于计算机系统管理的售后服务流程，并详细描述。</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 xml:space="preserve"> 故障处理要求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在采购人通过投标人服务电话或当地服务站提出故障报修后，投标人应无条件按照对应故障类型时限要求安排工程师到达现场处置。如遇紧急情况，还可直接拨打轮值工程师的移动电话，寻求最快响应。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1.上述维保</w:t>
      </w:r>
      <w:r>
        <w:rPr>
          <w:rFonts w:hint="eastAsia" w:ascii="宋体" w:hAnsi="宋体" w:eastAsia="宋体" w:cs="宋体"/>
          <w:sz w:val="24"/>
          <w:szCs w:val="24"/>
        </w:rPr>
        <w:t>设备发生的非宕机故障，投标人需要在接到采购人报修电话后30分钟内响应，并根据采购人要求和实际情况到采购人现场提供维护服务；如需现场服务，则投标人需要在4小时内到达现场；所有报修问题均应在接到采购人报修后48小时内予以解决（采购人要求延期的除外）。严重影响采购人应用系统运行的非宕机故障，视同宕机故障处理。</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2.上述维保</w:t>
      </w:r>
      <w:r>
        <w:rPr>
          <w:rFonts w:hint="eastAsia" w:ascii="宋体" w:hAnsi="宋体" w:eastAsia="宋体" w:cs="宋体"/>
          <w:sz w:val="24"/>
          <w:szCs w:val="24"/>
        </w:rPr>
        <w:t>设备发生的宕机故障，投标人需要在接到采购人报修电话后30分钟内响应，并需要在1小时内赶到采购人现场提供维护，应在接到采购人报修后12小时内予以解决；如需更换备品备件，应在报修后的24小时内恢复硬件设备正常运行；如故障无法及时解决，投标人应在报修后的48小时内提供同档次或更高配置的设备对故障设备进行替换，顶替运行，并完成原设备上系统及应用的迁移工作。</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故障处理包括在规定的时限内检查操作系统日志，收集错误信息，定位故障、更换配件，排除硬件故障，并完成数据恢复等其他工作，恢复系统运行，按采购人要求协助分析、处理软件故障，并在故障修复之后提交故障处理报告并更新设备档案信息库和运维事件知识库，报告包括故障时间、故障现象、影响范围、解决过程描述、处理结果、经验总结等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（四）</w:t>
      </w:r>
      <w:r>
        <w:rPr>
          <w:rFonts w:hint="eastAsia" w:ascii="宋体" w:hAnsi="宋体" w:eastAsia="宋体" w:cs="宋体"/>
          <w:sz w:val="24"/>
          <w:szCs w:val="24"/>
          <w:lang w:val="en-US" w:eastAsia="zh-CN"/>
        </w:rPr>
        <w:t>服务</w:t>
      </w:r>
      <w:r>
        <w:rPr>
          <w:rFonts w:hint="eastAsia" w:ascii="宋体" w:hAnsi="宋体" w:eastAsia="宋体" w:cs="宋体"/>
          <w:sz w:val="24"/>
          <w:szCs w:val="24"/>
        </w:rPr>
        <w:t>验收要求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采购单位按合同约定积极配合供应商履约，按合同约定及时组织项目验收，并出具验收报告，验收通过意见作为支付项目尾款的依据。</w:t>
      </w:r>
    </w:p>
    <w:p>
      <w:pPr>
        <w:jc w:val="both"/>
        <w:rPr>
          <w:rFonts w:hint="eastAsia" w:ascii="宋体" w:hAnsi="宋体" w:eastAsia="宋体" w:cs="宋体"/>
          <w:b/>
          <w:bCs/>
          <w:sz w:val="24"/>
          <w:szCs w:val="24"/>
          <w:lang w:val="en-US" w:eastAsia="zh-CN"/>
        </w:rPr>
      </w:pPr>
    </w:p>
    <w:p>
      <w:pPr>
        <w:pStyle w:val="2"/>
        <w:spacing w:line="360" w:lineRule="auto"/>
        <w:ind w:firstLine="643" w:firstLineChars="200"/>
        <w:jc w:val="center"/>
        <w:rPr>
          <w:rFonts w:hint="eastAsia" w:ascii="宋体" w:hAnsi="宋体" w:eastAsia="宋体" w:cs="宋体"/>
          <w:sz w:val="24"/>
          <w:szCs w:val="24"/>
          <w:lang w:val="en-US" w:eastAsia="zh-CN"/>
        </w:rPr>
      </w:pPr>
      <w:r>
        <w:rPr>
          <w:rFonts w:hint="eastAsia" w:ascii="宋体" w:hAnsi="宋体" w:cs="宋体"/>
          <w:sz w:val="32"/>
          <w:szCs w:val="32"/>
          <w:lang w:val="en-US" w:eastAsia="zh-CN"/>
        </w:rPr>
        <w:t>第12包：核心网络设备运维服务用户需求书</w:t>
      </w:r>
    </w:p>
    <w:p>
      <w:pPr>
        <w:widowControl w:val="0"/>
        <w:wordWrap/>
        <w:adjustRightInd/>
        <w:snapToGrid/>
        <w:spacing w:line="360" w:lineRule="auto"/>
        <w:ind w:firstLine="0" w:firstLineChars="0"/>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一、</w:t>
      </w:r>
      <w:r>
        <w:rPr>
          <w:rFonts w:hint="eastAsia" w:ascii="宋体" w:hAnsi="宋体" w:eastAsia="宋体" w:cs="宋体"/>
          <w:b/>
          <w:bCs/>
          <w:sz w:val="24"/>
          <w:szCs w:val="24"/>
          <w:lang w:val="en-US" w:eastAsia="zh-CN"/>
        </w:rPr>
        <w:t>项目概况</w:t>
      </w:r>
    </w:p>
    <w:p>
      <w:pPr>
        <w:widowControl w:val="0"/>
        <w:wordWrap/>
        <w:adjustRightInd/>
        <w:snapToGrid/>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项目名称：海南省财政厅2025年信息系统运行维护政府采购项目</w:t>
      </w:r>
      <w:r>
        <w:rPr>
          <w:rFonts w:hint="eastAsia" w:ascii="宋体" w:hAnsi="宋体" w:cs="宋体"/>
          <w:sz w:val="24"/>
          <w:lang w:val="en-US" w:eastAsia="zh-CN"/>
        </w:rPr>
        <w:t>（第12包）-核心网络设备运维</w:t>
      </w:r>
      <w:r>
        <w:rPr>
          <w:rFonts w:hint="eastAsia" w:ascii="宋体" w:hAnsi="宋体" w:eastAsia="宋体" w:cs="宋体"/>
          <w:sz w:val="24"/>
          <w:szCs w:val="24"/>
          <w:lang w:val="en-US" w:eastAsia="zh-CN"/>
        </w:rPr>
        <w:t>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项目单位：海南省财政科技服务中心；</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采购预算：11.4552万元。</w:t>
      </w:r>
    </w:p>
    <w:p>
      <w:pPr>
        <w:widowControl w:val="0"/>
        <w:wordWrap/>
        <w:adjustRightInd/>
        <w:snapToGrid/>
        <w:spacing w:line="360" w:lineRule="auto"/>
        <w:ind w:firstLine="0" w:firstLineChars="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二、</w:t>
      </w:r>
      <w:r>
        <w:rPr>
          <w:rFonts w:hint="eastAsia" w:ascii="宋体" w:hAnsi="宋体" w:eastAsia="宋体" w:cs="宋体"/>
          <w:b/>
          <w:bCs/>
          <w:sz w:val="24"/>
          <w:szCs w:val="24"/>
          <w:lang w:eastAsia="zh-CN"/>
        </w:rPr>
        <w:t>服务</w:t>
      </w:r>
      <w:r>
        <w:rPr>
          <w:rFonts w:hint="eastAsia" w:ascii="宋体" w:hAnsi="宋体" w:eastAsia="宋体" w:cs="宋体"/>
          <w:b/>
          <w:bCs/>
          <w:sz w:val="24"/>
          <w:szCs w:val="24"/>
          <w:lang w:val="en-US" w:eastAsia="zh-CN"/>
        </w:rPr>
        <w:t>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服务内容为6台迈普</w:t>
      </w:r>
      <w:r>
        <w:rPr>
          <w:rFonts w:hint="eastAsia" w:ascii="宋体" w:hAnsi="宋体" w:eastAsia="宋体" w:cs="宋体"/>
          <w:sz w:val="24"/>
          <w:szCs w:val="24"/>
        </w:rPr>
        <w:t>SM6800</w:t>
      </w:r>
      <w:r>
        <w:rPr>
          <w:rFonts w:hint="eastAsia" w:ascii="宋体" w:hAnsi="宋体" w:eastAsia="宋体" w:cs="宋体"/>
          <w:sz w:val="24"/>
          <w:szCs w:val="24"/>
          <w:lang w:eastAsia="zh-CN"/>
        </w:rPr>
        <w:t>交换机</w:t>
      </w:r>
      <w:r>
        <w:rPr>
          <w:rFonts w:hint="eastAsia" w:ascii="宋体" w:hAnsi="宋体" w:eastAsia="宋体" w:cs="宋体"/>
          <w:sz w:val="24"/>
          <w:szCs w:val="24"/>
          <w:lang w:val="en-US" w:eastAsia="zh-CN"/>
        </w:rPr>
        <w:t>、2台迈普MP7500E路由器维保服务</w:t>
      </w:r>
      <w:r>
        <w:rPr>
          <w:rFonts w:hint="eastAsia" w:ascii="宋体" w:hAnsi="宋体" w:eastAsia="宋体" w:cs="宋体"/>
          <w:sz w:val="24"/>
          <w:szCs w:val="24"/>
        </w:rPr>
        <w:t>。</w:t>
      </w:r>
      <w:r>
        <w:rPr>
          <w:rFonts w:hint="eastAsia" w:ascii="宋体" w:hAnsi="宋体" w:eastAsia="宋体" w:cs="宋体"/>
          <w:sz w:val="24"/>
          <w:szCs w:val="24"/>
          <w:lang w:val="en-US" w:eastAsia="zh-CN"/>
        </w:rPr>
        <w:t>具体情况如下：</w:t>
      </w:r>
    </w:p>
    <w:tbl>
      <w:tblPr>
        <w:tblStyle w:val="28"/>
        <w:tblW w:w="851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3010"/>
        <w:gridCol w:w="2678"/>
        <w:gridCol w:w="20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828"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序号</w:t>
            </w:r>
          </w:p>
        </w:tc>
        <w:tc>
          <w:tcPr>
            <w:tcW w:w="3010"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产品型号</w:t>
            </w:r>
          </w:p>
        </w:tc>
        <w:tc>
          <w:tcPr>
            <w:tcW w:w="2678"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产品名称</w:t>
            </w:r>
          </w:p>
        </w:tc>
        <w:tc>
          <w:tcPr>
            <w:tcW w:w="2003"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数量(单位)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828"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一</w:t>
            </w:r>
          </w:p>
        </w:tc>
        <w:tc>
          <w:tcPr>
            <w:tcW w:w="3010" w:type="dxa"/>
            <w:tcBorders>
              <w:top w:val="single" w:color="auto" w:sz="8" w:space="0"/>
              <w:left w:val="single" w:color="auto" w:sz="4"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交换机</w:t>
            </w:r>
            <w:r>
              <w:rPr>
                <w:rFonts w:hint="eastAsia" w:ascii="宋体" w:hAnsi="宋体" w:eastAsia="宋体" w:cs="宋体"/>
                <w:kern w:val="2"/>
                <w:sz w:val="24"/>
                <w:szCs w:val="24"/>
                <w:lang w:val="en-US" w:eastAsia="zh-CN"/>
              </w:rPr>
              <w:t>6台</w:t>
            </w:r>
          </w:p>
        </w:tc>
        <w:tc>
          <w:tcPr>
            <w:tcW w:w="2678"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p>
        </w:tc>
        <w:tc>
          <w:tcPr>
            <w:tcW w:w="2003" w:type="dxa"/>
            <w:tcBorders>
              <w:top w:val="single" w:color="auto" w:sz="8" w:space="0"/>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28" w:type="dxa"/>
            <w:tcBorders>
              <w:top w:val="single" w:color="auto" w:sz="8" w:space="0"/>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1</w:t>
            </w:r>
          </w:p>
        </w:tc>
        <w:tc>
          <w:tcPr>
            <w:tcW w:w="3010" w:type="dxa"/>
            <w:tcBorders>
              <w:top w:val="single" w:color="auto" w:sz="8" w:space="0"/>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SM6800-08A-MF</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交换机机框</w:t>
            </w:r>
          </w:p>
        </w:tc>
        <w:tc>
          <w:tcPr>
            <w:tcW w:w="2003" w:type="dxa"/>
            <w:tcBorders>
              <w:top w:val="single" w:color="auto" w:sz="8" w:space="0"/>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SM68A-MPUBH</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SM68A-24GEF2XGEFH-V</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SM68A-SFUAH</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5</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 xml:space="preserve">SM68A-48GETH  </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6</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AD600-1S007Z</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电源模块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7</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FAN-13A-01</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风扇模块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二</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路由器</w:t>
            </w:r>
            <w:r>
              <w:rPr>
                <w:rFonts w:hint="eastAsia" w:ascii="宋体" w:hAnsi="宋体" w:eastAsia="宋体" w:cs="宋体"/>
                <w:kern w:val="2"/>
                <w:sz w:val="24"/>
                <w:szCs w:val="24"/>
                <w:lang w:val="en-US" w:eastAsia="zh-CN"/>
              </w:rPr>
              <w:t>2台</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1</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MP7500E-08-MF</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路由器机框</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RM7C-MPU</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3</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RM7C-SPU102</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4</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RM7C-20GEF</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5</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RM7C-20GET</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6</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RM7C-SFU</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7</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FAN-14B-01</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风扇模块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jc w:val="center"/>
        </w:trPr>
        <w:tc>
          <w:tcPr>
            <w:tcW w:w="828"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8</w:t>
            </w:r>
          </w:p>
        </w:tc>
        <w:tc>
          <w:tcPr>
            <w:tcW w:w="3010"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AD600-1S006A</w:t>
            </w:r>
          </w:p>
        </w:tc>
        <w:tc>
          <w:tcPr>
            <w:tcW w:w="2678" w:type="dxa"/>
            <w:tcBorders>
              <w:top w:val="nil"/>
              <w:left w:val="nil"/>
              <w:bottom w:val="single" w:color="auto" w:sz="8" w:space="0"/>
              <w:right w:val="single" w:color="auto" w:sz="8" w:space="0"/>
            </w:tcBorders>
            <w:vAlign w:val="center"/>
          </w:tcPr>
          <w:p>
            <w:pPr>
              <w:spacing w:before="0" w:beforeAutospacing="0" w:after="0" w:afterAutospacing="0"/>
              <w:ind w:left="0" w:right="0"/>
              <w:rPr>
                <w:rFonts w:hint="eastAsia" w:ascii="宋体" w:hAnsi="宋体" w:eastAsia="宋体" w:cs="宋体"/>
                <w:kern w:val="2"/>
                <w:sz w:val="24"/>
                <w:szCs w:val="24"/>
              </w:rPr>
            </w:pPr>
            <w:r>
              <w:rPr>
                <w:rFonts w:hint="eastAsia" w:ascii="宋体" w:hAnsi="宋体" w:eastAsia="宋体" w:cs="宋体"/>
                <w:kern w:val="2"/>
                <w:sz w:val="24"/>
                <w:szCs w:val="24"/>
              </w:rPr>
              <w:t>电源模块</w:t>
            </w:r>
          </w:p>
        </w:tc>
        <w:tc>
          <w:tcPr>
            <w:tcW w:w="2003" w:type="dxa"/>
            <w:tcBorders>
              <w:top w:val="nil"/>
              <w:left w:val="single" w:color="auto" w:sz="8" w:space="0"/>
              <w:bottom w:val="single" w:color="auto" w:sz="8" w:space="0"/>
              <w:right w:val="single" w:color="auto" w:sz="8" w:space="0"/>
            </w:tcBorders>
            <w:vAlign w:val="center"/>
          </w:tcPr>
          <w:p>
            <w:pPr>
              <w:spacing w:before="0" w:beforeAutospacing="0" w:after="0" w:afterAutospacing="0"/>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rPr>
              <w:t>4</w:t>
            </w:r>
          </w:p>
        </w:tc>
      </w:tr>
    </w:tbl>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技术支持与维保服务的范围包括</w:t>
      </w:r>
      <w:r>
        <w:rPr>
          <w:rFonts w:hint="eastAsia" w:ascii="宋体" w:hAnsi="宋体" w:eastAsia="宋体" w:cs="宋体"/>
          <w:sz w:val="24"/>
          <w:szCs w:val="24"/>
          <w:lang w:eastAsia="zh-CN"/>
        </w:rPr>
        <w:t>以上</w:t>
      </w:r>
      <w:r>
        <w:rPr>
          <w:rFonts w:hint="eastAsia" w:ascii="宋体" w:hAnsi="宋体" w:eastAsia="宋体" w:cs="宋体"/>
          <w:sz w:val="24"/>
          <w:szCs w:val="24"/>
        </w:rPr>
        <w:t>设备所涉及的所有硬件</w:t>
      </w:r>
      <w:r>
        <w:rPr>
          <w:rFonts w:hint="eastAsia" w:ascii="宋体" w:hAnsi="宋体" w:eastAsia="宋体" w:cs="宋体"/>
          <w:sz w:val="24"/>
          <w:szCs w:val="24"/>
          <w:lang w:val="en-US" w:eastAsia="zh-CN"/>
        </w:rPr>
        <w:t>及配套软件</w:t>
      </w:r>
      <w:r>
        <w:rPr>
          <w:rFonts w:hint="eastAsia" w:ascii="宋体" w:hAnsi="宋体" w:eastAsia="宋体" w:cs="宋体"/>
          <w:sz w:val="24"/>
          <w:szCs w:val="24"/>
        </w:rPr>
        <w:t>。投标人须充分考虑其服务风险和成本，服务期内，为采购人提供上述设备</w:t>
      </w:r>
      <w:r>
        <w:rPr>
          <w:rFonts w:hint="eastAsia" w:ascii="宋体" w:hAnsi="宋体" w:eastAsia="宋体" w:cs="宋体"/>
          <w:sz w:val="24"/>
          <w:szCs w:val="24"/>
          <w:lang w:val="en-US" w:eastAsia="zh-CN"/>
        </w:rPr>
        <w:t>及配套基础软件</w:t>
      </w:r>
      <w:r>
        <w:rPr>
          <w:rFonts w:hint="eastAsia" w:ascii="宋体" w:hAnsi="宋体" w:eastAsia="宋体" w:cs="宋体"/>
          <w:sz w:val="24"/>
          <w:szCs w:val="24"/>
        </w:rPr>
        <w:t>的维保服务，采购人不再额外支付费用。</w:t>
      </w:r>
      <w:r>
        <w:rPr>
          <w:rFonts w:hint="eastAsia" w:ascii="宋体" w:hAnsi="宋体" w:eastAsia="宋体" w:cs="宋体"/>
          <w:sz w:val="24"/>
          <w:szCs w:val="24"/>
          <w:lang w:val="en-US" w:eastAsia="zh-CN"/>
        </w:rPr>
        <w:t>具体服务内容如下：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为设备建立档案信息库（设备信息、资源使用情况、备份情况），并及时更新。每个设备的档案信息至少包括以下项目：配置项编号、序列号、IP地址、CPU 、内存、磁盘空间、存储空间、网卡数量等</w:t>
      </w:r>
      <w:r>
        <w:rPr>
          <w:rFonts w:hint="eastAsia" w:ascii="宋体" w:hAnsi="宋体" w:eastAsia="宋体" w:cs="宋体"/>
          <w:sz w:val="24"/>
          <w:szCs w:val="24"/>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期内每季度应至少进行1次设备现场巡检。通过巡检及时发现设备运行中出现的隐患，减少设备发生故障的概率，保证设备的稳定运行。由设备原厂商进行的设备巡检应出具原厂商提供的巡检报告或服务证明文件。按照原厂商设备维护手册、行业经验和采购人要求结合实际制定每一服务年度的巡检工作计划。巡检内容包括检查设备软硬件配置和运行情况、系统日志和错误日志，并对日志等信息进行分析、查找现存和潜在软硬件风险并进行处理等，同时根据采购人要求进行设备配置信息和操作系统级系统备份。</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提供</w:t>
      </w:r>
      <w:r>
        <w:rPr>
          <w:rFonts w:hint="eastAsia" w:ascii="宋体" w:hAnsi="宋体" w:eastAsia="宋体" w:cs="宋体"/>
          <w:sz w:val="24"/>
          <w:szCs w:val="24"/>
          <w:lang w:val="en-US" w:eastAsia="zh-CN"/>
        </w:rPr>
        <w:t>上述</w:t>
      </w:r>
      <w:r>
        <w:rPr>
          <w:rFonts w:hint="eastAsia" w:ascii="宋体" w:hAnsi="宋体" w:eastAsia="宋体" w:cs="宋体"/>
          <w:sz w:val="24"/>
          <w:szCs w:val="24"/>
        </w:rPr>
        <w:t>软硬件相关变更服务：包括参数配置变更、版本升级、安全加固、性能优化服务，部署、恢复、迁移操作系统</w:t>
      </w:r>
      <w:r>
        <w:rPr>
          <w:rFonts w:hint="eastAsia" w:ascii="宋体" w:hAnsi="宋体" w:eastAsia="宋体" w:cs="宋体"/>
          <w:sz w:val="24"/>
          <w:szCs w:val="24"/>
          <w:lang w:eastAsia="zh-CN"/>
        </w:rPr>
        <w:t>，</w:t>
      </w:r>
      <w:r>
        <w:rPr>
          <w:rFonts w:hint="eastAsia" w:ascii="宋体" w:hAnsi="宋体" w:eastAsia="宋体" w:cs="宋体"/>
          <w:sz w:val="24"/>
          <w:szCs w:val="24"/>
        </w:rPr>
        <w:t>整合操作系统和虚拟化软件等服务。提供系统平台变更时，如机房场地、供电系统、主机、网络、存储、系统软件等变更时，所要求的与本次</w:t>
      </w:r>
      <w:r>
        <w:rPr>
          <w:rFonts w:hint="eastAsia" w:ascii="宋体" w:hAnsi="宋体" w:eastAsia="宋体" w:cs="宋体"/>
          <w:sz w:val="24"/>
          <w:szCs w:val="24"/>
          <w:lang w:val="en-US" w:eastAsia="zh-CN"/>
        </w:rPr>
        <w:t>维保</w:t>
      </w:r>
      <w:r>
        <w:rPr>
          <w:rFonts w:hint="eastAsia" w:ascii="宋体" w:hAnsi="宋体" w:eastAsia="宋体" w:cs="宋体"/>
          <w:sz w:val="24"/>
          <w:szCs w:val="24"/>
        </w:rPr>
        <w:t>软硬件设备相关的支持服务。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服务期内应结合</w:t>
      </w:r>
      <w:r>
        <w:rPr>
          <w:rFonts w:hint="eastAsia" w:ascii="宋体" w:hAnsi="宋体" w:eastAsia="宋体" w:cs="宋体"/>
          <w:sz w:val="24"/>
          <w:szCs w:val="24"/>
          <w:lang w:eastAsia="zh-CN"/>
        </w:rPr>
        <w:t>采购人</w:t>
      </w:r>
      <w:r>
        <w:rPr>
          <w:rFonts w:hint="eastAsia" w:ascii="宋体" w:hAnsi="宋体" w:eastAsia="宋体" w:cs="宋体"/>
          <w:sz w:val="24"/>
          <w:szCs w:val="24"/>
        </w:rPr>
        <w:t>提供的设备日常运行数据每年提供</w:t>
      </w:r>
      <w:r>
        <w:rPr>
          <w:rFonts w:hint="eastAsia" w:ascii="宋体" w:hAnsi="宋体" w:eastAsia="宋体" w:cs="宋体"/>
          <w:sz w:val="24"/>
          <w:szCs w:val="24"/>
          <w:lang w:val="en-US" w:eastAsia="zh-CN"/>
        </w:rPr>
        <w:t>不少于</w:t>
      </w:r>
      <w:r>
        <w:rPr>
          <w:rFonts w:hint="eastAsia" w:ascii="宋体" w:hAnsi="宋体" w:eastAsia="宋体" w:cs="宋体"/>
          <w:sz w:val="24"/>
          <w:szCs w:val="24"/>
        </w:rPr>
        <w:t>一次现场的系统性能分析、优化和趋势分析服务，并对存在的系统风险提供合理的解决方案，并提供设备性能分析报告和趋势分析报告，针对设备的CPU</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内存、带宽</w:t>
      </w:r>
      <w:r>
        <w:rPr>
          <w:rFonts w:hint="eastAsia" w:ascii="宋体" w:hAnsi="宋体" w:eastAsia="宋体" w:cs="宋体"/>
          <w:sz w:val="24"/>
          <w:szCs w:val="24"/>
        </w:rPr>
        <w:t>等关键性能指标进行分析，重点分析CPU</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内存、带宽</w:t>
      </w:r>
      <w:r>
        <w:rPr>
          <w:rFonts w:hint="eastAsia" w:ascii="宋体" w:hAnsi="宋体" w:eastAsia="宋体" w:cs="宋体"/>
          <w:sz w:val="24"/>
          <w:szCs w:val="24"/>
        </w:rPr>
        <w:t>的峰值、峰值出现的时间点以及峰值出现的频度，进而判断其性能是否存在瓶颈</w:t>
      </w:r>
      <w:r>
        <w:rPr>
          <w:rFonts w:hint="eastAsia" w:ascii="宋体" w:hAnsi="宋体" w:eastAsia="宋体" w:cs="宋体"/>
          <w:sz w:val="24"/>
          <w:szCs w:val="24"/>
          <w:lang w:eastAsia="zh-CN"/>
        </w:rPr>
        <w:t>。</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5.其他服务。</w:t>
      </w:r>
      <w:r>
        <w:rPr>
          <w:rFonts w:hint="eastAsia" w:ascii="宋体" w:hAnsi="宋体" w:eastAsia="宋体" w:cs="宋体"/>
          <w:sz w:val="24"/>
          <w:szCs w:val="24"/>
        </w:rPr>
        <w:t>提供</w:t>
      </w:r>
      <w:r>
        <w:rPr>
          <w:rFonts w:hint="eastAsia" w:ascii="宋体" w:hAnsi="宋体" w:eastAsia="宋体" w:cs="宋体"/>
          <w:sz w:val="24"/>
          <w:szCs w:val="24"/>
          <w:lang w:val="en-US" w:eastAsia="zh-CN"/>
        </w:rPr>
        <w:t>因</w:t>
      </w:r>
      <w:r>
        <w:rPr>
          <w:rFonts w:hint="eastAsia" w:ascii="宋体" w:hAnsi="宋体" w:eastAsia="宋体" w:cs="宋体"/>
          <w:sz w:val="24"/>
          <w:szCs w:val="24"/>
        </w:rPr>
        <w:t>业务变更所需的现场技术支持服务。提供应用系统上线、相关系统变更等情况时必要的现场值守服务。</w:t>
      </w:r>
      <w:r>
        <w:rPr>
          <w:rFonts w:hint="eastAsia" w:ascii="宋体" w:hAnsi="宋体" w:eastAsia="宋体" w:cs="宋体"/>
          <w:sz w:val="24"/>
          <w:szCs w:val="24"/>
          <w:lang w:val="en-US" w:eastAsia="zh-CN"/>
        </w:rPr>
        <w:t>提供</w:t>
      </w:r>
      <w:r>
        <w:rPr>
          <w:rFonts w:hint="eastAsia" w:ascii="宋体" w:hAnsi="宋体" w:eastAsia="宋体" w:cs="宋体"/>
          <w:sz w:val="24"/>
          <w:szCs w:val="24"/>
        </w:rPr>
        <w:t>包括网络设备的工作状态检查</w:t>
      </w:r>
      <w:r>
        <w:rPr>
          <w:rFonts w:hint="eastAsia" w:ascii="宋体" w:hAnsi="宋体" w:eastAsia="宋体" w:cs="宋体"/>
          <w:sz w:val="24"/>
          <w:szCs w:val="24"/>
          <w:lang w:eastAsia="zh-CN"/>
        </w:rPr>
        <w:t>、 网络设备配置的更改及配置文件的备份、网络设备策略的调优、网络设备策略的安全管理、网络设备故障的排查、网络设备的更换、补丁升级、网络专线相关运营商协调工作、提供网络例检报告、提供网络设备故障解决情况通报表、提供网络设备日常工作巡检、提供网络优化、规划及咨询服务</w:t>
      </w:r>
      <w:r>
        <w:rPr>
          <w:rFonts w:hint="eastAsia" w:ascii="宋体" w:hAnsi="宋体" w:eastAsia="宋体" w:cs="宋体"/>
          <w:sz w:val="24"/>
          <w:szCs w:val="24"/>
          <w:lang w:val="en-US" w:eastAsia="zh-CN"/>
        </w:rPr>
        <w:t>和提供提供与采购单位项目建设相关的网络配合工作支持</w:t>
      </w:r>
      <w:r>
        <w:rPr>
          <w:rFonts w:hint="eastAsia" w:ascii="宋体" w:hAnsi="宋体" w:eastAsia="宋体" w:cs="宋体"/>
          <w:sz w:val="24"/>
          <w:szCs w:val="24"/>
        </w:rPr>
        <w:t>。提供不限次数的系统性风险及故障排查服务、特殊时期现场保障服务。</w:t>
      </w:r>
    </w:p>
    <w:p>
      <w:pPr>
        <w:pStyle w:val="51"/>
        <w:wordWrap/>
        <w:adjustRightInd/>
        <w:snapToGrid/>
        <w:spacing w:line="560" w:lineRule="exact"/>
        <w:ind w:firstLine="0" w:firstLineChars="0"/>
        <w:jc w:val="left"/>
        <w:textAlignment w:val="auto"/>
        <w:rPr>
          <w:rFonts w:hint="eastAsia" w:ascii="宋体" w:hAnsi="宋体" w:eastAsia="宋体" w:cs="宋体"/>
          <w:b/>
          <w:bCs/>
          <w:color w:val="auto"/>
          <w:kern w:val="2"/>
          <w:sz w:val="24"/>
          <w:szCs w:val="24"/>
          <w:highlight w:val="none"/>
          <w:shd w:val="clear" w:color="auto" w:fill="auto"/>
          <w:lang w:eastAsia="zh-CN" w:bidi="ar-SA"/>
        </w:rPr>
      </w:pPr>
      <w:r>
        <w:rPr>
          <w:rFonts w:hint="eastAsia" w:ascii="宋体" w:hAnsi="宋体" w:eastAsia="宋体" w:cs="宋体"/>
          <w:b/>
          <w:bCs/>
          <w:color w:val="auto"/>
          <w:kern w:val="2"/>
          <w:sz w:val="24"/>
          <w:szCs w:val="24"/>
          <w:highlight w:val="none"/>
          <w:shd w:val="clear" w:color="auto" w:fill="auto"/>
          <w:lang w:eastAsia="zh-CN" w:bidi="ar-SA"/>
        </w:rPr>
        <w:t>三、服务时间</w:t>
      </w:r>
    </w:p>
    <w:p>
      <w:pPr>
        <w:pStyle w:val="51"/>
        <w:widowControl w:val="0"/>
        <w:wordWrap/>
        <w:adjustRightInd/>
        <w:snapToGrid/>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kern w:val="2"/>
          <w:sz w:val="24"/>
          <w:szCs w:val="24"/>
          <w:highlight w:val="none"/>
          <w:shd w:val="clear" w:color="auto" w:fill="auto"/>
          <w:lang w:val="en-US" w:eastAsia="zh-CN" w:bidi="ar-SA"/>
        </w:rPr>
        <w:t>2025年6月21日-2026年6月20日，2025年6月21日起至合同签订生效之日前1天由原供应商负责运维，合同生效之日起至2026年6月20日由新供应商负责运维。</w:t>
      </w: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四、费用支付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widowControl w:val="0"/>
        <w:wordWrap/>
        <w:adjustRightInd/>
        <w:snapToGrid/>
        <w:spacing w:line="360" w:lineRule="auto"/>
        <w:ind w:firstLine="0" w:firstLineChars="0"/>
        <w:textAlignment w:val="auto"/>
        <w:rPr>
          <w:rFonts w:hint="eastAsia" w:ascii="宋体" w:hAnsi="宋体" w:eastAsia="宋体" w:cs="宋体"/>
          <w:b/>
          <w:bCs/>
          <w:sz w:val="24"/>
          <w:szCs w:val="24"/>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服务要求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（一）</w:t>
      </w:r>
      <w:r>
        <w:rPr>
          <w:rFonts w:hint="eastAsia" w:ascii="宋体" w:hAnsi="宋体" w:eastAsia="宋体" w:cs="宋体"/>
          <w:sz w:val="24"/>
          <w:szCs w:val="24"/>
          <w:lang w:val="en-US" w:eastAsia="zh-CN"/>
        </w:rPr>
        <w:t>技术支持和运维服务方案</w:t>
      </w:r>
      <w:r>
        <w:rPr>
          <w:rFonts w:hint="eastAsia" w:ascii="宋体" w:hAnsi="宋体" w:eastAsia="宋体" w:cs="宋体"/>
          <w:sz w:val="24"/>
          <w:szCs w:val="24"/>
        </w:rPr>
        <w:t>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投标人必须提供完整的技术支持与保修服务解决方案，包括但不限于设备维保方案、巡检方案、应急方案、备品备件方案、设备迁移方案、变更方案、交接方案、验收方案等。</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维保方案：应详细阐述项目方案、技术支持与保修服务体系，各类设备服务响应流程，技术支持与保修服务投入人员情况，服务质量监督机制等与保障本项目完整顺利实施的相关内容。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巡检方案：对巡检内容及相关要求的详细响应。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应急方案：对应急演练、容灾备份提供技术支持，对相关应急方案要求的详细响应。</w:t>
      </w:r>
      <w:r>
        <w:rPr>
          <w:rFonts w:hint="eastAsia" w:ascii="宋体" w:hAnsi="宋体" w:eastAsia="宋体" w:cs="宋体"/>
          <w:sz w:val="24"/>
          <w:szCs w:val="24"/>
        </w:rPr>
        <w:tab/>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备品备件方案：对备品备件相关要求的响应。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变更方案：提供软硬件相关变更服务，对包括参数配置变更、版本升级等服务的详细响应。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验收方案：对验收要求的详细响应。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服务</w:t>
      </w:r>
      <w:r>
        <w:rPr>
          <w:rFonts w:hint="eastAsia" w:ascii="宋体" w:hAnsi="宋体" w:eastAsia="宋体" w:cs="宋体"/>
          <w:sz w:val="24"/>
          <w:szCs w:val="24"/>
        </w:rPr>
        <w:t>实施要求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投标人必须承诺，在本项目实施过程中，遵守有关管理规范、制度、工作要求和办法的规定，以满足采购人工作需要。如遇相关规定变更时，也应随之调整以满足采购人的需要。</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出现下列情况时，采购人有权要求投标人调用设备原厂商的技术力量和备品备件用于本项目的服务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且不另外支付费用。</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投标人接到采购人的宕机故障报修后，12小时内未确定故障原因或24小时内仍未解决问题时；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投标人接到采购人的非宕机故障报修后，12小时内未确定故障原因或48小时内仍未解决问题时；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投标人不能向采购人提供合法渠道的合格备品备件时。</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投标人</w:t>
      </w:r>
      <w:r>
        <w:rPr>
          <w:rFonts w:hint="eastAsia" w:ascii="宋体" w:hAnsi="宋体" w:eastAsia="宋体" w:cs="宋体"/>
          <w:sz w:val="24"/>
          <w:szCs w:val="24"/>
        </w:rPr>
        <w:t>保证将质量管理贯穿整个维护服务周期，所采用的服务质量措施如下：</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备件管理：投标人备件库都有专门库管人员进行管理，所有的备品备件均是通过正规渠道所进，是纯正的原厂备件，严谨的备件管理流程将保证备件供应的科学性和可靠性。</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服务文档管理：投标人工程师每次技术服务后，用户技术人员在确认系统已经良好运行后，签署技术支持服务报告；投标人对所有服务文档进行归档，建立和更新设备管理档案，包括设备安装、运行、维护等信息，并定期向用户进行汇总报告。</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服务监督和评价：投标人客户服务中心将定期向用户管理层和技术人员了解投标人对用户的技术支持和服务执行情况，征求用户意见，不断改善投标人的服务工作，使用户对投标人的服务更放心、更满意。</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投标人应具有基于计算机系统管理的售后服务流程，并详细描述。</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 xml:space="preserve"> 故障处理要求</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在采购人通过投标人服务电话或当地服务站提出故障报修后，投标人应无条件按照对应故障类型时限要求安排工程师到达现场处置。如遇紧急情况，还可直接拨打轮值工程师的移动电话，寻求最快响应。</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1.上述维保</w:t>
      </w:r>
      <w:r>
        <w:rPr>
          <w:rFonts w:hint="eastAsia" w:ascii="宋体" w:hAnsi="宋体" w:eastAsia="宋体" w:cs="宋体"/>
          <w:sz w:val="24"/>
          <w:szCs w:val="24"/>
        </w:rPr>
        <w:t>设备发生的非宕机故障，投标人需要在接到采购人报修电话后30分钟内响应，并根据采购人要求和实际情况到采购人现场提供维护服务；如需现场服务，则投标人需要在4小时内到达现场；所有报修问题均应在接到采购人报修后48小时内予以解决（采购人要求延期的除外）。严重影响采购人应用系统运行的非宕机故障，视同宕机故障处理。</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2.上述维保</w:t>
      </w:r>
      <w:r>
        <w:rPr>
          <w:rFonts w:hint="eastAsia" w:ascii="宋体" w:hAnsi="宋体" w:eastAsia="宋体" w:cs="宋体"/>
          <w:sz w:val="24"/>
          <w:szCs w:val="24"/>
        </w:rPr>
        <w:t>设备发生的宕机故障，投标人需要在接到采购人报修电话后30分钟内响应，并需要在1小时内赶到采购人现场提供维护，应在接到采购人报修后12小时内予以解决；如需更换备品备件，应在报修后的24小时内恢复硬件设备正常运行；如故障无法及时解决，投标人应在报修后的48小时内提供同档次或更高配置的设备对故障设备进行替换，顶替运行，并完成原设备上系统及应用的迁移工作。</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故障处理包括在规定的时限内检查操作系统日志，收集错误信息，定位故障、更换配件，排除硬件故障，并完成数据恢复等其他工作，恢复系统运行，按采购人要求协助分析、处理软件故障，并在故障修复之后提交故障处理报告并更新设备档案信息库和运维事件知识库，报告包括故障时间、故障现象、影响范围、解决过程描述、处理结果、经验总结等内容。</w:t>
      </w:r>
    </w:p>
    <w:p>
      <w:pPr>
        <w:widowControl w:val="0"/>
        <w:wordWrap/>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（四）</w:t>
      </w:r>
      <w:r>
        <w:rPr>
          <w:rFonts w:hint="eastAsia" w:ascii="宋体" w:hAnsi="宋体" w:eastAsia="宋体" w:cs="宋体"/>
          <w:sz w:val="24"/>
          <w:szCs w:val="24"/>
          <w:lang w:val="en-US" w:eastAsia="zh-CN"/>
        </w:rPr>
        <w:t>服务</w:t>
      </w:r>
      <w:r>
        <w:rPr>
          <w:rFonts w:hint="eastAsia" w:ascii="宋体" w:hAnsi="宋体" w:eastAsia="宋体" w:cs="宋体"/>
          <w:sz w:val="24"/>
          <w:szCs w:val="24"/>
        </w:rPr>
        <w:t>验收要求</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采购单位按合同约定积极配合供应商履约，按合同约定及时组织项目验收，并出具验收报告，验收通过意见作为支付项目尾款的依据。</w:t>
      </w: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spacing w:line="360" w:lineRule="auto"/>
        <w:ind w:firstLine="480" w:firstLineChars="200"/>
        <w:rPr>
          <w:rFonts w:hint="eastAsia" w:ascii="宋体" w:hAnsi="宋体" w:eastAsia="宋体" w:cs="宋体"/>
          <w:sz w:val="24"/>
          <w:szCs w:val="24"/>
          <w:lang w:val="en-US" w:eastAsia="zh-CN"/>
        </w:rPr>
      </w:pPr>
    </w:p>
    <w:p>
      <w:pPr>
        <w:jc w:val="both"/>
        <w:rPr>
          <w:rFonts w:hint="eastAsia" w:ascii="宋体" w:hAnsi="宋体" w:eastAsia="宋体" w:cs="宋体"/>
          <w:b/>
          <w:bCs/>
          <w:sz w:val="24"/>
          <w:szCs w:val="24"/>
          <w:lang w:val="en-US" w:eastAsia="zh-CN"/>
        </w:rPr>
      </w:pPr>
    </w:p>
    <w:p>
      <w:pPr>
        <w:pStyle w:val="2"/>
        <w:spacing w:line="360" w:lineRule="auto"/>
        <w:ind w:firstLine="643" w:firstLineChars="200"/>
        <w:jc w:val="center"/>
        <w:rPr>
          <w:rFonts w:hint="eastAsia" w:ascii="宋体" w:hAnsi="宋体" w:eastAsia="宋体" w:cs="宋体"/>
          <w:sz w:val="24"/>
          <w:szCs w:val="24"/>
          <w:lang w:val="en-US" w:eastAsia="zh-CN"/>
        </w:rPr>
      </w:pPr>
      <w:r>
        <w:rPr>
          <w:rFonts w:hint="eastAsia" w:ascii="宋体" w:hAnsi="宋体" w:cs="宋体"/>
          <w:sz w:val="32"/>
          <w:szCs w:val="32"/>
          <w:lang w:val="en-US" w:eastAsia="zh-CN"/>
        </w:rPr>
        <w:t>第13包：等保测评及应急演练服务用户需求书</w:t>
      </w:r>
    </w:p>
    <w:p>
      <w:pPr>
        <w:widowControl w:val="0"/>
        <w:wordWrap/>
        <w:adjustRightInd/>
        <w:snapToGrid/>
        <w:spacing w:line="240" w:lineRule="auto"/>
        <w:ind w:firstLine="0" w:firstLineChars="0"/>
        <w:textAlignment w:val="auto"/>
        <w:rPr>
          <w:rFonts w:hint="eastAsia" w:ascii="宋体" w:hAnsi="宋体" w:eastAsia="宋体" w:cs="宋体"/>
          <w:b/>
          <w:bCs/>
          <w:sz w:val="24"/>
          <w:szCs w:val="20"/>
          <w:lang w:val="en-US" w:eastAsia="zh-CN"/>
        </w:rPr>
      </w:pPr>
      <w:r>
        <w:rPr>
          <w:rFonts w:hint="eastAsia" w:ascii="宋体" w:hAnsi="宋体" w:cs="宋体"/>
          <w:b/>
          <w:bCs/>
          <w:sz w:val="24"/>
          <w:szCs w:val="20"/>
          <w:lang w:val="en-US" w:eastAsia="zh-CN"/>
        </w:rPr>
        <w:t xml:space="preserve"> 一、</w:t>
      </w:r>
      <w:r>
        <w:rPr>
          <w:rFonts w:hint="eastAsia" w:ascii="宋体" w:hAnsi="宋体" w:eastAsia="宋体" w:cs="宋体"/>
          <w:b/>
          <w:bCs/>
          <w:sz w:val="24"/>
          <w:szCs w:val="20"/>
          <w:lang w:val="en-US" w:eastAsia="zh-CN"/>
        </w:rPr>
        <w:t>项目概况</w:t>
      </w:r>
    </w:p>
    <w:p>
      <w:pPr>
        <w:widowControl w:val="0"/>
        <w:wordWrap/>
        <w:adjustRightInd/>
        <w:snapToGrid/>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项目名称：海南省财政厅2025年信息系统运行维护政府采购项目</w:t>
      </w:r>
      <w:r>
        <w:rPr>
          <w:rFonts w:hint="eastAsia" w:ascii="宋体" w:hAnsi="宋体" w:cs="宋体"/>
          <w:sz w:val="24"/>
          <w:lang w:val="en-US" w:eastAsia="zh-CN"/>
        </w:rPr>
        <w:t>（第13包）-</w:t>
      </w:r>
      <w:r>
        <w:rPr>
          <w:rFonts w:hint="eastAsia" w:ascii="宋体" w:hAnsi="宋体" w:eastAsia="宋体" w:cs="宋体"/>
          <w:b w:val="0"/>
          <w:bCs w:val="0"/>
          <w:sz w:val="24"/>
          <w:szCs w:val="24"/>
          <w:lang w:val="en-US" w:eastAsia="zh-CN"/>
        </w:rPr>
        <w:t>等保测评及应急演练</w:t>
      </w:r>
      <w:r>
        <w:rPr>
          <w:rFonts w:hint="eastAsia" w:ascii="宋体" w:hAnsi="宋体" w:eastAsia="宋体" w:cs="宋体"/>
          <w:sz w:val="24"/>
          <w:szCs w:val="24"/>
          <w:lang w:val="en-US" w:eastAsia="zh-CN"/>
        </w:rPr>
        <w:t>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采购预算：</w:t>
      </w:r>
      <w:r>
        <w:rPr>
          <w:rFonts w:hint="eastAsia" w:ascii="宋体" w:hAnsi="宋体" w:cs="宋体"/>
          <w:sz w:val="24"/>
          <w:szCs w:val="24"/>
          <w:lang w:val="en-US" w:eastAsia="zh-CN"/>
        </w:rPr>
        <w:t>42</w:t>
      </w:r>
      <w:r>
        <w:rPr>
          <w:rFonts w:hint="eastAsia" w:ascii="宋体" w:hAnsi="宋体" w:eastAsia="宋体" w:cs="宋体"/>
          <w:sz w:val="24"/>
          <w:szCs w:val="24"/>
          <w:lang w:val="en-US" w:eastAsia="zh-CN"/>
        </w:rPr>
        <w:t>万元。</w:t>
      </w:r>
    </w:p>
    <w:p>
      <w:pPr>
        <w:widowControl w:val="0"/>
        <w:wordWrap/>
        <w:spacing w:after="0" w:line="240" w:lineRule="auto"/>
        <w:ind w:left="0" w:leftChars="0" w:right="0" w:firstLine="0" w:firstLineChars="0"/>
        <w:outlineLvl w:val="9"/>
        <w:rPr>
          <w:rFonts w:hint="eastAsia" w:ascii="宋体" w:hAnsi="宋体" w:eastAsia="宋体" w:cs="宋体"/>
          <w:b/>
          <w:bCs/>
          <w:sz w:val="24"/>
          <w:szCs w:val="20"/>
        </w:rPr>
      </w:pPr>
      <w:r>
        <w:rPr>
          <w:rFonts w:hint="eastAsia" w:ascii="宋体" w:hAnsi="宋体" w:cs="宋体"/>
          <w:b/>
          <w:bCs/>
          <w:sz w:val="24"/>
          <w:szCs w:val="20"/>
          <w:lang w:eastAsia="zh-CN"/>
        </w:rPr>
        <w:t>二、</w:t>
      </w:r>
      <w:r>
        <w:rPr>
          <w:rFonts w:hint="eastAsia" w:ascii="宋体" w:hAnsi="宋体" w:eastAsia="宋体" w:cs="宋体"/>
          <w:b/>
          <w:bCs/>
          <w:sz w:val="24"/>
          <w:szCs w:val="20"/>
        </w:rPr>
        <w:t>项目工期及地点</w:t>
      </w:r>
    </w:p>
    <w:p>
      <w:pPr>
        <w:widowControl w:val="0"/>
        <w:wordWrap/>
        <w:spacing w:after="0" w:line="360" w:lineRule="auto"/>
        <w:ind w:left="0" w:leftChars="0" w:right="0" w:firstLine="480" w:firstLineChars="200"/>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eastAsia="宋体" w:cs="宋体"/>
          <w:sz w:val="24"/>
          <w:szCs w:val="24"/>
          <w:lang w:eastAsia="zh-CN"/>
        </w:rPr>
        <w:t>信息系统运维</w:t>
      </w:r>
      <w:r>
        <w:rPr>
          <w:rFonts w:hint="eastAsia" w:ascii="宋体" w:hAnsi="宋体" w:eastAsia="宋体" w:cs="宋体"/>
          <w:sz w:val="24"/>
          <w:szCs w:val="24"/>
          <w:lang w:val="en-US" w:eastAsia="zh-CN"/>
        </w:rPr>
        <w:t>等保测评及应急演练服务</w:t>
      </w:r>
      <w:r>
        <w:rPr>
          <w:rFonts w:hint="eastAsia" w:ascii="宋体" w:hAnsi="宋体" w:eastAsia="宋体" w:cs="宋体"/>
          <w:sz w:val="24"/>
          <w:szCs w:val="24"/>
        </w:rPr>
        <w:t>合同签订后且收到入场通知后</w:t>
      </w:r>
      <w:r>
        <w:rPr>
          <w:rFonts w:hint="eastAsia" w:ascii="宋体" w:hAnsi="宋体" w:eastAsia="宋体" w:cs="宋体"/>
          <w:sz w:val="24"/>
          <w:szCs w:val="24"/>
          <w:lang w:val="en-US" w:eastAsia="zh-CN"/>
        </w:rPr>
        <w:t>75</w:t>
      </w:r>
      <w:r>
        <w:rPr>
          <w:rFonts w:hint="eastAsia" w:ascii="宋体" w:hAnsi="宋体" w:eastAsia="宋体" w:cs="宋体"/>
          <w:sz w:val="24"/>
          <w:szCs w:val="24"/>
        </w:rPr>
        <w:t>天内完成</w:t>
      </w:r>
      <w:r>
        <w:rPr>
          <w:rFonts w:hint="eastAsia" w:ascii="宋体" w:hAnsi="宋体" w:eastAsia="宋体" w:cs="宋体"/>
          <w:sz w:val="24"/>
          <w:szCs w:val="24"/>
          <w:lang w:eastAsia="zh-CN"/>
        </w:rPr>
        <w:t>，</w:t>
      </w:r>
      <w:r>
        <w:rPr>
          <w:rFonts w:hint="eastAsia" w:ascii="宋体" w:hAnsi="宋体" w:eastAsia="宋体" w:cs="宋体"/>
          <w:sz w:val="24"/>
          <w:szCs w:val="24"/>
        </w:rPr>
        <w:t>地点：海南省财政厅</w:t>
      </w:r>
      <w:r>
        <w:rPr>
          <w:rFonts w:hint="eastAsia" w:ascii="宋体" w:hAnsi="宋体" w:eastAsia="宋体" w:cs="宋体"/>
          <w:sz w:val="24"/>
          <w:szCs w:val="24"/>
          <w:lang w:eastAsia="zh-CN"/>
        </w:rPr>
        <w:t>。</w:t>
      </w:r>
    </w:p>
    <w:p>
      <w:pPr>
        <w:widowControl w:val="0"/>
        <w:wordWrap/>
        <w:spacing w:after="0" w:line="240" w:lineRule="auto"/>
        <w:ind w:left="0" w:leftChars="0" w:right="0" w:firstLine="0" w:firstLineChars="0"/>
        <w:outlineLvl w:val="9"/>
        <w:rPr>
          <w:rFonts w:hint="eastAsia" w:ascii="宋体" w:hAnsi="宋体" w:eastAsia="宋体" w:cs="宋体"/>
          <w:b/>
          <w:bCs/>
          <w:sz w:val="24"/>
          <w:szCs w:val="20"/>
          <w:lang w:val="en-US" w:eastAsia="zh-CN"/>
        </w:rPr>
      </w:pPr>
      <w:r>
        <w:rPr>
          <w:rFonts w:hint="eastAsia" w:ascii="宋体" w:hAnsi="宋体" w:cs="宋体"/>
          <w:b/>
          <w:bCs/>
          <w:sz w:val="24"/>
          <w:szCs w:val="20"/>
          <w:lang w:val="en-US" w:eastAsia="zh-CN"/>
        </w:rPr>
        <w:t>三、</w:t>
      </w:r>
      <w:r>
        <w:rPr>
          <w:rFonts w:hint="eastAsia" w:ascii="宋体" w:hAnsi="宋体" w:eastAsia="宋体" w:cs="宋体"/>
          <w:b/>
          <w:bCs/>
          <w:sz w:val="24"/>
          <w:szCs w:val="20"/>
          <w:lang w:val="en-US" w:eastAsia="zh-CN"/>
        </w:rPr>
        <w:t>服务</w:t>
      </w:r>
      <w:r>
        <w:rPr>
          <w:rFonts w:hint="eastAsia" w:ascii="宋体" w:hAnsi="宋体" w:eastAsia="宋体" w:cs="宋体"/>
          <w:b/>
          <w:bCs/>
          <w:sz w:val="24"/>
          <w:szCs w:val="20"/>
        </w:rPr>
        <w:t>范围</w:t>
      </w:r>
      <w:r>
        <w:rPr>
          <w:rFonts w:hint="eastAsia" w:ascii="宋体" w:hAnsi="宋体" w:eastAsia="宋体" w:cs="宋体"/>
          <w:b/>
          <w:bCs/>
          <w:sz w:val="24"/>
          <w:szCs w:val="20"/>
          <w:lang w:eastAsia="zh-CN"/>
        </w:rPr>
        <w:t>及费用</w:t>
      </w:r>
    </w:p>
    <w:tbl>
      <w:tblPr>
        <w:tblStyle w:val="28"/>
        <w:tblpPr w:leftFromText="180" w:rightFromText="180" w:vertAnchor="text" w:horzAnchor="page" w:tblpX="1408" w:tblpY="153"/>
        <w:tblOverlap w:val="never"/>
        <w:tblW w:w="9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4215"/>
        <w:gridCol w:w="2269"/>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tblHeader/>
        </w:trPr>
        <w:tc>
          <w:tcPr>
            <w:tcW w:w="800" w:type="dxa"/>
            <w:shd w:val="clear" w:color="auto" w:fill="F2F2F2"/>
            <w:vAlign w:val="center"/>
          </w:tcPr>
          <w:p>
            <w:pPr>
              <w:widowControl w:val="0"/>
              <w:wordWrap/>
              <w:spacing w:after="0" w:line="360" w:lineRule="auto"/>
              <w:ind w:left="0" w:leftChars="0" w:right="0"/>
              <w:jc w:val="center"/>
              <w:outlineLvl w:val="9"/>
              <w:rPr>
                <w:rFonts w:hint="eastAsia" w:ascii="宋体" w:hAnsi="宋体" w:eastAsia="宋体" w:cs="宋体"/>
                <w:b/>
                <w:bCs/>
                <w:sz w:val="24"/>
                <w:szCs w:val="24"/>
                <w:lang w:val="zh-CN"/>
              </w:rPr>
            </w:pPr>
            <w:r>
              <w:rPr>
                <w:rFonts w:hint="eastAsia" w:ascii="宋体" w:hAnsi="宋体" w:eastAsia="宋体" w:cs="宋体"/>
                <w:b/>
                <w:bCs/>
                <w:sz w:val="24"/>
                <w:szCs w:val="24"/>
                <w:lang w:val="zh-CN"/>
              </w:rPr>
              <w:t>序号</w:t>
            </w:r>
          </w:p>
        </w:tc>
        <w:tc>
          <w:tcPr>
            <w:tcW w:w="4215" w:type="dxa"/>
            <w:shd w:val="clear" w:color="auto" w:fill="F2F2F2"/>
            <w:vAlign w:val="center"/>
          </w:tcPr>
          <w:p>
            <w:pPr>
              <w:widowControl w:val="0"/>
              <w:wordWrap/>
              <w:spacing w:after="0" w:line="360" w:lineRule="auto"/>
              <w:ind w:left="0" w:leftChars="0" w:right="0"/>
              <w:jc w:val="center"/>
              <w:outlineLvl w:val="9"/>
              <w:rPr>
                <w:rFonts w:hint="eastAsia" w:ascii="宋体" w:hAnsi="宋体" w:eastAsia="宋体" w:cs="宋体"/>
                <w:b/>
                <w:bCs/>
                <w:sz w:val="24"/>
                <w:szCs w:val="24"/>
                <w:lang w:val="zh-CN"/>
              </w:rPr>
            </w:pPr>
            <w:r>
              <w:rPr>
                <w:rFonts w:hint="eastAsia" w:ascii="宋体" w:hAnsi="宋体" w:eastAsia="宋体" w:cs="宋体"/>
                <w:b/>
                <w:bCs/>
                <w:sz w:val="24"/>
                <w:szCs w:val="24"/>
                <w:lang w:val="zh-CN"/>
              </w:rPr>
              <w:t>服务范围</w:t>
            </w:r>
          </w:p>
        </w:tc>
        <w:tc>
          <w:tcPr>
            <w:tcW w:w="2269" w:type="dxa"/>
            <w:shd w:val="clear" w:color="auto" w:fill="F2F2F2"/>
            <w:vAlign w:val="center"/>
          </w:tcPr>
          <w:p>
            <w:pPr>
              <w:widowControl w:val="0"/>
              <w:wordWrap/>
              <w:spacing w:after="0" w:line="360" w:lineRule="auto"/>
              <w:ind w:left="0" w:leftChars="0" w:right="0"/>
              <w:jc w:val="center"/>
              <w:outlineLvl w:val="9"/>
              <w:rPr>
                <w:rFonts w:hint="eastAsia" w:ascii="宋体" w:hAnsi="宋体" w:eastAsia="宋体" w:cs="宋体"/>
                <w:b/>
                <w:bCs/>
                <w:sz w:val="24"/>
                <w:szCs w:val="24"/>
                <w:lang w:val="zh-CN"/>
              </w:rPr>
            </w:pPr>
            <w:r>
              <w:rPr>
                <w:rFonts w:hint="eastAsia" w:ascii="宋体" w:hAnsi="宋体" w:eastAsia="宋体" w:cs="宋体"/>
                <w:b/>
                <w:bCs/>
                <w:sz w:val="24"/>
                <w:szCs w:val="24"/>
                <w:lang w:val="zh-CN"/>
              </w:rPr>
              <w:t>服务类型</w:t>
            </w:r>
          </w:p>
        </w:tc>
        <w:tc>
          <w:tcPr>
            <w:tcW w:w="2283" w:type="dxa"/>
            <w:shd w:val="clear" w:color="auto" w:fill="F2F2F2"/>
            <w:vAlign w:val="center"/>
          </w:tcPr>
          <w:p>
            <w:pPr>
              <w:widowControl w:val="0"/>
              <w:wordWrap/>
              <w:spacing w:after="0" w:line="360" w:lineRule="auto"/>
              <w:ind w:left="0" w:leftChars="0" w:right="0"/>
              <w:jc w:val="center"/>
              <w:outlineLvl w:val="9"/>
              <w:rPr>
                <w:rFonts w:hint="eastAsia" w:ascii="宋体" w:hAnsi="宋体" w:eastAsia="宋体" w:cs="宋体"/>
                <w:b/>
                <w:bCs/>
                <w:sz w:val="24"/>
                <w:szCs w:val="24"/>
                <w:lang w:val="zh-CN"/>
              </w:rPr>
            </w:pPr>
            <w:r>
              <w:rPr>
                <w:rFonts w:hint="eastAsia" w:ascii="宋体" w:hAnsi="宋体" w:eastAsia="宋体" w:cs="宋体"/>
                <w:b/>
                <w:bCs/>
                <w:sz w:val="24"/>
                <w:szCs w:val="24"/>
                <w:lang w:val="zh-CN"/>
              </w:rPr>
              <w:t>服务费用（万元）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0" w:hRule="atLeast"/>
        </w:trPr>
        <w:tc>
          <w:tcPr>
            <w:tcW w:w="800"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rPr>
              <w:t>1</w:t>
            </w:r>
          </w:p>
        </w:tc>
        <w:tc>
          <w:tcPr>
            <w:tcW w:w="4215" w:type="dxa"/>
            <w:vAlign w:val="center"/>
          </w:tcPr>
          <w:p>
            <w:pPr>
              <w:widowControl/>
              <w:wordWrap/>
              <w:spacing w:after="0" w:line="240" w:lineRule="auto"/>
              <w:ind w:left="0" w:leftChars="0" w:right="0"/>
              <w:jc w:val="both"/>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三级系统：</w:t>
            </w:r>
            <w:r>
              <w:rPr>
                <w:rFonts w:hint="eastAsia"/>
                <w:sz w:val="24"/>
                <w:szCs w:val="24"/>
              </w:rPr>
              <w:t>预算管理一体化系统</w:t>
            </w:r>
            <w:r>
              <w:rPr>
                <w:rFonts w:hint="eastAsia"/>
                <w:sz w:val="24"/>
                <w:szCs w:val="24"/>
                <w:lang w:eastAsia="zh-CN"/>
              </w:rPr>
              <w:t>（含一卡通子系统、非税收征缴信息管理系统、预算评审子系统）、</w:t>
            </w:r>
            <w:r>
              <w:rPr>
                <w:rFonts w:hint="eastAsia"/>
                <w:sz w:val="24"/>
                <w:szCs w:val="24"/>
              </w:rPr>
              <w:t>公务报账系统</w:t>
            </w:r>
            <w:r>
              <w:rPr>
                <w:rFonts w:hint="eastAsia"/>
                <w:sz w:val="24"/>
                <w:szCs w:val="24"/>
                <w:lang w:eastAsia="zh-CN"/>
              </w:rPr>
              <w:t>、</w:t>
            </w:r>
            <w:r>
              <w:rPr>
                <w:rFonts w:hint="eastAsia"/>
                <w:sz w:val="24"/>
                <w:szCs w:val="24"/>
              </w:rPr>
              <w:t>电子票据管理系统</w:t>
            </w:r>
            <w:r>
              <w:rPr>
                <w:rFonts w:hint="eastAsia"/>
                <w:sz w:val="24"/>
                <w:szCs w:val="24"/>
                <w:lang w:eastAsia="zh-CN"/>
              </w:rPr>
              <w:t>（含</w:t>
            </w:r>
            <w:r>
              <w:rPr>
                <w:rFonts w:hint="eastAsia"/>
                <w:sz w:val="24"/>
                <w:szCs w:val="24"/>
              </w:rPr>
              <w:t>财政区块链电子票据管理系统</w:t>
            </w:r>
            <w:r>
              <w:rPr>
                <w:rFonts w:hint="eastAsia"/>
                <w:sz w:val="24"/>
                <w:szCs w:val="24"/>
                <w:lang w:eastAsia="zh-CN"/>
              </w:rPr>
              <w:t>）、</w:t>
            </w:r>
            <w:r>
              <w:rPr>
                <w:rFonts w:hint="eastAsia"/>
                <w:sz w:val="24"/>
                <w:szCs w:val="24"/>
              </w:rPr>
              <w:t>电子凭证库和电子印章系统</w:t>
            </w:r>
            <w:r>
              <w:rPr>
                <w:rFonts w:hint="eastAsia"/>
                <w:sz w:val="24"/>
                <w:szCs w:val="24"/>
                <w:lang w:eastAsia="zh-CN"/>
              </w:rPr>
              <w:t>、</w:t>
            </w:r>
            <w:r>
              <w:rPr>
                <w:rFonts w:hint="eastAsia"/>
                <w:sz w:val="24"/>
                <w:szCs w:val="24"/>
              </w:rPr>
              <w:t>会计管理服务平台</w:t>
            </w:r>
          </w:p>
          <w:p>
            <w:pPr>
              <w:widowControl/>
              <w:wordWrap/>
              <w:spacing w:after="0" w:line="240" w:lineRule="auto"/>
              <w:ind w:left="0" w:leftChars="0" w:right="0"/>
              <w:jc w:val="both"/>
              <w:outlineLvl w:val="9"/>
              <w:rPr>
                <w:rFonts w:hint="eastAsia"/>
                <w:sz w:val="24"/>
                <w:szCs w:val="24"/>
                <w:lang w:eastAsia="zh-CN"/>
              </w:rPr>
            </w:pPr>
            <w:r>
              <w:rPr>
                <w:rFonts w:hint="eastAsia" w:ascii="宋体" w:hAnsi="宋体" w:eastAsia="宋体" w:cs="宋体"/>
                <w:sz w:val="24"/>
                <w:szCs w:val="24"/>
                <w:lang w:eastAsia="zh-CN"/>
              </w:rPr>
              <w:t>二级系统</w:t>
            </w:r>
            <w:r>
              <w:rPr>
                <w:rFonts w:hint="eastAsia"/>
                <w:sz w:val="24"/>
                <w:szCs w:val="24"/>
                <w:lang w:eastAsia="zh-CN"/>
              </w:rPr>
              <w:t>：</w:t>
            </w:r>
            <w:r>
              <w:rPr>
                <w:rFonts w:hint="eastAsia" w:ascii="宋体" w:hAnsi="宋体" w:eastAsia="宋体" w:cs="宋体"/>
                <w:sz w:val="24"/>
                <w:szCs w:val="24"/>
                <w:lang w:eastAsia="zh-CN"/>
              </w:rPr>
              <w:t>蓝信即时通讯系统</w:t>
            </w:r>
            <w:r>
              <w:rPr>
                <w:rFonts w:hint="eastAsia" w:ascii="宋体" w:hAnsi="宋体" w:cs="宋体"/>
                <w:sz w:val="24"/>
                <w:szCs w:val="24"/>
                <w:lang w:eastAsia="zh-CN"/>
              </w:rPr>
              <w:t>、</w:t>
            </w:r>
            <w:r>
              <w:rPr>
                <w:rFonts w:hint="eastAsia"/>
                <w:sz w:val="24"/>
                <w:szCs w:val="24"/>
              </w:rPr>
              <w:t>统一报表系统、国有资本经营预算管理系统</w:t>
            </w:r>
          </w:p>
        </w:tc>
        <w:tc>
          <w:tcPr>
            <w:tcW w:w="2269"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等保测评</w:t>
            </w:r>
          </w:p>
        </w:tc>
        <w:tc>
          <w:tcPr>
            <w:tcW w:w="2283"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800"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4215"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应急演练、</w:t>
            </w:r>
            <w:r>
              <w:rPr>
                <w:rFonts w:hint="eastAsia" w:ascii="宋体" w:hAnsi="宋体" w:eastAsia="宋体" w:cs="宋体"/>
                <w:sz w:val="24"/>
              </w:rPr>
              <w:t>网络安全</w:t>
            </w:r>
            <w:r>
              <w:rPr>
                <w:rFonts w:hint="eastAsia" w:ascii="宋体" w:hAnsi="宋体" w:eastAsia="宋体" w:cs="宋体"/>
                <w:sz w:val="24"/>
                <w:lang w:eastAsia="zh-CN"/>
              </w:rPr>
              <w:t>宣传周活动</w:t>
            </w:r>
          </w:p>
        </w:tc>
        <w:tc>
          <w:tcPr>
            <w:tcW w:w="2269"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1个场景应急演练</w:t>
            </w:r>
          </w:p>
        </w:tc>
        <w:tc>
          <w:tcPr>
            <w:tcW w:w="2283"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800"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p>
        </w:tc>
        <w:tc>
          <w:tcPr>
            <w:tcW w:w="4215"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合计</w:t>
            </w:r>
          </w:p>
        </w:tc>
        <w:tc>
          <w:tcPr>
            <w:tcW w:w="2269"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p>
        </w:tc>
        <w:tc>
          <w:tcPr>
            <w:tcW w:w="2283" w:type="dxa"/>
            <w:vAlign w:val="center"/>
          </w:tcPr>
          <w:p>
            <w:pPr>
              <w:widowControl w:val="0"/>
              <w:wordWrap/>
              <w:spacing w:after="0" w:line="360" w:lineRule="auto"/>
              <w:ind w:left="0" w:leftChars="0" w:right="0"/>
              <w:jc w:val="center"/>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42</w:t>
            </w:r>
          </w:p>
        </w:tc>
      </w:tr>
    </w:tbl>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四、费用支付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widowControl w:val="0"/>
        <w:wordWrap/>
        <w:spacing w:after="0" w:line="240" w:lineRule="auto"/>
        <w:ind w:left="0" w:leftChars="0" w:right="0" w:firstLine="0"/>
        <w:outlineLvl w:val="9"/>
        <w:rPr>
          <w:rFonts w:hint="eastAsia" w:ascii="宋体" w:hAnsi="宋体" w:eastAsia="宋体" w:cs="宋体"/>
          <w:b/>
          <w:bCs/>
          <w:sz w:val="24"/>
          <w:szCs w:val="20"/>
        </w:rPr>
      </w:pPr>
      <w:r>
        <w:rPr>
          <w:rFonts w:hint="eastAsia" w:ascii="宋体" w:hAnsi="宋体" w:cs="宋体"/>
          <w:b/>
          <w:bCs/>
          <w:sz w:val="24"/>
          <w:szCs w:val="20"/>
          <w:lang w:eastAsia="zh-CN"/>
        </w:rPr>
        <w:t>五、</w:t>
      </w:r>
      <w:r>
        <w:rPr>
          <w:rFonts w:hint="eastAsia" w:ascii="宋体" w:hAnsi="宋体" w:eastAsia="宋体" w:cs="宋体"/>
          <w:b/>
          <w:bCs/>
          <w:sz w:val="24"/>
          <w:szCs w:val="20"/>
        </w:rPr>
        <w:t>服务内容</w:t>
      </w:r>
    </w:p>
    <w:p>
      <w:pPr>
        <w:widowControl w:val="0"/>
        <w:wordWrap/>
        <w:adjustRightInd/>
        <w:snapToGrid/>
        <w:spacing w:line="440" w:lineRule="exact"/>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w:t>
      </w:r>
      <w:r>
        <w:rPr>
          <w:rFonts w:hint="eastAsia" w:ascii="宋体" w:hAnsi="宋体" w:cs="宋体"/>
          <w:sz w:val="24"/>
          <w:lang w:val="en-US" w:eastAsia="zh-CN"/>
        </w:rPr>
        <w:t>一</w:t>
      </w:r>
      <w:r>
        <w:rPr>
          <w:rFonts w:hint="eastAsia" w:ascii="宋体" w:hAnsi="宋体" w:eastAsia="宋体" w:cs="宋体"/>
          <w:sz w:val="24"/>
          <w:lang w:val="en-US" w:eastAsia="zh-CN"/>
        </w:rPr>
        <w:t>）</w:t>
      </w:r>
      <w:r>
        <w:rPr>
          <w:rFonts w:hint="eastAsia" w:ascii="宋体" w:hAnsi="宋体" w:eastAsia="宋体" w:cs="宋体"/>
          <w:sz w:val="24"/>
        </w:rPr>
        <w:t>等级保护测评</w:t>
      </w:r>
    </w:p>
    <w:p>
      <w:pPr>
        <w:widowControl w:val="0"/>
        <w:wordWrap/>
        <w:spacing w:after="0" w:line="440" w:lineRule="exact"/>
        <w:ind w:left="0" w:leftChars="0" w:right="0" w:firstLine="660"/>
        <w:outlineLvl w:val="9"/>
        <w:rPr>
          <w:rFonts w:hint="eastAsia" w:ascii="宋体" w:hAnsi="宋体" w:eastAsia="宋体" w:cs="宋体"/>
          <w:b/>
          <w:bCs/>
          <w:sz w:val="24"/>
          <w:szCs w:val="24"/>
          <w:lang w:val="en-US" w:eastAsia="zh-CN"/>
        </w:rPr>
      </w:pPr>
      <w:r>
        <w:rPr>
          <w:rFonts w:hint="eastAsia" w:ascii="宋体" w:hAnsi="宋体" w:eastAsia="宋体" w:cs="宋体"/>
          <w:sz w:val="24"/>
          <w:szCs w:val="24"/>
        </w:rPr>
        <w:t>依据国家网络安全等级保护管理规定，按照《信息安全技术网络安全等级保护测评要求》(GB/T 28448-2019)、《信息安全技术网络安全等级保护测评过程指南》(GB/T28449-2018)有关管理规范和技术标准对</w:t>
      </w:r>
      <w:r>
        <w:rPr>
          <w:rFonts w:hint="eastAsia" w:ascii="宋体" w:hAnsi="宋体" w:eastAsia="宋体" w:cs="宋体"/>
          <w:sz w:val="24"/>
          <w:szCs w:val="24"/>
          <w:lang w:eastAsia="zh-CN"/>
        </w:rPr>
        <w:t>服务范围所列信息系统</w:t>
      </w:r>
      <w:r>
        <w:rPr>
          <w:rFonts w:hint="eastAsia" w:ascii="宋体" w:hAnsi="宋体" w:eastAsia="宋体" w:cs="宋体"/>
          <w:sz w:val="24"/>
          <w:szCs w:val="24"/>
        </w:rPr>
        <w:t>开展等级测评工作</w:t>
      </w:r>
      <w:r>
        <w:rPr>
          <w:rFonts w:hint="eastAsia" w:ascii="宋体" w:hAnsi="宋体" w:eastAsia="宋体" w:cs="宋体"/>
          <w:sz w:val="24"/>
          <w:szCs w:val="24"/>
          <w:lang w:eastAsia="zh-CN"/>
        </w:rPr>
        <w:t>。</w:t>
      </w:r>
    </w:p>
    <w:p>
      <w:pPr>
        <w:widowControl w:val="0"/>
        <w:wordWrap/>
        <w:adjustRightInd/>
        <w:snapToGrid/>
        <w:spacing w:line="44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w:t>
      </w:r>
      <w:r>
        <w:rPr>
          <w:rFonts w:hint="eastAsia" w:ascii="宋体" w:hAnsi="宋体" w:cs="宋体"/>
          <w:sz w:val="24"/>
          <w:lang w:val="en-US" w:eastAsia="zh-CN"/>
        </w:rPr>
        <w:t>二</w:t>
      </w:r>
      <w:r>
        <w:rPr>
          <w:rFonts w:hint="eastAsia" w:ascii="宋体" w:hAnsi="宋体" w:eastAsia="宋体" w:cs="宋体"/>
          <w:sz w:val="24"/>
          <w:lang w:val="en-US" w:eastAsia="zh-CN"/>
        </w:rPr>
        <w:t>）网络安全应急演练</w:t>
      </w:r>
    </w:p>
    <w:p>
      <w:pPr>
        <w:widowControl w:val="0"/>
        <w:wordWrap/>
        <w:spacing w:after="0" w:line="440" w:lineRule="exact"/>
        <w:ind w:left="0" w:leftChars="0" w:right="0"/>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结合当</w:t>
      </w:r>
      <w:r>
        <w:rPr>
          <w:rFonts w:hint="eastAsia" w:ascii="宋体" w:hAnsi="宋体" w:eastAsia="宋体" w:cs="宋体"/>
          <w:color w:val="auto"/>
          <w:sz w:val="24"/>
          <w:szCs w:val="24"/>
          <w:lang w:eastAsia="zh-CN"/>
        </w:rPr>
        <w:t>前</w:t>
      </w:r>
      <w:r>
        <w:rPr>
          <w:rFonts w:hint="eastAsia" w:ascii="宋体" w:hAnsi="宋体" w:eastAsia="宋体" w:cs="宋体"/>
          <w:color w:val="auto"/>
          <w:sz w:val="24"/>
          <w:szCs w:val="24"/>
        </w:rPr>
        <w:t>信息安全形势设计</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种</w:t>
      </w:r>
      <w:r>
        <w:rPr>
          <w:rFonts w:hint="eastAsia" w:ascii="宋体" w:hAnsi="宋体" w:eastAsia="宋体" w:cs="宋体"/>
          <w:color w:val="auto"/>
          <w:sz w:val="24"/>
          <w:szCs w:val="24"/>
          <w:lang w:eastAsia="zh-CN"/>
        </w:rPr>
        <w:t>网络</w:t>
      </w:r>
      <w:r>
        <w:rPr>
          <w:rFonts w:hint="eastAsia" w:ascii="宋体" w:hAnsi="宋体" w:eastAsia="宋体" w:cs="宋体"/>
          <w:color w:val="auto"/>
          <w:sz w:val="24"/>
          <w:szCs w:val="24"/>
        </w:rPr>
        <w:t>应急演练场景。</w:t>
      </w:r>
      <w:r>
        <w:rPr>
          <w:rFonts w:hint="eastAsia" w:ascii="宋体" w:hAnsi="宋体" w:eastAsia="宋体" w:cs="宋体"/>
          <w:color w:val="auto"/>
          <w:sz w:val="24"/>
          <w:szCs w:val="24"/>
          <w:lang w:eastAsia="zh-CN"/>
        </w:rPr>
        <w:t>制定</w:t>
      </w:r>
      <w:r>
        <w:rPr>
          <w:rFonts w:hint="eastAsia" w:ascii="宋体" w:hAnsi="宋体" w:eastAsia="宋体" w:cs="宋体"/>
          <w:color w:val="auto"/>
          <w:sz w:val="24"/>
          <w:szCs w:val="24"/>
        </w:rPr>
        <w:t>应急演练方案、应急预案</w:t>
      </w:r>
      <w:r>
        <w:rPr>
          <w:rFonts w:hint="eastAsia" w:ascii="宋体" w:hAnsi="宋体" w:eastAsia="宋体" w:cs="宋体"/>
          <w:color w:val="auto"/>
          <w:sz w:val="24"/>
          <w:szCs w:val="24"/>
          <w:lang w:eastAsia="zh-CN"/>
        </w:rPr>
        <w:t>，开展应</w:t>
      </w:r>
      <w:r>
        <w:rPr>
          <w:rFonts w:hint="eastAsia" w:ascii="宋体" w:hAnsi="宋体" w:eastAsia="宋体" w:cs="宋体"/>
          <w:sz w:val="24"/>
          <w:szCs w:val="24"/>
          <w:lang w:eastAsia="zh-CN"/>
        </w:rPr>
        <w:t>急演练服务</w:t>
      </w:r>
      <w:r>
        <w:rPr>
          <w:rFonts w:hint="eastAsia" w:ascii="宋体" w:hAnsi="宋体" w:eastAsia="宋体" w:cs="宋体"/>
          <w:sz w:val="24"/>
          <w:szCs w:val="24"/>
        </w:rPr>
        <w:t>。</w:t>
      </w:r>
      <w:r>
        <w:rPr>
          <w:rFonts w:hint="eastAsia" w:ascii="宋体" w:hAnsi="宋体" w:eastAsia="宋体" w:cs="宋体"/>
          <w:sz w:val="24"/>
          <w:szCs w:val="24"/>
          <w:lang w:eastAsia="zh-CN"/>
        </w:rPr>
        <w:t>应急演练应</w:t>
      </w:r>
      <w:r>
        <w:rPr>
          <w:rFonts w:hint="eastAsia" w:ascii="宋体" w:hAnsi="宋体" w:eastAsia="宋体" w:cs="宋体"/>
          <w:sz w:val="24"/>
          <w:szCs w:val="24"/>
        </w:rPr>
        <w:t>融合攻击场景和防守场景，以实战的方式提高信息安全技术能力。</w:t>
      </w:r>
    </w:p>
    <w:p>
      <w:pPr>
        <w:widowControl w:val="0"/>
        <w:wordWrap/>
        <w:adjustRightInd/>
        <w:snapToGrid/>
        <w:spacing w:line="440" w:lineRule="exact"/>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w:t>
      </w:r>
      <w:r>
        <w:rPr>
          <w:rFonts w:hint="eastAsia" w:ascii="宋体" w:hAnsi="宋体" w:cs="宋体"/>
          <w:sz w:val="24"/>
          <w:lang w:val="en-US" w:eastAsia="zh-CN"/>
        </w:rPr>
        <w:t>三</w:t>
      </w:r>
      <w:r>
        <w:rPr>
          <w:rFonts w:hint="eastAsia" w:ascii="宋体" w:hAnsi="宋体" w:eastAsia="宋体" w:cs="宋体"/>
          <w:sz w:val="24"/>
          <w:lang w:val="en-US" w:eastAsia="zh-CN"/>
        </w:rPr>
        <w:t>）</w:t>
      </w:r>
      <w:r>
        <w:rPr>
          <w:rFonts w:hint="eastAsia" w:ascii="宋体" w:hAnsi="宋体" w:eastAsia="宋体" w:cs="宋体"/>
          <w:sz w:val="24"/>
        </w:rPr>
        <w:t>网络安全</w:t>
      </w:r>
      <w:r>
        <w:rPr>
          <w:rFonts w:hint="eastAsia" w:ascii="宋体" w:hAnsi="宋体" w:eastAsia="宋体" w:cs="宋体"/>
          <w:sz w:val="24"/>
          <w:lang w:eastAsia="zh-CN"/>
        </w:rPr>
        <w:t>宣传周活动</w:t>
      </w:r>
    </w:p>
    <w:p>
      <w:pPr>
        <w:widowControl w:val="0"/>
        <w:wordWrap/>
        <w:spacing w:after="0" w:line="440" w:lineRule="exact"/>
        <w:ind w:left="0" w:leftChars="0" w:right="0"/>
        <w:outlineLvl w:val="9"/>
        <w:rPr>
          <w:rFonts w:hint="eastAsia" w:ascii="宋体" w:hAnsi="宋体" w:eastAsia="宋体" w:cs="宋体"/>
          <w:sz w:val="24"/>
          <w:szCs w:val="24"/>
        </w:rPr>
      </w:pPr>
      <w:r>
        <w:rPr>
          <w:rFonts w:hint="eastAsia" w:ascii="宋体" w:hAnsi="宋体" w:eastAsia="宋体" w:cs="宋体"/>
          <w:color w:val="FF0000"/>
          <w:sz w:val="24"/>
          <w:szCs w:val="24"/>
        </w:rPr>
        <w:t xml:space="preserve">    </w:t>
      </w:r>
      <w:r>
        <w:rPr>
          <w:rFonts w:hint="eastAsia" w:ascii="宋体" w:hAnsi="宋体" w:eastAsia="宋体" w:cs="宋体"/>
          <w:sz w:val="24"/>
          <w:szCs w:val="24"/>
          <w:lang w:eastAsia="zh-CN"/>
        </w:rPr>
        <w:t>根据国家网络安全宣传周，制定网络安全宣传周活动方案</w:t>
      </w:r>
      <w:r>
        <w:rPr>
          <w:rFonts w:hint="eastAsia" w:ascii="宋体" w:hAnsi="宋体" w:cs="宋体"/>
          <w:sz w:val="24"/>
          <w:szCs w:val="24"/>
          <w:lang w:eastAsia="zh-CN"/>
        </w:rPr>
        <w:t>（包含网络安全培训）</w:t>
      </w:r>
      <w:r>
        <w:rPr>
          <w:rFonts w:hint="eastAsia" w:ascii="宋体" w:hAnsi="宋体" w:eastAsia="宋体" w:cs="宋体"/>
          <w:sz w:val="24"/>
          <w:szCs w:val="24"/>
          <w:lang w:eastAsia="zh-CN"/>
        </w:rPr>
        <w:t>，开展网络安全宣传周活动。</w:t>
      </w:r>
    </w:p>
    <w:p>
      <w:pPr>
        <w:widowControl w:val="0"/>
        <w:wordWrap/>
        <w:spacing w:after="0" w:line="240" w:lineRule="auto"/>
        <w:ind w:left="0" w:leftChars="0" w:right="0" w:firstLine="0" w:firstLineChars="0"/>
        <w:outlineLvl w:val="9"/>
        <w:rPr>
          <w:rFonts w:hint="eastAsia" w:ascii="宋体" w:hAnsi="宋体" w:eastAsia="宋体" w:cs="宋体"/>
          <w:b/>
          <w:bCs/>
          <w:sz w:val="24"/>
          <w:szCs w:val="20"/>
        </w:rPr>
      </w:pPr>
      <w:r>
        <w:rPr>
          <w:rFonts w:hint="eastAsia" w:ascii="宋体" w:hAnsi="宋体" w:cs="宋体"/>
          <w:b/>
          <w:bCs/>
          <w:sz w:val="24"/>
          <w:szCs w:val="20"/>
          <w:lang w:eastAsia="zh-CN"/>
        </w:rPr>
        <w:t>六、</w:t>
      </w:r>
      <w:r>
        <w:rPr>
          <w:rFonts w:hint="eastAsia" w:ascii="宋体" w:hAnsi="宋体" w:eastAsia="宋体" w:cs="宋体"/>
          <w:b/>
          <w:bCs/>
          <w:sz w:val="24"/>
          <w:szCs w:val="20"/>
        </w:rPr>
        <w:t>输出成果</w:t>
      </w:r>
    </w:p>
    <w:p>
      <w:pPr>
        <w:widowControl w:val="0"/>
        <w:wordWrap/>
        <w:spacing w:after="0" w:line="440" w:lineRule="exact"/>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等级保护测评</w:t>
      </w:r>
      <w:r>
        <w:rPr>
          <w:rFonts w:hint="eastAsia" w:ascii="宋体" w:hAnsi="宋体" w:eastAsia="宋体" w:cs="宋体"/>
          <w:sz w:val="24"/>
          <w:szCs w:val="24"/>
          <w:lang w:eastAsia="zh-CN"/>
        </w:rPr>
        <w:t>服务提交成果：《</w:t>
      </w:r>
      <w:r>
        <w:rPr>
          <w:rFonts w:hint="eastAsia" w:ascii="宋体" w:hAnsi="宋体" w:eastAsia="宋体" w:cs="宋体"/>
          <w:sz w:val="24"/>
          <w:szCs w:val="24"/>
        </w:rPr>
        <w:t>网络安全等级保护测评报告</w:t>
      </w:r>
      <w:r>
        <w:rPr>
          <w:rFonts w:hint="eastAsia" w:ascii="宋体" w:hAnsi="宋体" w:eastAsia="宋体" w:cs="宋体"/>
          <w:sz w:val="24"/>
          <w:szCs w:val="24"/>
          <w:lang w:eastAsia="zh-CN"/>
        </w:rPr>
        <w:t>》《</w:t>
      </w:r>
      <w:r>
        <w:rPr>
          <w:rFonts w:hint="eastAsia" w:ascii="宋体" w:hAnsi="宋体" w:eastAsia="宋体" w:cs="宋体"/>
          <w:sz w:val="24"/>
          <w:szCs w:val="24"/>
        </w:rPr>
        <w:t>等保整改建议书</w:t>
      </w:r>
      <w:r>
        <w:rPr>
          <w:rFonts w:hint="eastAsia" w:ascii="宋体" w:hAnsi="宋体" w:eastAsia="宋体" w:cs="宋体"/>
          <w:sz w:val="24"/>
          <w:szCs w:val="24"/>
          <w:lang w:eastAsia="zh-CN"/>
        </w:rPr>
        <w:t>》。</w:t>
      </w:r>
    </w:p>
    <w:p>
      <w:pPr>
        <w:widowControl w:val="0"/>
        <w:wordWrap/>
        <w:spacing w:after="0" w:line="440" w:lineRule="exact"/>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应急演练</w:t>
      </w:r>
      <w:r>
        <w:rPr>
          <w:rFonts w:hint="eastAsia" w:ascii="宋体" w:hAnsi="宋体" w:eastAsia="宋体" w:cs="宋体"/>
          <w:sz w:val="24"/>
          <w:szCs w:val="24"/>
          <w:lang w:eastAsia="zh-CN"/>
        </w:rPr>
        <w:t>服务提交成果：《网络安全应急演练方案》《网络安全应急预案》《网络安全应急演练总结报告》</w:t>
      </w:r>
      <w:r>
        <w:rPr>
          <w:rFonts w:hint="eastAsia" w:ascii="宋体" w:hAnsi="宋体" w:eastAsia="宋体" w:cs="宋体"/>
          <w:sz w:val="24"/>
          <w:szCs w:val="24"/>
        </w:rPr>
        <w:t>。</w:t>
      </w:r>
    </w:p>
    <w:p>
      <w:pPr>
        <w:pStyle w:val="5"/>
        <w:widowControl w:val="0"/>
        <w:wordWrap/>
        <w:spacing w:after="0" w:line="440" w:lineRule="exact"/>
        <w:ind w:left="0" w:leftChars="0" w:right="0"/>
        <w:outlineLvl w:val="9"/>
        <w:rPr>
          <w:rFonts w:hint="eastAsia" w:ascii="宋体" w:hAnsi="宋体" w:eastAsia="宋体" w:cs="宋体"/>
          <w:sz w:val="24"/>
          <w:lang w:val="en-US" w:eastAsia="zh-CN"/>
        </w:rPr>
      </w:pPr>
      <w:r>
        <w:rPr>
          <w:rFonts w:hint="eastAsia" w:ascii="宋体" w:hAnsi="宋体" w:eastAsia="宋体" w:cs="宋体"/>
          <w:sz w:val="24"/>
          <w:szCs w:val="24"/>
          <w:lang w:val="en-US" w:eastAsia="zh-CN"/>
        </w:rPr>
        <w:t>（3）网络安全宣传周提交成果：《网络安全宣传周活动方案》《网络安全宣传周总结报告》。</w:t>
      </w:r>
    </w:p>
    <w:p>
      <w:pPr>
        <w:widowControl w:val="0"/>
        <w:wordWrap/>
        <w:spacing w:after="0" w:line="240" w:lineRule="auto"/>
        <w:ind w:left="0" w:leftChars="0" w:right="0" w:firstLine="0" w:firstLineChars="0"/>
        <w:outlineLvl w:val="9"/>
        <w:rPr>
          <w:rFonts w:hint="eastAsia" w:ascii="宋体" w:hAnsi="宋体" w:eastAsia="宋体" w:cs="宋体"/>
          <w:b/>
          <w:bCs/>
          <w:sz w:val="24"/>
          <w:szCs w:val="20"/>
          <w:highlight w:val="none"/>
          <w:lang w:eastAsia="zh-CN"/>
        </w:rPr>
      </w:pPr>
      <w:r>
        <w:rPr>
          <w:rFonts w:hint="eastAsia" w:ascii="宋体" w:hAnsi="宋体" w:eastAsia="宋体" w:cs="宋体"/>
          <w:sz w:val="24"/>
          <w:szCs w:val="24"/>
          <w:lang w:val="en-US" w:eastAsia="zh-CN"/>
        </w:rPr>
        <w:t>★</w:t>
      </w:r>
      <w:r>
        <w:rPr>
          <w:rFonts w:hint="eastAsia" w:ascii="宋体" w:hAnsi="宋体" w:cs="宋体"/>
          <w:b/>
          <w:bCs/>
          <w:sz w:val="24"/>
          <w:szCs w:val="20"/>
          <w:highlight w:val="none"/>
          <w:lang w:eastAsia="zh-CN"/>
        </w:rPr>
        <w:t>七、</w:t>
      </w:r>
      <w:r>
        <w:rPr>
          <w:rFonts w:hint="eastAsia" w:ascii="宋体" w:hAnsi="宋体" w:eastAsia="宋体" w:cs="宋体"/>
          <w:b/>
          <w:bCs/>
          <w:sz w:val="24"/>
          <w:szCs w:val="20"/>
          <w:highlight w:val="none"/>
          <w:lang w:eastAsia="zh-CN"/>
        </w:rPr>
        <w:t>实施团队要求</w:t>
      </w:r>
    </w:p>
    <w:p>
      <w:pPr>
        <w:widowControl w:val="0"/>
        <w:wordWrap/>
        <w:spacing w:after="0" w:line="440" w:lineRule="exact"/>
        <w:ind w:left="0" w:leftChars="0" w:right="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实施团队成员名单及职责分工明确，项目期间在项目本地部署不少于5人的技术团队，项目经理必须具有3年以上的等保测评服务项目管理经验，且每周到项目现场不少于一天；其中，本项目实施成员中，至少有1人具备等级保护高级测评师资格和有2人具备等级保护中级测评师资格，且属于供应商在册员工(以社保缴纳证明为认定依据)，实施测评工作的技术人员必须具备公安部信息安全等级保护评估中心颁发的《信息安全等级测评师证书》或中关村信息安全测评联盟颁发的《网络安全等级测评师证书》（以下统一简称为“测评师证书”），且在项目现场随身佩戴《测评师证书》备查。</w:t>
      </w:r>
    </w:p>
    <w:p>
      <w:pPr>
        <w:widowControl w:val="0"/>
        <w:wordWrap/>
        <w:spacing w:after="0" w:line="240" w:lineRule="auto"/>
        <w:ind w:left="0" w:leftChars="0" w:right="0" w:firstLine="0" w:firstLineChars="0"/>
        <w:outlineLvl w:val="9"/>
        <w:rPr>
          <w:rFonts w:hint="eastAsia" w:ascii="宋体" w:hAnsi="宋体" w:eastAsia="宋体" w:cs="宋体"/>
          <w:b/>
          <w:bCs/>
          <w:sz w:val="24"/>
          <w:szCs w:val="20"/>
        </w:rPr>
      </w:pPr>
      <w:r>
        <w:rPr>
          <w:rFonts w:hint="eastAsia" w:ascii="宋体" w:hAnsi="宋体" w:cs="宋体"/>
          <w:b/>
          <w:bCs/>
          <w:sz w:val="24"/>
          <w:szCs w:val="20"/>
          <w:lang w:eastAsia="zh-CN"/>
        </w:rPr>
        <w:t>八、</w:t>
      </w:r>
      <w:r>
        <w:rPr>
          <w:rFonts w:hint="eastAsia" w:ascii="宋体" w:hAnsi="宋体" w:eastAsia="宋体" w:cs="宋体"/>
          <w:b/>
          <w:bCs/>
          <w:sz w:val="24"/>
          <w:szCs w:val="20"/>
        </w:rPr>
        <w:t xml:space="preserve">其他要求 </w:t>
      </w:r>
    </w:p>
    <w:p>
      <w:pPr>
        <w:widowControl w:val="0"/>
        <w:wordWrap/>
        <w:spacing w:after="0" w:line="440" w:lineRule="exact"/>
        <w:ind w:left="0" w:leftChars="0" w:right="0"/>
        <w:jc w:val="both"/>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中标供应商出具虚假测评报告，导致被评测系统中的漏洞隐患未被及时发现处理，造成被测评网络发生重大网络安全事件的，采购人有权追究相关责任。 </w:t>
      </w:r>
    </w:p>
    <w:p>
      <w:pPr>
        <w:widowControl w:val="0"/>
        <w:wordWrap/>
        <w:spacing w:after="0" w:line="440" w:lineRule="exact"/>
        <w:ind w:left="0" w:leftChars="0" w:right="0"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为确保本项目能尽快完成，中标供应商</w:t>
      </w:r>
      <w:r>
        <w:rPr>
          <w:rFonts w:hint="eastAsia" w:ascii="宋体" w:hAnsi="宋体" w:eastAsia="宋体" w:cs="宋体"/>
          <w:sz w:val="24"/>
          <w:szCs w:val="24"/>
          <w:lang w:eastAsia="zh-CN"/>
        </w:rPr>
        <w:t>应</w:t>
      </w:r>
      <w:r>
        <w:rPr>
          <w:rFonts w:hint="eastAsia" w:ascii="宋体" w:hAnsi="宋体" w:eastAsia="宋体" w:cs="宋体"/>
          <w:sz w:val="24"/>
          <w:szCs w:val="24"/>
        </w:rPr>
        <w:t>为本项目配备</w:t>
      </w:r>
      <w:r>
        <w:rPr>
          <w:rFonts w:hint="eastAsia" w:ascii="宋体" w:hAnsi="宋体" w:eastAsia="宋体" w:cs="宋体"/>
          <w:sz w:val="24"/>
          <w:szCs w:val="24"/>
          <w:lang w:eastAsia="zh-CN"/>
        </w:rPr>
        <w:t>足够胜任工作的项目人</w:t>
      </w:r>
      <w:r>
        <w:rPr>
          <w:rFonts w:hint="eastAsia" w:ascii="宋体" w:hAnsi="宋体" w:eastAsia="宋体" w:cs="宋体"/>
          <w:sz w:val="24"/>
          <w:szCs w:val="24"/>
        </w:rPr>
        <w:t xml:space="preserve">员，服务期间采购人将对配备人员进行严格管理。 </w:t>
      </w:r>
    </w:p>
    <w:p>
      <w:pPr>
        <w:widowControl w:val="0"/>
        <w:wordWrap/>
        <w:spacing w:after="0" w:line="440" w:lineRule="exact"/>
        <w:ind w:left="0" w:leftChars="0" w:right="0"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中标供应商在项目期间严格执行安全管理规定，如因中标供应商原因发生重大安全事件，采购人将此类情况通报中标供应商主管单位/部门、相关监管单位，并根据事件性质，酌情追究相关人员责任，同时上报财政监管部门申请列入招投标黑名单，并不予支付费用。 </w:t>
      </w:r>
    </w:p>
    <w:p>
      <w:pPr>
        <w:widowControl w:val="0"/>
        <w:wordWrap/>
        <w:spacing w:after="0" w:line="240" w:lineRule="auto"/>
        <w:ind w:left="0" w:leftChars="0" w:right="0" w:firstLine="0" w:firstLineChars="0"/>
        <w:outlineLvl w:val="9"/>
        <w:rPr>
          <w:rFonts w:hint="eastAsia" w:ascii="宋体" w:hAnsi="宋体" w:eastAsia="宋体" w:cs="宋体"/>
          <w:b/>
          <w:bCs/>
          <w:sz w:val="24"/>
          <w:szCs w:val="20"/>
          <w:lang w:val="en-US" w:eastAsia="zh-CN"/>
        </w:rPr>
      </w:pPr>
      <w:r>
        <w:rPr>
          <w:rFonts w:hint="eastAsia" w:ascii="宋体" w:hAnsi="宋体" w:cs="宋体"/>
          <w:b/>
          <w:bCs/>
          <w:sz w:val="24"/>
          <w:szCs w:val="20"/>
          <w:lang w:val="en-US" w:eastAsia="zh-CN"/>
        </w:rPr>
        <w:t>九、</w:t>
      </w:r>
      <w:r>
        <w:rPr>
          <w:rFonts w:hint="eastAsia" w:ascii="宋体" w:hAnsi="宋体" w:eastAsia="宋体" w:cs="宋体"/>
          <w:b/>
          <w:bCs/>
          <w:sz w:val="24"/>
          <w:szCs w:val="20"/>
          <w:lang w:val="en-US" w:eastAsia="zh-CN"/>
        </w:rPr>
        <w:t>保密要求</w:t>
      </w:r>
    </w:p>
    <w:p>
      <w:pPr>
        <w:widowControl w:val="0"/>
        <w:wordWrap/>
        <w:spacing w:after="0" w:line="440" w:lineRule="exact"/>
        <w:ind w:left="0" w:leftChars="0" w:right="0" w:firstLine="480" w:firstLineChars="200"/>
        <w:jc w:val="both"/>
        <w:outlineLvl w:val="9"/>
        <w:rPr>
          <w:rFonts w:hint="eastAsia" w:ascii="宋体" w:hAnsi="宋体" w:eastAsia="宋体" w:cs="宋体"/>
          <w:sz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供应商必须和采购人签订保密协议，供应商必须要与参加此次项目的所有项目组成员签订保密协议，在合同签订时一并提供给采购人。供应商对本规范书中的内容及在应标过程中接触的设备信息、数据资料等负有保密责任，不得泄露给任何第三方。如因中标供应商原因发生失泄密情况，采购人将此类情况通报中标供应商主管单位/部门、相关监管单位，并根据事件性质，酌情追究相关人员责任，同时上报财政监管部门申请列入招投标黑名单，并</w:t>
      </w:r>
      <w:r>
        <w:rPr>
          <w:rFonts w:hint="eastAsia" w:ascii="宋体" w:hAnsi="宋体" w:eastAsia="宋体" w:cs="宋体"/>
          <w:sz w:val="24"/>
          <w:szCs w:val="24"/>
          <w:lang w:val="en-US" w:eastAsia="zh-CN"/>
        </w:rPr>
        <w:t>要求成交人赔偿所有因泄密造成的损失。</w:t>
      </w:r>
      <w:r>
        <w:rPr>
          <w:rFonts w:hint="eastAsia" w:ascii="宋体" w:hAnsi="宋体" w:eastAsia="宋体" w:cs="宋体"/>
          <w:sz w:val="24"/>
          <w:szCs w:val="24"/>
        </w:rPr>
        <w:t xml:space="preserve"> </w:t>
      </w:r>
    </w:p>
    <w:p>
      <w:pPr>
        <w:pStyle w:val="2"/>
        <w:pageBreakBefore/>
        <w:widowControl w:val="0"/>
        <w:wordWrap/>
        <w:adjustRightInd/>
        <w:snapToGrid/>
        <w:spacing w:line="360" w:lineRule="auto"/>
        <w:ind w:left="0" w:leftChars="0" w:right="0"/>
        <w:jc w:val="center"/>
        <w:textAlignment w:val="auto"/>
        <w:outlineLvl w:val="0"/>
        <w:rPr>
          <w:rFonts w:hint="eastAsia" w:ascii="宋体" w:hAnsi="宋体" w:cs="宋体"/>
          <w:sz w:val="32"/>
          <w:szCs w:val="32"/>
          <w:lang w:eastAsia="zh-CN"/>
        </w:rPr>
      </w:pPr>
      <w:r>
        <w:rPr>
          <w:rFonts w:hint="eastAsia" w:ascii="宋体" w:hAnsi="宋体" w:cs="宋体"/>
          <w:sz w:val="32"/>
          <w:szCs w:val="32"/>
          <w:lang w:val="en-US" w:eastAsia="zh-CN"/>
        </w:rPr>
        <w:t>第14包：</w:t>
      </w:r>
      <w:r>
        <w:rPr>
          <w:rFonts w:hint="eastAsia" w:ascii="宋体" w:hAnsi="宋体" w:cs="宋体"/>
          <w:sz w:val="32"/>
          <w:szCs w:val="32"/>
          <w:lang w:eastAsia="zh-CN"/>
        </w:rPr>
        <w:t>密码</w:t>
      </w:r>
      <w:r>
        <w:rPr>
          <w:rFonts w:hint="eastAsia" w:ascii="宋体" w:hAnsi="宋体" w:cs="宋体"/>
          <w:sz w:val="32"/>
          <w:szCs w:val="32"/>
        </w:rPr>
        <w:t>测评</w:t>
      </w:r>
      <w:r>
        <w:rPr>
          <w:rFonts w:hint="eastAsia" w:ascii="宋体" w:hAnsi="宋体" w:cs="宋体"/>
          <w:sz w:val="32"/>
          <w:szCs w:val="32"/>
          <w:lang w:val="en-US" w:eastAsia="zh-CN"/>
        </w:rPr>
        <w:t>服务用户需求书</w:t>
      </w:r>
    </w:p>
    <w:p>
      <w:pPr>
        <w:widowControl w:val="0"/>
        <w:wordWrap/>
        <w:adjustRightInd/>
        <w:snapToGrid/>
        <w:spacing w:line="240" w:lineRule="auto"/>
        <w:ind w:firstLine="0" w:firstLineChars="0"/>
        <w:textAlignment w:val="auto"/>
        <w:outlineLvl w:val="9"/>
        <w:rPr>
          <w:rFonts w:hint="eastAsia" w:ascii="宋体" w:hAnsi="宋体" w:eastAsia="宋体" w:cs="宋体"/>
          <w:b/>
          <w:bCs/>
          <w:sz w:val="24"/>
          <w:szCs w:val="20"/>
          <w:lang w:val="en-US" w:eastAsia="zh-CN"/>
        </w:rPr>
      </w:pPr>
      <w:r>
        <w:rPr>
          <w:rFonts w:hint="eastAsia" w:ascii="宋体" w:hAnsi="宋体" w:cs="宋体"/>
          <w:b/>
          <w:bCs/>
          <w:sz w:val="24"/>
          <w:szCs w:val="20"/>
          <w:lang w:val="en-US" w:eastAsia="zh-CN"/>
        </w:rPr>
        <w:t>一、</w:t>
      </w:r>
      <w:r>
        <w:rPr>
          <w:rFonts w:hint="eastAsia" w:ascii="宋体" w:hAnsi="宋体" w:eastAsia="宋体" w:cs="宋体"/>
          <w:b/>
          <w:bCs/>
          <w:sz w:val="24"/>
          <w:szCs w:val="20"/>
          <w:lang w:val="en-US" w:eastAsia="zh-CN"/>
        </w:rPr>
        <w:t>项目概况</w:t>
      </w:r>
    </w:p>
    <w:p>
      <w:pPr>
        <w:widowControl w:val="0"/>
        <w:wordWrap/>
        <w:adjustRightInd/>
        <w:snapToGrid/>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项目名称：海南省财政厅2025年信息系统运行维护政府采购项目</w:t>
      </w:r>
      <w:r>
        <w:rPr>
          <w:rFonts w:hint="eastAsia" w:ascii="宋体" w:hAnsi="宋体" w:cs="宋体"/>
          <w:sz w:val="24"/>
          <w:lang w:val="en-US" w:eastAsia="zh-CN"/>
        </w:rPr>
        <w:t>（第14包）-</w:t>
      </w:r>
      <w:r>
        <w:rPr>
          <w:rFonts w:hint="eastAsia" w:ascii="宋体" w:hAnsi="宋体" w:eastAsia="宋体" w:cs="宋体"/>
          <w:b w:val="0"/>
          <w:bCs w:val="0"/>
          <w:sz w:val="24"/>
          <w:szCs w:val="24"/>
          <w:lang w:val="en-US" w:eastAsia="zh-CN"/>
        </w:rPr>
        <w:t>密码测评服务</w:t>
      </w:r>
    </w:p>
    <w:p>
      <w:pPr>
        <w:widowControl w:val="0"/>
        <w:wordWrap/>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项目单位：海南省财政科技服务中心；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采购预算：</w:t>
      </w:r>
      <w:r>
        <w:rPr>
          <w:rFonts w:hint="eastAsia" w:ascii="宋体" w:hAnsi="宋体" w:cs="宋体"/>
          <w:sz w:val="24"/>
          <w:szCs w:val="24"/>
          <w:lang w:val="en-US" w:eastAsia="zh-CN"/>
        </w:rPr>
        <w:t>36</w:t>
      </w:r>
      <w:r>
        <w:rPr>
          <w:rFonts w:hint="eastAsia" w:ascii="宋体" w:hAnsi="宋体" w:eastAsia="宋体" w:cs="宋体"/>
          <w:sz w:val="24"/>
          <w:szCs w:val="24"/>
          <w:lang w:val="en-US" w:eastAsia="zh-CN"/>
        </w:rPr>
        <w:t>万元。</w:t>
      </w:r>
    </w:p>
    <w:p>
      <w:pPr>
        <w:wordWrap/>
        <w:spacing w:line="240" w:lineRule="auto"/>
        <w:ind w:left="0" w:leftChars="0" w:right="0" w:firstLine="0" w:firstLineChars="0"/>
        <w:outlineLvl w:val="9"/>
        <w:rPr>
          <w:rFonts w:hint="eastAsia" w:ascii="宋体" w:hAnsi="宋体" w:eastAsia="宋体" w:cs="宋体"/>
          <w:b/>
          <w:bCs/>
          <w:sz w:val="24"/>
          <w:szCs w:val="20"/>
        </w:rPr>
      </w:pPr>
      <w:r>
        <w:rPr>
          <w:rFonts w:hint="eastAsia" w:ascii="宋体" w:hAnsi="宋体" w:cs="宋体"/>
          <w:b/>
          <w:bCs/>
          <w:sz w:val="24"/>
          <w:szCs w:val="20"/>
          <w:lang w:eastAsia="zh-CN"/>
        </w:rPr>
        <w:t>二、</w:t>
      </w:r>
      <w:r>
        <w:rPr>
          <w:rFonts w:hint="eastAsia" w:ascii="宋体" w:hAnsi="宋体" w:eastAsia="宋体" w:cs="宋体"/>
          <w:b/>
          <w:bCs/>
          <w:sz w:val="24"/>
          <w:szCs w:val="20"/>
        </w:rPr>
        <w:t>项目工期及地点</w:t>
      </w:r>
      <w:bookmarkStart w:id="9" w:name="_GoBack"/>
      <w:bookmarkEnd w:id="9"/>
    </w:p>
    <w:p>
      <w:pPr>
        <w:wordWrap/>
        <w:spacing w:line="360" w:lineRule="auto"/>
        <w:ind w:left="0" w:leftChars="0" w:right="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202</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年</w:t>
      </w:r>
      <w:r>
        <w:rPr>
          <w:rFonts w:hint="eastAsia" w:ascii="宋体" w:hAnsi="宋体" w:eastAsia="宋体" w:cs="宋体"/>
          <w:sz w:val="24"/>
          <w:szCs w:val="24"/>
          <w:lang w:eastAsia="zh-CN"/>
        </w:rPr>
        <w:t>密码测评服务</w:t>
      </w:r>
      <w:r>
        <w:rPr>
          <w:rFonts w:hint="eastAsia" w:ascii="宋体" w:hAnsi="宋体" w:eastAsia="宋体" w:cs="宋体"/>
          <w:sz w:val="24"/>
          <w:szCs w:val="24"/>
        </w:rPr>
        <w:t>合同签订后且收到入场通知后</w:t>
      </w:r>
      <w:r>
        <w:rPr>
          <w:rFonts w:hint="eastAsia" w:ascii="宋体" w:hAnsi="宋体" w:eastAsia="宋体" w:cs="宋体"/>
          <w:sz w:val="24"/>
          <w:szCs w:val="24"/>
          <w:lang w:val="en-US" w:eastAsia="zh-CN"/>
        </w:rPr>
        <w:t>75</w:t>
      </w:r>
      <w:r>
        <w:rPr>
          <w:rFonts w:hint="eastAsia" w:ascii="宋体" w:hAnsi="宋体" w:eastAsia="宋体" w:cs="宋体"/>
          <w:sz w:val="24"/>
          <w:szCs w:val="24"/>
        </w:rPr>
        <w:t>天内完成</w:t>
      </w:r>
      <w:r>
        <w:rPr>
          <w:rFonts w:hint="eastAsia" w:ascii="宋体" w:hAnsi="宋体" w:eastAsia="宋体" w:cs="宋体"/>
          <w:sz w:val="24"/>
          <w:szCs w:val="24"/>
          <w:lang w:eastAsia="zh-CN"/>
        </w:rPr>
        <w:t>，</w:t>
      </w:r>
      <w:r>
        <w:rPr>
          <w:rFonts w:hint="eastAsia" w:ascii="宋体" w:hAnsi="宋体" w:eastAsia="宋体" w:cs="宋体"/>
          <w:sz w:val="24"/>
          <w:szCs w:val="24"/>
        </w:rPr>
        <w:t>地点：海南省财政厅</w:t>
      </w:r>
      <w:r>
        <w:rPr>
          <w:rFonts w:hint="eastAsia" w:ascii="宋体" w:hAnsi="宋体" w:eastAsia="宋体" w:cs="宋体"/>
          <w:sz w:val="24"/>
          <w:szCs w:val="24"/>
          <w:lang w:eastAsia="zh-CN"/>
        </w:rPr>
        <w:t>。</w:t>
      </w:r>
    </w:p>
    <w:p>
      <w:pPr>
        <w:wordWrap/>
        <w:spacing w:line="240" w:lineRule="auto"/>
        <w:ind w:left="0" w:leftChars="0" w:right="0" w:firstLine="0" w:firstLineChars="0"/>
        <w:outlineLvl w:val="9"/>
        <w:rPr>
          <w:rFonts w:hint="eastAsia" w:ascii="宋体" w:hAnsi="宋体" w:eastAsia="宋体" w:cs="宋体"/>
          <w:b/>
          <w:bCs/>
          <w:sz w:val="24"/>
          <w:szCs w:val="20"/>
        </w:rPr>
      </w:pPr>
      <w:r>
        <w:rPr>
          <w:rFonts w:hint="eastAsia" w:ascii="宋体" w:hAnsi="宋体" w:eastAsia="宋体" w:cs="宋体"/>
          <w:b/>
          <w:bCs/>
          <w:sz w:val="24"/>
          <w:szCs w:val="20"/>
          <w:lang w:val="en-US" w:eastAsia="zh-CN"/>
        </w:rPr>
        <w:t>三、服务</w:t>
      </w:r>
      <w:r>
        <w:rPr>
          <w:rFonts w:hint="eastAsia" w:ascii="宋体" w:hAnsi="宋体" w:eastAsia="宋体" w:cs="宋体"/>
          <w:b/>
          <w:bCs/>
          <w:sz w:val="24"/>
          <w:szCs w:val="20"/>
        </w:rPr>
        <w:t>范围</w:t>
      </w:r>
      <w:r>
        <w:rPr>
          <w:rFonts w:hint="eastAsia" w:ascii="宋体" w:hAnsi="宋体" w:eastAsia="宋体" w:cs="宋体"/>
          <w:b/>
          <w:bCs/>
          <w:sz w:val="24"/>
          <w:szCs w:val="20"/>
          <w:lang w:eastAsia="zh-CN"/>
        </w:rPr>
        <w:t>及费用</w:t>
      </w:r>
    </w:p>
    <w:tbl>
      <w:tblPr>
        <w:tblStyle w:val="28"/>
        <w:tblpPr w:leftFromText="180" w:rightFromText="180" w:vertAnchor="text" w:horzAnchor="page" w:tblpX="1230" w:tblpY="414"/>
        <w:tblOverlap w:val="never"/>
        <w:tblW w:w="9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5802"/>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1" w:hRule="atLeast"/>
          <w:tblHeader/>
        </w:trPr>
        <w:tc>
          <w:tcPr>
            <w:tcW w:w="885" w:type="dxa"/>
            <w:shd w:val="clear" w:color="auto" w:fill="F2F2F2"/>
            <w:vAlign w:val="center"/>
          </w:tcPr>
          <w:p>
            <w:pPr>
              <w:wordWrap/>
              <w:spacing w:line="360" w:lineRule="auto"/>
              <w:ind w:left="0" w:leftChars="0" w:right="0"/>
              <w:jc w:val="center"/>
              <w:rPr>
                <w:b/>
                <w:bCs/>
                <w:sz w:val="24"/>
                <w:szCs w:val="24"/>
                <w:lang w:val="zh-CN"/>
              </w:rPr>
            </w:pPr>
            <w:bookmarkStart w:id="8" w:name="_Toc73090392"/>
            <w:r>
              <w:rPr>
                <w:rFonts w:hint="eastAsia"/>
                <w:b/>
                <w:bCs/>
                <w:sz w:val="24"/>
                <w:szCs w:val="24"/>
                <w:lang w:val="zh-CN"/>
              </w:rPr>
              <w:t>序号</w:t>
            </w:r>
          </w:p>
        </w:tc>
        <w:tc>
          <w:tcPr>
            <w:tcW w:w="5802" w:type="dxa"/>
            <w:shd w:val="clear" w:color="auto" w:fill="F2F2F2"/>
            <w:vAlign w:val="center"/>
          </w:tcPr>
          <w:p>
            <w:pPr>
              <w:wordWrap/>
              <w:spacing w:line="360" w:lineRule="auto"/>
              <w:ind w:left="0" w:leftChars="0" w:right="0"/>
              <w:jc w:val="center"/>
              <w:rPr>
                <w:b/>
                <w:bCs/>
                <w:sz w:val="24"/>
                <w:szCs w:val="24"/>
                <w:lang w:val="zh-CN"/>
              </w:rPr>
            </w:pPr>
            <w:r>
              <w:rPr>
                <w:rFonts w:hint="eastAsia"/>
                <w:b/>
                <w:bCs/>
                <w:sz w:val="24"/>
                <w:szCs w:val="24"/>
                <w:lang w:val="zh-CN"/>
              </w:rPr>
              <w:t>服务内容</w:t>
            </w:r>
          </w:p>
        </w:tc>
        <w:tc>
          <w:tcPr>
            <w:tcW w:w="2689" w:type="dxa"/>
            <w:shd w:val="clear" w:color="auto" w:fill="F2F2F2"/>
            <w:vAlign w:val="center"/>
          </w:tcPr>
          <w:p>
            <w:pPr>
              <w:wordWrap/>
              <w:spacing w:line="360" w:lineRule="auto"/>
              <w:ind w:left="0" w:leftChars="0" w:right="0"/>
              <w:jc w:val="center"/>
              <w:rPr>
                <w:b/>
                <w:bCs/>
                <w:sz w:val="24"/>
                <w:szCs w:val="24"/>
                <w:lang w:val="zh-CN"/>
              </w:rPr>
            </w:pPr>
            <w:r>
              <w:rPr>
                <w:rFonts w:hint="eastAsia"/>
                <w:b/>
                <w:bCs/>
                <w:sz w:val="24"/>
                <w:szCs w:val="24"/>
                <w:lang w:val="zh-CN"/>
              </w:rPr>
              <w:t>系统等级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885" w:type="dxa"/>
            <w:vAlign w:val="center"/>
          </w:tcPr>
          <w:p>
            <w:pPr>
              <w:wordWrap/>
              <w:spacing w:line="360" w:lineRule="auto"/>
              <w:ind w:left="0" w:leftChars="0" w:right="0"/>
              <w:jc w:val="center"/>
              <w:rPr>
                <w:rFonts w:hint="eastAsia" w:eastAsia="宋体"/>
                <w:sz w:val="24"/>
                <w:szCs w:val="24"/>
                <w:lang w:val="zh-CN" w:eastAsia="zh-CN"/>
              </w:rPr>
            </w:pPr>
            <w:r>
              <w:rPr>
                <w:rFonts w:hint="eastAsia"/>
                <w:sz w:val="24"/>
                <w:szCs w:val="24"/>
                <w:lang w:val="en-US" w:eastAsia="zh-CN"/>
              </w:rPr>
              <w:t>1</w:t>
            </w:r>
          </w:p>
        </w:tc>
        <w:tc>
          <w:tcPr>
            <w:tcW w:w="5802" w:type="dxa"/>
            <w:vAlign w:val="center"/>
          </w:tcPr>
          <w:p>
            <w:pPr>
              <w:wordWrap/>
              <w:spacing w:line="360" w:lineRule="auto"/>
              <w:ind w:left="0" w:leftChars="0" w:right="0"/>
              <w:jc w:val="left"/>
              <w:rPr>
                <w:rFonts w:hint="eastAsia"/>
                <w:sz w:val="24"/>
                <w:szCs w:val="24"/>
              </w:rPr>
            </w:pPr>
            <w:r>
              <w:rPr>
                <w:rFonts w:hint="eastAsia" w:ascii="宋体" w:hAnsi="宋体" w:cs="宋体"/>
                <w:sz w:val="24"/>
                <w:szCs w:val="24"/>
              </w:rPr>
              <w:t>预算管理一体化系统、公务报账系统，电子票据管理系统、电子凭证库和电子印章系统、会计管理服务平台</w:t>
            </w:r>
          </w:p>
        </w:tc>
        <w:tc>
          <w:tcPr>
            <w:tcW w:w="2689" w:type="dxa"/>
            <w:vAlign w:val="center"/>
          </w:tcPr>
          <w:p>
            <w:pPr>
              <w:wordWrap/>
              <w:spacing w:line="360" w:lineRule="auto"/>
              <w:ind w:left="0" w:leftChars="0" w:right="0"/>
              <w:jc w:val="center"/>
              <w:rPr>
                <w:sz w:val="24"/>
                <w:szCs w:val="24"/>
              </w:rPr>
            </w:pPr>
            <w:r>
              <w:rPr>
                <w:rFonts w:hint="eastAsia"/>
                <w:sz w:val="24"/>
                <w:szCs w:val="24"/>
              </w:rPr>
              <w:t>三级</w:t>
            </w:r>
            <w:r>
              <w:rPr>
                <w:rFonts w:hint="eastAsia"/>
                <w:sz w:val="24"/>
                <w:szCs w:val="24"/>
                <w:lang w:eastAsia="zh-CN"/>
              </w:rPr>
              <w:t>等保系统</w:t>
            </w:r>
          </w:p>
        </w:tc>
      </w:tr>
    </w:tbl>
    <w:p>
      <w:pPr>
        <w:wordWrap/>
        <w:adjustRightInd w:val="0"/>
        <w:snapToGrid w:val="0"/>
        <w:spacing w:line="360" w:lineRule="auto"/>
        <w:ind w:left="0" w:leftChars="0" w:right="0" w:firstLine="0" w:firstLineChars="0"/>
        <w:textAlignment w:val="bottom"/>
        <w:rPr>
          <w:rFonts w:hint="eastAsia" w:ascii="宋体" w:hAnsi="宋体" w:eastAsia="宋体" w:cs="宋体"/>
          <w:sz w:val="24"/>
          <w:szCs w:val="24"/>
        </w:rPr>
      </w:pPr>
    </w:p>
    <w:p>
      <w:pPr>
        <w:spacing w:line="360" w:lineRule="auto"/>
        <w:ind w:firstLine="0" w:firstLineChars="0"/>
        <w:rPr>
          <w:rFonts w:hint="eastAsia" w:ascii="宋体" w:hAnsi="宋体" w:cs="宋体"/>
          <w:b/>
          <w:bCs/>
          <w:sz w:val="24"/>
          <w:lang w:val="en-US" w:eastAsia="zh-CN"/>
        </w:rPr>
      </w:pPr>
      <w:r>
        <w:rPr>
          <w:rFonts w:hint="eastAsia" w:ascii="宋体" w:hAnsi="宋体" w:cs="宋体"/>
          <w:b/>
          <w:bCs/>
          <w:sz w:val="24"/>
          <w:lang w:val="en-US" w:eastAsia="zh-CN"/>
        </w:rPr>
        <w:t>四、费用支付</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按项目合同的规定付款。</w:t>
      </w:r>
    </w:p>
    <w:p>
      <w:pPr>
        <w:wordWrap/>
        <w:adjustRightInd w:val="0"/>
        <w:snapToGrid w:val="0"/>
        <w:spacing w:line="360" w:lineRule="auto"/>
        <w:ind w:left="0" w:leftChars="0" w:right="0" w:firstLine="0" w:firstLineChars="0"/>
        <w:textAlignment w:val="bottom"/>
        <w:rPr>
          <w:rFonts w:hint="eastAsia" w:ascii="宋体" w:hAnsi="宋体" w:eastAsia="宋体" w:cs="宋体"/>
          <w:sz w:val="24"/>
          <w:szCs w:val="24"/>
        </w:rPr>
      </w:pPr>
      <w:r>
        <w:rPr>
          <w:rFonts w:hint="eastAsia" w:ascii="宋体" w:hAnsi="宋体" w:cs="宋体"/>
          <w:b/>
          <w:bCs/>
          <w:kern w:val="2"/>
          <w:sz w:val="24"/>
          <w:szCs w:val="20"/>
          <w:lang w:val="en-US" w:eastAsia="zh-CN"/>
        </w:rPr>
        <w:t>五、</w:t>
      </w:r>
      <w:r>
        <w:rPr>
          <w:rFonts w:hint="eastAsia" w:ascii="宋体" w:hAnsi="宋体" w:eastAsia="宋体" w:cs="宋体"/>
          <w:b/>
          <w:bCs/>
          <w:kern w:val="2"/>
          <w:sz w:val="24"/>
          <w:szCs w:val="20"/>
          <w:lang w:val="en-US" w:eastAsia="zh-CN"/>
        </w:rPr>
        <w:t>服务内容</w:t>
      </w:r>
    </w:p>
    <w:p>
      <w:p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根据信息系统的安全保护等级，依据《GB/T 39786-2021信息安全技术 信息系统密码应用基本要求》的条款要求，对信息系统密码应用进行检测，测评的内容包括但不限于以下内容：</w:t>
      </w:r>
    </w:p>
    <w:p>
      <w:p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（1）安全技术测评：包括物理和环境安全、网络和通信安全、设备和计算安全、应用和数据安全等四个方面的安全测评。</w:t>
      </w:r>
    </w:p>
    <w:p>
      <w:p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（2）安全管理测评：包括密钥管理、安全管理（分为制度、人员、建设和应急四个子模块）两个方面的安全测评。</w:t>
      </w:r>
    </w:p>
    <w:p>
      <w:pPr>
        <w:adjustRightInd w:val="0"/>
        <w:snapToGrid w:val="0"/>
        <w:spacing w:line="360" w:lineRule="auto"/>
        <w:ind w:firstLine="0" w:firstLineChars="0"/>
        <w:textAlignment w:val="bottom"/>
        <w:outlineLvl w:val="9"/>
        <w:rPr>
          <w:rFonts w:hint="eastAsia" w:ascii="宋体" w:hAnsi="宋体" w:eastAsia="宋体" w:cs="宋体"/>
          <w:b/>
          <w:bCs/>
          <w:kern w:val="2"/>
          <w:sz w:val="24"/>
          <w:szCs w:val="20"/>
          <w:lang w:val="en-US" w:eastAsia="zh-CN"/>
        </w:rPr>
      </w:pPr>
      <w:r>
        <w:rPr>
          <w:rFonts w:hint="eastAsia" w:ascii="宋体" w:hAnsi="宋体" w:cs="宋体"/>
          <w:b/>
          <w:bCs/>
          <w:kern w:val="2"/>
          <w:sz w:val="24"/>
          <w:szCs w:val="20"/>
          <w:lang w:val="en-US" w:eastAsia="zh-CN"/>
        </w:rPr>
        <w:t>六、</w:t>
      </w:r>
      <w:r>
        <w:rPr>
          <w:rFonts w:hint="eastAsia" w:ascii="宋体" w:hAnsi="宋体" w:eastAsia="宋体" w:cs="宋体"/>
          <w:b/>
          <w:bCs/>
          <w:kern w:val="2"/>
          <w:sz w:val="24"/>
          <w:szCs w:val="20"/>
          <w:lang w:val="en-US" w:eastAsia="zh-CN"/>
        </w:rPr>
        <w:t>输出成果</w:t>
      </w:r>
    </w:p>
    <w:p>
      <w:p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本项目测评工作输出包括且不仅包括以下成果：</w:t>
      </w:r>
    </w:p>
    <w:p>
      <w:pPr>
        <w:numPr>
          <w:ilvl w:val="0"/>
          <w:numId w:val="3"/>
        </w:num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《商用密码应用安全性评估测评方案》</w:t>
      </w:r>
    </w:p>
    <w:p>
      <w:pPr>
        <w:numPr>
          <w:ilvl w:val="0"/>
          <w:numId w:val="4"/>
        </w:num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《商用密码应用安全性评估报告》</w:t>
      </w:r>
    </w:p>
    <w:p>
      <w:pPr>
        <w:numPr>
          <w:ilvl w:val="0"/>
          <w:numId w:val="4"/>
        </w:numPr>
        <w:wordWrap/>
        <w:adjustRightInd w:val="0"/>
        <w:snapToGrid w:val="0"/>
        <w:spacing w:line="360" w:lineRule="auto"/>
        <w:ind w:left="0" w:leftChars="0" w:right="0" w:firstLine="480" w:firstLineChars="200"/>
        <w:textAlignment w:val="bottom"/>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商用密码应用安全性</w:t>
      </w:r>
      <w:r>
        <w:rPr>
          <w:rFonts w:hint="eastAsia" w:ascii="宋体" w:hAnsi="宋体" w:eastAsia="宋体" w:cs="宋体"/>
          <w:sz w:val="24"/>
          <w:szCs w:val="24"/>
          <w:lang w:eastAsia="zh-CN"/>
        </w:rPr>
        <w:t>整改建议书》</w:t>
      </w:r>
    </w:p>
    <w:bookmarkEnd w:id="8"/>
    <w:p>
      <w:pPr>
        <w:wordWrap/>
        <w:adjustRightInd w:val="0"/>
        <w:snapToGrid w:val="0"/>
        <w:spacing w:line="360" w:lineRule="auto"/>
        <w:ind w:left="0" w:leftChars="0" w:right="0" w:firstLine="0" w:firstLineChars="0"/>
        <w:textAlignment w:val="bottom"/>
        <w:outlineLvl w:val="9"/>
        <w:rPr>
          <w:rFonts w:hint="eastAsia" w:ascii="宋体" w:hAnsi="宋体" w:eastAsia="宋体" w:cs="宋体"/>
          <w:b/>
          <w:bCs/>
          <w:sz w:val="24"/>
          <w:szCs w:val="20"/>
          <w:lang w:val="en-US" w:eastAsia="zh-CN"/>
        </w:rPr>
      </w:pPr>
      <w:r>
        <w:rPr>
          <w:rFonts w:hint="eastAsia" w:ascii="宋体" w:hAnsi="宋体" w:eastAsia="宋体" w:cs="宋体"/>
          <w:sz w:val="24"/>
          <w:szCs w:val="24"/>
          <w:lang w:val="en-US" w:eastAsia="zh-CN"/>
        </w:rPr>
        <w:t>★</w:t>
      </w:r>
      <w:r>
        <w:rPr>
          <w:rFonts w:hint="eastAsia" w:ascii="宋体" w:hAnsi="宋体" w:cs="宋体"/>
          <w:b/>
          <w:bCs/>
          <w:sz w:val="24"/>
          <w:szCs w:val="20"/>
          <w:lang w:eastAsia="zh-CN"/>
        </w:rPr>
        <w:t>七、</w:t>
      </w:r>
      <w:r>
        <w:rPr>
          <w:rFonts w:hint="eastAsia" w:ascii="宋体" w:hAnsi="宋体" w:eastAsia="宋体" w:cs="宋体"/>
          <w:b/>
          <w:bCs/>
          <w:sz w:val="24"/>
          <w:szCs w:val="20"/>
          <w:lang w:eastAsia="zh-CN"/>
        </w:rPr>
        <w:t>实施团队要求</w:t>
      </w:r>
    </w:p>
    <w:p>
      <w:pPr>
        <w:wordWrap/>
        <w:spacing w:line="360" w:lineRule="auto"/>
        <w:ind w:left="0" w:leftChars="0" w:right="0" w:firstLine="48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项目实施团队成员名单及职责分工明确，项目期间在本地部署不少于5人的技术团队，项目负责人必须具有3年以上的密码测评服务项目管理经验，项目实施成员至少有3人以上具有商用密码应用安全性评估从业人员考核合格的证明文件，且属于供应商在册员工(以社保缴纳证明为认定依据)。</w:t>
      </w:r>
    </w:p>
    <w:p>
      <w:pPr>
        <w:wordWrap/>
        <w:adjustRightInd w:val="0"/>
        <w:snapToGrid w:val="0"/>
        <w:spacing w:line="360" w:lineRule="auto"/>
        <w:ind w:left="0" w:leftChars="0" w:right="0" w:firstLine="0" w:firstLineChars="0"/>
        <w:textAlignment w:val="bottom"/>
        <w:outlineLvl w:val="9"/>
        <w:rPr>
          <w:rFonts w:hint="eastAsia" w:ascii="宋体" w:hAnsi="宋体" w:eastAsia="宋体" w:cs="宋体"/>
          <w:b/>
          <w:bCs/>
          <w:sz w:val="24"/>
          <w:szCs w:val="20"/>
        </w:rPr>
      </w:pPr>
      <w:r>
        <w:rPr>
          <w:rFonts w:hint="eastAsia" w:ascii="宋体" w:hAnsi="宋体" w:cs="宋体"/>
          <w:b/>
          <w:bCs/>
          <w:sz w:val="24"/>
          <w:szCs w:val="20"/>
          <w:lang w:eastAsia="zh-CN"/>
        </w:rPr>
        <w:t>八、</w:t>
      </w:r>
      <w:r>
        <w:rPr>
          <w:rFonts w:hint="eastAsia" w:ascii="宋体" w:hAnsi="宋体" w:eastAsia="宋体" w:cs="宋体"/>
          <w:b/>
          <w:bCs/>
          <w:sz w:val="24"/>
          <w:szCs w:val="20"/>
        </w:rPr>
        <w:t xml:space="preserve">其他要求 </w:t>
      </w:r>
    </w:p>
    <w:p>
      <w:pPr>
        <w:wordWrap/>
        <w:spacing w:line="360" w:lineRule="auto"/>
        <w:ind w:left="0" w:leftChars="0" w:right="0"/>
        <w:jc w:val="both"/>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中标供应商出具虚假测评报告，导致被评测系统中的漏洞隐患未被及时发现处理，造成被测评网络发生重大网络安全事件的，采购人有权追究相关责任。 </w:t>
      </w:r>
    </w:p>
    <w:p>
      <w:pPr>
        <w:wordWrap/>
        <w:spacing w:line="360" w:lineRule="auto"/>
        <w:ind w:left="0" w:leftChars="0" w:right="0" w:firstLine="480" w:firstLineChars="200"/>
        <w:jc w:val="both"/>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为确保本项目能尽快完成，中标供应商</w:t>
      </w:r>
      <w:r>
        <w:rPr>
          <w:rFonts w:hint="eastAsia" w:ascii="宋体" w:hAnsi="宋体" w:eastAsia="宋体" w:cs="宋体"/>
          <w:sz w:val="24"/>
          <w:szCs w:val="24"/>
          <w:lang w:eastAsia="zh-CN"/>
        </w:rPr>
        <w:t>应</w:t>
      </w:r>
      <w:r>
        <w:rPr>
          <w:rFonts w:hint="eastAsia" w:ascii="宋体" w:hAnsi="宋体" w:eastAsia="宋体" w:cs="宋体"/>
          <w:sz w:val="24"/>
          <w:szCs w:val="24"/>
        </w:rPr>
        <w:t>为本项目配备</w:t>
      </w:r>
      <w:r>
        <w:rPr>
          <w:rFonts w:hint="eastAsia" w:ascii="宋体" w:hAnsi="宋体" w:eastAsia="宋体" w:cs="宋体"/>
          <w:sz w:val="24"/>
          <w:szCs w:val="24"/>
          <w:lang w:eastAsia="zh-CN"/>
        </w:rPr>
        <w:t>足够胜任工作的项目人</w:t>
      </w:r>
      <w:r>
        <w:rPr>
          <w:rFonts w:hint="eastAsia" w:ascii="宋体" w:hAnsi="宋体" w:eastAsia="宋体" w:cs="宋体"/>
          <w:sz w:val="24"/>
          <w:szCs w:val="24"/>
        </w:rPr>
        <w:t xml:space="preserve">员，服务期间采购人将对配备人员进行严格管理。 </w:t>
      </w:r>
    </w:p>
    <w:p>
      <w:pPr>
        <w:wordWrap/>
        <w:spacing w:line="360" w:lineRule="auto"/>
        <w:ind w:left="0" w:leftChars="0" w:right="0" w:firstLine="480" w:firstLineChars="200"/>
        <w:jc w:val="both"/>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中标供应商在项目期间规定严格执行安全管理规定，如因中标供应商原因发生重大安全事件，采购人将此类情况通报中标供应商主管单位/部门、相关监管单位，并根据事件性质，酌情追究相关人员责任，同时上报财政监管部门申请列入招投标黑名单，并不予支付费用。 </w:t>
      </w:r>
    </w:p>
    <w:p>
      <w:pPr>
        <w:wordWrap/>
        <w:adjustRightInd w:val="0"/>
        <w:snapToGrid w:val="0"/>
        <w:spacing w:line="360" w:lineRule="auto"/>
        <w:ind w:left="0" w:leftChars="0" w:right="0" w:firstLine="0" w:firstLineChars="0"/>
        <w:textAlignment w:val="bottom"/>
        <w:outlineLvl w:val="9"/>
        <w:rPr>
          <w:rFonts w:hint="eastAsia" w:ascii="宋体" w:hAnsi="宋体" w:eastAsia="宋体" w:cs="宋体"/>
          <w:b/>
          <w:bCs/>
          <w:sz w:val="24"/>
          <w:szCs w:val="20"/>
          <w:lang w:val="en-US" w:eastAsia="zh-CN"/>
        </w:rPr>
      </w:pPr>
      <w:r>
        <w:rPr>
          <w:rFonts w:hint="eastAsia" w:ascii="宋体" w:hAnsi="宋体" w:cs="宋体"/>
          <w:b/>
          <w:bCs/>
          <w:sz w:val="24"/>
          <w:szCs w:val="20"/>
          <w:lang w:val="en-US" w:eastAsia="zh-CN"/>
        </w:rPr>
        <w:t>九、</w:t>
      </w:r>
      <w:r>
        <w:rPr>
          <w:rFonts w:hint="eastAsia" w:ascii="宋体" w:hAnsi="宋体" w:eastAsia="宋体" w:cs="宋体"/>
          <w:b/>
          <w:bCs/>
          <w:sz w:val="24"/>
          <w:szCs w:val="20"/>
          <w:lang w:val="en-US" w:eastAsia="zh-CN"/>
        </w:rPr>
        <w:t>保密要求</w:t>
      </w:r>
    </w:p>
    <w:p>
      <w:pPr>
        <w:wordWrap/>
        <w:spacing w:line="360" w:lineRule="auto"/>
        <w:ind w:left="0" w:leftChars="0" w:right="0"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rPr>
        <w:t>供应商必须和采购人签订保密协议，供应商必须要与参加此次项目的所有项目组成员签订保密协议，在合同签订时一并提供给采购人。供应商对本规范书中的内容及在应标过程中接触的设备信息、数据资料等负有保密责任，不得泄露给任何第三方。如因中标供应商原因发生失泄密情况，采购人将此类情况通报中标供应商主管单位/部门、相关监管单位，并根据事件性质，酌情追究相关人员</w:t>
      </w:r>
      <w:r>
        <w:rPr>
          <w:rFonts w:hint="eastAsia" w:ascii="宋体" w:hAnsi="宋体" w:eastAsia="宋体" w:cs="宋体"/>
          <w:sz w:val="24"/>
          <w:szCs w:val="24"/>
          <w:lang w:val="en-US" w:eastAsia="zh-CN"/>
        </w:rPr>
        <w:t>法律</w:t>
      </w:r>
      <w:r>
        <w:rPr>
          <w:rFonts w:hint="eastAsia" w:ascii="宋体" w:hAnsi="宋体" w:eastAsia="宋体" w:cs="宋体"/>
          <w:sz w:val="24"/>
          <w:szCs w:val="24"/>
        </w:rPr>
        <w:t>责任，同时上报财政监管部门申请列入招投标黑名单，并</w:t>
      </w:r>
      <w:r>
        <w:rPr>
          <w:rFonts w:hint="eastAsia" w:ascii="宋体" w:hAnsi="宋体" w:eastAsia="宋体" w:cs="宋体"/>
          <w:sz w:val="24"/>
          <w:szCs w:val="24"/>
          <w:lang w:val="en-US" w:eastAsia="zh-CN"/>
        </w:rPr>
        <w:t>要求成交人赔偿所有因泄密造成的损失。</w:t>
      </w:r>
    </w:p>
    <w:p>
      <w:pPr>
        <w:wordWrap/>
        <w:spacing w:line="360" w:lineRule="auto"/>
        <w:ind w:left="0" w:leftChars="0" w:right="0" w:firstLine="480" w:firstLineChars="200"/>
        <w:jc w:val="both"/>
        <w:rPr>
          <w:rFonts w:hint="eastAsia" w:ascii="宋体" w:hAnsi="宋体" w:eastAsia="宋体" w:cs="宋体"/>
          <w:sz w:val="24"/>
          <w:szCs w:val="24"/>
          <w:lang w:val="en-US" w:eastAsia="zh-CN"/>
        </w:rPr>
      </w:pPr>
    </w:p>
    <w:p>
      <w:pPr>
        <w:wordWrap/>
        <w:spacing w:line="360" w:lineRule="auto"/>
        <w:ind w:left="0" w:leftChars="0" w:right="0" w:firstLine="480" w:firstLineChars="200"/>
        <w:jc w:val="both"/>
        <w:rPr>
          <w:rFonts w:hint="eastAsia" w:ascii="宋体" w:hAnsi="宋体" w:eastAsia="宋体" w:cs="宋体"/>
          <w:sz w:val="24"/>
          <w:szCs w:val="24"/>
          <w:lang w:val="en-US" w:eastAsia="zh-CN"/>
        </w:rPr>
      </w:pPr>
    </w:p>
    <w:p>
      <w:pPr>
        <w:wordWrap/>
        <w:spacing w:line="360" w:lineRule="auto"/>
        <w:ind w:right="0"/>
        <w:jc w:val="both"/>
        <w:rPr>
          <w:rFonts w:hint="eastAsia" w:ascii="宋体" w:hAnsi="宋体" w:eastAsia="宋体" w:cs="宋体"/>
          <w:sz w:val="24"/>
          <w:szCs w:val="24"/>
          <w:lang w:val="en-US" w:eastAsia="zh-CN"/>
        </w:rPr>
      </w:pPr>
    </w:p>
    <w:p>
      <w:pPr>
        <w:wordWrap/>
        <w:spacing w:line="360" w:lineRule="auto"/>
        <w:ind w:left="0" w:leftChars="0" w:right="0" w:firstLine="480" w:firstLineChars="200"/>
        <w:jc w:val="both"/>
        <w:rPr>
          <w:rFonts w:hint="eastAsia" w:ascii="宋体" w:hAnsi="宋体" w:eastAsia="宋体" w:cs="宋体"/>
          <w:sz w:val="24"/>
          <w:szCs w:val="24"/>
          <w:lang w:val="en-US" w:eastAsia="zh-CN"/>
        </w:rPr>
      </w:pPr>
    </w:p>
    <w:p>
      <w:pPr>
        <w:wordWrap/>
        <w:spacing w:line="360" w:lineRule="auto"/>
        <w:ind w:left="0" w:leftChars="0" w:right="0" w:firstLine="480" w:firstLineChars="200"/>
        <w:jc w:val="both"/>
        <w:rPr>
          <w:rFonts w:hint="eastAsia" w:ascii="宋体" w:hAnsi="宋体" w:eastAsia="宋体" w:cs="宋体"/>
          <w:sz w:val="24"/>
          <w:szCs w:val="24"/>
          <w:lang w:val="en-US" w:eastAsia="zh-CN"/>
        </w:rPr>
      </w:pPr>
    </w:p>
    <w:p>
      <w:pPr>
        <w:wordWrap/>
        <w:spacing w:line="360" w:lineRule="auto"/>
        <w:ind w:left="0" w:leftChars="0" w:right="0" w:firstLine="480" w:firstLineChars="200"/>
        <w:jc w:val="both"/>
        <w:rPr>
          <w:rFonts w:hint="eastAsia" w:ascii="宋体" w:hAnsi="宋体" w:eastAsia="宋体" w:cs="宋体"/>
          <w:sz w:val="24"/>
          <w:szCs w:val="24"/>
          <w:lang w:val="en-US" w:eastAsia="zh-CN"/>
        </w:rPr>
      </w:pPr>
    </w:p>
    <w:p>
      <w:pPr>
        <w:wordWrap/>
        <w:spacing w:line="360" w:lineRule="auto"/>
        <w:ind w:left="0" w:leftChars="0" w:right="0" w:firstLine="480" w:firstLineChars="200"/>
        <w:jc w:val="both"/>
        <w:rPr>
          <w:rFonts w:hint="eastAsia" w:ascii="宋体" w:hAnsi="宋体" w:eastAsia="宋体" w:cs="宋体"/>
          <w:sz w:val="24"/>
          <w:szCs w:val="24"/>
          <w:lang w:val="en-US" w:eastAsia="zh-CN"/>
        </w:rPr>
      </w:pPr>
    </w:p>
    <w:bookmarkEnd w:id="0"/>
    <w:bookmarkEnd w:id="1"/>
    <w:bookmarkEnd w:id="2"/>
    <w:p>
      <w:pPr>
        <w:rPr>
          <w:color w:val="auto"/>
        </w:rPr>
      </w:pPr>
    </w:p>
    <w:p>
      <w:pPr>
        <w:rPr>
          <w:color w:val="auto"/>
        </w:rPr>
      </w:pPr>
    </w:p>
    <w:p>
      <w:pPr>
        <w:rPr>
          <w:color w:val="auto"/>
        </w:rPr>
      </w:pPr>
    </w:p>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Î¢ï¿½ï¿½ï¿½Åºï¿½">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4" w:space="0"/>
      </w:pBdr>
      <w:jc w:val="left"/>
      <w:rPr>
        <w:rFonts w:hint="default" w:ascii="宋体" w:hAnsi="宋体" w:cs="宋体"/>
        <w:b/>
        <w:bCs/>
        <w:sz w:val="24"/>
        <w:szCs w:val="24"/>
        <w:lang w:val="en-US" w:eastAsia="zh-CN"/>
      </w:rPr>
    </w:pPr>
    <w:r>
      <w:rPr>
        <w:rFonts w:hint="eastAsia" w:ascii="宋体" w:hAnsi="宋体" w:cs="宋体"/>
        <w:b/>
        <w:bCs/>
        <w:sz w:val="21"/>
        <w:szCs w:val="21"/>
      </w:rPr>
      <w:t xml:space="preserve">                                         </w:t>
    </w:r>
    <w:r>
      <w:rPr>
        <w:rFonts w:hint="eastAsia" w:ascii="宋体" w:hAnsi="宋体" w:cs="宋体"/>
        <w:b/>
        <w:bCs/>
        <w:sz w:val="21"/>
        <w:szCs w:val="21"/>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C1A3A"/>
    <w:multiLevelType w:val="singleLevel"/>
    <w:tmpl w:val="F2FC1A3A"/>
    <w:lvl w:ilvl="0" w:tentative="0">
      <w:start w:val="2"/>
      <w:numFmt w:val="decimal"/>
      <w:suff w:val="nothing"/>
      <w:lvlText w:val="（%1）"/>
      <w:lvlJc w:val="left"/>
    </w:lvl>
  </w:abstractNum>
  <w:abstractNum w:abstractNumId="1">
    <w:nsid w:val="0000000A"/>
    <w:multiLevelType w:val="multilevel"/>
    <w:tmpl w:val="0000000A"/>
    <w:lvl w:ilvl="0" w:tentative="0">
      <w:start w:val="1"/>
      <w:numFmt w:val="decimal"/>
      <w:pStyle w:val="2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63FE2DEC"/>
    <w:multiLevelType w:val="singleLevel"/>
    <w:tmpl w:val="63FE2DEC"/>
    <w:lvl w:ilvl="0" w:tentative="0">
      <w:start w:val="1"/>
      <w:numFmt w:val="decimal"/>
      <w:suff w:val="nothing"/>
      <w:lvlText w:val="（%1）"/>
      <w:lvlJc w:val="left"/>
    </w:lvl>
  </w:abstractNum>
  <w:abstractNum w:abstractNumId="3">
    <w:nsid w:val="67D2A012"/>
    <w:multiLevelType w:val="singleLevel"/>
    <w:tmpl w:val="67D2A012"/>
    <w:lvl w:ilvl="0" w:tentative="0">
      <w:start w:val="2"/>
      <w:numFmt w:val="chineseCounting"/>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g0MTZmNGJhOTJmNGYxZDgzN2JlYjRmZjIyM2I3MTAifQ=="/>
  </w:docVars>
  <w:rsids>
    <w:rsidRoot w:val="00000000"/>
    <w:rsid w:val="10775BCF"/>
    <w:rsid w:val="18C34D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2"/>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21">
    <w:name w:val="Default Paragraph Font"/>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5">
    <w:name w:val="Normal Indent"/>
    <w:basedOn w:val="1"/>
    <w:next w:val="1"/>
    <w:qFormat/>
    <w:uiPriority w:val="0"/>
    <w:pPr>
      <w:spacing w:before="60"/>
      <w:ind w:firstLine="420" w:firstLineChars="200"/>
    </w:pPr>
  </w:style>
  <w:style w:type="paragraph" w:styleId="6">
    <w:name w:val="caption"/>
    <w:basedOn w:val="1"/>
    <w:next w:val="1"/>
    <w:semiHidden/>
    <w:unhideWhenUsed/>
    <w:qFormat/>
    <w:uiPriority w:val="0"/>
    <w:pPr>
      <w:jc w:val="center"/>
    </w:pPr>
    <w:rPr>
      <w:rFonts w:ascii="Cambria" w:hAnsi="Cambria" w:eastAsia="黑体"/>
      <w:kern w:val="0"/>
    </w:rPr>
  </w:style>
  <w:style w:type="paragraph" w:styleId="7">
    <w:name w:val="annotation text"/>
    <w:basedOn w:val="1"/>
    <w:qFormat/>
    <w:uiPriority w:val="0"/>
    <w:pPr>
      <w:jc w:val="left"/>
    </w:pPr>
  </w:style>
  <w:style w:type="paragraph" w:styleId="8">
    <w:name w:val="Body Text"/>
    <w:basedOn w:val="1"/>
    <w:next w:val="1"/>
    <w:qFormat/>
    <w:uiPriority w:val="0"/>
    <w:pPr>
      <w:spacing w:after="120"/>
    </w:pPr>
  </w:style>
  <w:style w:type="paragraph" w:styleId="9">
    <w:name w:val="Body Text Indent"/>
    <w:basedOn w:val="1"/>
    <w:link w:val="53"/>
    <w:qFormat/>
    <w:uiPriority w:val="0"/>
    <w:pPr>
      <w:adjustRightInd w:val="0"/>
      <w:snapToGrid w:val="0"/>
      <w:spacing w:line="360" w:lineRule="auto"/>
      <w:ind w:firstLine="560" w:firstLineChars="200"/>
    </w:pPr>
    <w:rPr>
      <w:rFonts w:ascii="宋体" w:hAnsi="宋体"/>
      <w:sz w:val="28"/>
    </w:rPr>
  </w:style>
  <w:style w:type="paragraph" w:styleId="10">
    <w:name w:val="Plain Text"/>
    <w:basedOn w:val="1"/>
    <w:link w:val="54"/>
    <w:qFormat/>
    <w:uiPriority w:val="0"/>
    <w:rPr>
      <w:rFonts w:ascii="宋体" w:hAnsi="Courier New"/>
    </w:rPr>
  </w:style>
  <w:style w:type="paragraph" w:styleId="11">
    <w:name w:val="Date"/>
    <w:basedOn w:val="1"/>
    <w:next w:val="1"/>
    <w:link w:val="55"/>
    <w:qFormat/>
    <w:uiPriority w:val="0"/>
    <w:pPr>
      <w:ind w:left="100" w:leftChars="2500"/>
    </w:pPr>
  </w:style>
  <w:style w:type="paragraph" w:styleId="12">
    <w:name w:val="Body Text Indent 2"/>
    <w:basedOn w:val="1"/>
    <w:qFormat/>
    <w:uiPriority w:val="0"/>
    <w:pPr>
      <w:spacing w:line="500" w:lineRule="exact"/>
      <w:ind w:firstLine="560" w:firstLineChars="200"/>
    </w:pPr>
    <w:rPr>
      <w:color w:val="000000"/>
      <w:sz w:val="28"/>
    </w:rPr>
  </w:style>
  <w:style w:type="paragraph" w:styleId="13">
    <w:name w:val="Balloon Text"/>
    <w:basedOn w:val="1"/>
    <w:link w:val="56"/>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Body Text First Indent 2"/>
    <w:basedOn w:val="9"/>
    <w:next w:val="8"/>
    <w:link w:val="57"/>
    <w:qFormat/>
    <w:uiPriority w:val="0"/>
    <w:pPr>
      <w:widowControl w:val="0"/>
      <w:spacing w:before="0" w:beforeAutospacing="0" w:after="0" w:afterAutospacing="0" w:line="480" w:lineRule="exact"/>
      <w:ind w:left="420" w:leftChars="200" w:right="0" w:firstLine="420" w:firstLineChars="200"/>
      <w:jc w:val="both"/>
    </w:pPr>
    <w:rPr>
      <w:rFonts w:hint="default" w:ascii="Calibri" w:hAnsi="Calibri" w:eastAsia="仿宋" w:cs="Times New Roman"/>
      <w:kern w:val="2"/>
      <w:sz w:val="28"/>
      <w:szCs w:val="24"/>
      <w:lang w:val="en-US" w:eastAsia="zh-CN"/>
    </w:rPr>
  </w:style>
  <w:style w:type="paragraph" w:styleId="1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7">
    <w:name w:val="toc 1"/>
    <w:basedOn w:val="1"/>
    <w:next w:val="1"/>
    <w:qFormat/>
    <w:uiPriority w:val="39"/>
  </w:style>
  <w:style w:type="paragraph" w:styleId="18">
    <w:name w:val="footnote text"/>
    <w:basedOn w:val="1"/>
    <w:unhideWhenUsed/>
    <w:qFormat/>
    <w:uiPriority w:val="99"/>
    <w:pPr>
      <w:snapToGrid w:val="0"/>
      <w:jc w:val="left"/>
    </w:pPr>
    <w:rPr>
      <w:sz w:val="18"/>
      <w:szCs w:val="18"/>
    </w:rPr>
  </w:style>
  <w:style w:type="paragraph" w:styleId="19">
    <w:name w:val="toc 2"/>
    <w:basedOn w:val="1"/>
    <w:next w:val="1"/>
    <w:qFormat/>
    <w:uiPriority w:val="39"/>
    <w:pPr>
      <w:ind w:left="420" w:leftChars="200"/>
    </w:pPr>
  </w:style>
  <w:style w:type="paragraph" w:styleId="20">
    <w:name w:val="Normal (Web)"/>
    <w:basedOn w:val="1"/>
    <w:unhideWhenUsed/>
    <w:qFormat/>
    <w:uiPriority w:val="99"/>
    <w:pPr>
      <w:widowControl/>
      <w:spacing w:before="100" w:beforeAutospacing="1" w:after="100" w:afterAutospacing="1"/>
      <w:jc w:val="left"/>
    </w:pPr>
    <w:rPr>
      <w:rFonts w:ascii="宋体" w:hAnsi="宋体" w:cs="宋体"/>
      <w:color w:val="000000"/>
      <w:kern w:val="0"/>
      <w:sz w:val="24"/>
    </w:rPr>
  </w:style>
  <w:style w:type="character" w:styleId="22">
    <w:name w:val="Strong"/>
    <w:basedOn w:val="21"/>
    <w:qFormat/>
    <w:uiPriority w:val="22"/>
    <w:rPr>
      <w:b/>
      <w:bCs/>
    </w:rPr>
  </w:style>
  <w:style w:type="character" w:styleId="23">
    <w:name w:val="page number"/>
    <w:qFormat/>
    <w:uiPriority w:val="0"/>
    <w:rPr>
      <w:rFonts w:ascii="仿宋_GB2312" w:hAnsi="Tahoma" w:eastAsia="仿宋_GB2312"/>
      <w:kern w:val="2"/>
      <w:sz w:val="28"/>
      <w:szCs w:val="28"/>
      <w:lang w:val="en-US" w:eastAsia="zh-CN" w:bidi="ar-SA"/>
    </w:rPr>
  </w:style>
  <w:style w:type="character" w:styleId="24">
    <w:name w:val="FollowedHyperlink"/>
    <w:basedOn w:val="21"/>
    <w:qFormat/>
    <w:uiPriority w:val="0"/>
    <w:rPr>
      <w:rFonts w:hint="eastAsia" w:ascii="微软雅黑" w:hAnsi="微软雅黑" w:eastAsia="微软雅黑" w:cs="微软雅黑"/>
      <w:color w:val="02396F"/>
      <w:u w:val="single"/>
    </w:rPr>
  </w:style>
  <w:style w:type="character" w:styleId="25">
    <w:name w:val="Emphasis"/>
    <w:qFormat/>
    <w:uiPriority w:val="0"/>
  </w:style>
  <w:style w:type="character" w:styleId="26">
    <w:name w:val="Hyperlink"/>
    <w:basedOn w:val="21"/>
    <w:qFormat/>
    <w:uiPriority w:val="99"/>
    <w:rPr>
      <w:rFonts w:hint="eastAsia" w:ascii="微软雅黑" w:hAnsi="微软雅黑" w:eastAsia="微软雅黑" w:cs="微软雅黑"/>
      <w:color w:val="02396F"/>
      <w:u w:val="single"/>
    </w:rPr>
  </w:style>
  <w:style w:type="character" w:styleId="27">
    <w:name w:val="footnote reference"/>
    <w:basedOn w:val="21"/>
    <w:unhideWhenUsed/>
    <w:qFormat/>
    <w:uiPriority w:val="99"/>
    <w:rPr>
      <w:vertAlign w:val="superscript"/>
    </w:rPr>
  </w:style>
  <w:style w:type="paragraph" w:customStyle="1" w:styleId="29">
    <w:name w:val="样式1"/>
    <w:basedOn w:val="1"/>
    <w:qFormat/>
    <w:uiPriority w:val="0"/>
    <w:pPr>
      <w:numPr>
        <w:ilvl w:val="0"/>
        <w:numId w:val="1"/>
      </w:numPr>
      <w:adjustRightInd w:val="0"/>
      <w:textAlignment w:val="baseline"/>
    </w:pPr>
    <w:rPr>
      <w:rFonts w:ascii="宋体" w:hAnsi="宋体"/>
      <w:kern w:val="0"/>
    </w:rPr>
  </w:style>
  <w:style w:type="paragraph" w:customStyle="1" w:styleId="30">
    <w:name w:val="NormalIndent"/>
    <w:basedOn w:val="1"/>
    <w:qFormat/>
    <w:uiPriority w:val="0"/>
    <w:pPr>
      <w:widowControl/>
      <w:spacing w:line="360" w:lineRule="auto"/>
      <w:ind w:firstLine="420"/>
      <w:textAlignment w:val="baseline"/>
    </w:pPr>
    <w:rPr>
      <w:rFonts w:ascii="宋体"/>
    </w:rPr>
  </w:style>
  <w:style w:type="paragraph" w:customStyle="1" w:styleId="31">
    <w:name w:val="Char Char Char1"/>
    <w:basedOn w:val="1"/>
    <w:qFormat/>
    <w:uiPriority w:val="0"/>
    <w:pPr>
      <w:spacing w:line="400" w:lineRule="exact"/>
      <w:jc w:val="center"/>
    </w:pPr>
  </w:style>
  <w:style w:type="paragraph" w:customStyle="1" w:styleId="32">
    <w:name w:val="正文首行缩进两字符"/>
    <w:basedOn w:val="1"/>
    <w:qFormat/>
    <w:uiPriority w:val="0"/>
    <w:pPr>
      <w:spacing w:line="360" w:lineRule="auto"/>
      <w:ind w:firstLine="200" w:firstLineChars="200"/>
    </w:pPr>
  </w:style>
  <w:style w:type="paragraph" w:customStyle="1" w:styleId="33">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34">
    <w:name w:val="样式 首行缩进:  2 字符"/>
    <w:basedOn w:val="1"/>
    <w:qFormat/>
    <w:uiPriority w:val="0"/>
    <w:pPr>
      <w:widowControl/>
      <w:spacing w:line="360" w:lineRule="auto"/>
      <w:ind w:firstLine="480" w:firstLineChars="200"/>
      <w:jc w:val="left"/>
    </w:pPr>
    <w:rPr>
      <w:rFonts w:eastAsia="仿宋_GB2312"/>
      <w:kern w:val="0"/>
      <w:sz w:val="24"/>
      <w:szCs w:val="20"/>
    </w:rPr>
  </w:style>
  <w:style w:type="paragraph" w:customStyle="1" w:styleId="35">
    <w:name w:val="_Style 3"/>
    <w:basedOn w:val="1"/>
    <w:next w:val="1"/>
    <w:qFormat/>
    <w:uiPriority w:val="0"/>
    <w:pPr>
      <w:pBdr>
        <w:top w:val="single" w:color="auto" w:sz="6" w:space="1"/>
      </w:pBdr>
      <w:jc w:val="center"/>
    </w:pPr>
    <w:rPr>
      <w:rFonts w:ascii="Arial"/>
      <w:vanish/>
      <w:sz w:val="16"/>
    </w:rPr>
  </w:style>
  <w:style w:type="paragraph" w:customStyle="1" w:styleId="36">
    <w:name w:val="正文（首行缩进2字符）"/>
    <w:basedOn w:val="1"/>
    <w:qFormat/>
    <w:uiPriority w:val="0"/>
    <w:pPr>
      <w:ind w:firstLine="440"/>
    </w:pPr>
    <w:rPr>
      <w:rFonts w:ascii="宋体" w:hAnsi="宋体"/>
      <w:kern w:val="0"/>
      <w:sz w:val="22"/>
    </w:rPr>
  </w:style>
  <w:style w:type="paragraph" w:customStyle="1" w:styleId="37">
    <w:name w:val="表格文字"/>
    <w:basedOn w:val="1"/>
    <w:qFormat/>
    <w:uiPriority w:val="0"/>
    <w:pPr>
      <w:spacing w:before="25" w:after="25"/>
      <w:jc w:val="left"/>
    </w:pPr>
    <w:rPr>
      <w:bCs/>
      <w:spacing w:val="10"/>
      <w:kern w:val="0"/>
      <w:sz w:val="24"/>
      <w:szCs w:val="20"/>
    </w:rPr>
  </w:style>
  <w:style w:type="paragraph" w:customStyle="1" w:styleId="38">
    <w:name w:val="Char Char Char"/>
    <w:basedOn w:val="1"/>
    <w:qFormat/>
    <w:uiPriority w:val="0"/>
    <w:pPr>
      <w:widowControl/>
      <w:spacing w:after="160" w:line="240" w:lineRule="exact"/>
      <w:jc w:val="left"/>
    </w:pPr>
  </w:style>
  <w:style w:type="paragraph" w:customStyle="1" w:styleId="39">
    <w:name w:val="newstyle16"/>
    <w:basedOn w:val="1"/>
    <w:qFormat/>
    <w:uiPriority w:val="0"/>
    <w:pPr>
      <w:widowControl/>
      <w:jc w:val="left"/>
    </w:pPr>
    <w:rPr>
      <w:rFonts w:ascii="宋体" w:hAnsi="宋体" w:cs="宋体"/>
      <w:kern w:val="0"/>
      <w:sz w:val="24"/>
    </w:rPr>
  </w:style>
  <w:style w:type="paragraph" w:customStyle="1" w:styleId="40">
    <w:name w:val="_Style 1"/>
    <w:basedOn w:val="1"/>
    <w:next w:val="1"/>
    <w:qFormat/>
    <w:uiPriority w:val="0"/>
    <w:pPr>
      <w:pBdr>
        <w:bottom w:val="single" w:color="auto" w:sz="6" w:space="1"/>
      </w:pBdr>
      <w:jc w:val="center"/>
    </w:pPr>
    <w:rPr>
      <w:rFonts w:ascii="Arial"/>
      <w:vanish/>
      <w:sz w:val="16"/>
    </w:rPr>
  </w:style>
  <w:style w:type="paragraph" w:customStyle="1" w:styleId="41">
    <w:name w:val="普通 (Web)"/>
    <w:basedOn w:val="1"/>
    <w:qFormat/>
    <w:uiPriority w:val="0"/>
    <w:pPr>
      <w:widowControl/>
      <w:spacing w:before="100" w:beforeAutospacing="1" w:after="100" w:afterAutospacing="1"/>
      <w:jc w:val="left"/>
    </w:pPr>
    <w:rPr>
      <w:rFonts w:ascii="宋体" w:hAnsi="宋体"/>
      <w:color w:val="000000"/>
      <w:kern w:val="0"/>
      <w:sz w:val="24"/>
      <w:szCs w:val="20"/>
    </w:rPr>
  </w:style>
  <w:style w:type="paragraph" w:customStyle="1" w:styleId="42">
    <w:name w:val="表内"/>
    <w:basedOn w:val="1"/>
    <w:qFormat/>
    <w:uiPriority w:val="99"/>
    <w:pPr>
      <w:spacing w:line="300" w:lineRule="auto"/>
    </w:pPr>
    <w:rPr>
      <w:bCs/>
      <w:kern w:val="0"/>
      <w:szCs w:val="21"/>
      <w:lang w:eastAsia="zh-TW"/>
    </w:rPr>
  </w:style>
  <w:style w:type="paragraph" w:customStyle="1" w:styleId="43">
    <w:name w:val="Table Paragraph"/>
    <w:basedOn w:val="1"/>
    <w:qFormat/>
    <w:uiPriority w:val="1"/>
    <w:rPr>
      <w:rFonts w:ascii="Arial Unicode MS" w:hAnsi="Arial Unicode MS" w:eastAsia="Arial Unicode MS" w:cs="Arial Unicode MS"/>
    </w:rPr>
  </w:style>
  <w:style w:type="paragraph" w:customStyle="1" w:styleId="44">
    <w:name w:val="HKIC表格正文左"/>
    <w:basedOn w:val="1"/>
    <w:qFormat/>
    <w:uiPriority w:val="0"/>
    <w:pPr>
      <w:spacing w:line="240" w:lineRule="exact"/>
      <w:jc w:val="left"/>
    </w:pPr>
    <w:rPr>
      <w:rFonts w:ascii="Arial" w:hAnsi="宋体"/>
      <w:kern w:val="0"/>
      <w:szCs w:val="21"/>
    </w:rPr>
  </w:style>
  <w:style w:type="paragraph" w:customStyle="1" w:styleId="4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6">
    <w:name w:val="列出段落1"/>
    <w:basedOn w:val="1"/>
    <w:qFormat/>
    <w:uiPriority w:val="34"/>
    <w:pPr>
      <w:ind w:firstLine="420" w:firstLineChars="200"/>
    </w:pPr>
  </w:style>
  <w:style w:type="paragraph" w:customStyle="1" w:styleId="47">
    <w:name w:val="List Paragraph"/>
    <w:basedOn w:val="1"/>
    <w:qFormat/>
    <w:uiPriority w:val="34"/>
    <w:pPr>
      <w:ind w:firstLine="420" w:firstLineChars="200"/>
    </w:pPr>
  </w:style>
  <w:style w:type="paragraph" w:customStyle="1" w:styleId="48">
    <w:name w:val="无间隔1"/>
    <w:next w:val="1"/>
    <w:qFormat/>
    <w:uiPriority w:val="0"/>
    <w:pPr>
      <w:widowControl w:val="0"/>
      <w:tabs>
        <w:tab w:val="left" w:pos="1080"/>
      </w:tabs>
      <w:spacing w:line="360" w:lineRule="auto"/>
      <w:ind w:left="420" w:hanging="420"/>
      <w:jc w:val="both"/>
    </w:pPr>
    <w:rPr>
      <w:rFonts w:ascii="Calibri" w:hAnsi="Calibri" w:eastAsia="宋体" w:cs="Times New Roman"/>
      <w:kern w:val="2"/>
      <w:sz w:val="24"/>
      <w:szCs w:val="22"/>
      <w:lang w:val="en-US" w:eastAsia="zh-CN" w:bidi="ar-SA"/>
    </w:rPr>
  </w:style>
  <w:style w:type="paragraph" w:customStyle="1" w:styleId="49">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50">
    <w:name w:val="p0"/>
    <w:basedOn w:val="1"/>
    <w:qFormat/>
    <w:uiPriority w:val="0"/>
    <w:pPr>
      <w:widowControl/>
    </w:pPr>
    <w:rPr>
      <w:kern w:val="0"/>
      <w:szCs w:val="21"/>
    </w:rPr>
  </w:style>
  <w:style w:type="paragraph" w:customStyle="1" w:styleId="51">
    <w:name w:val="石墨文档正文"/>
    <w:qFormat/>
    <w:uiPriority w:val="0"/>
    <w:rPr>
      <w:rFonts w:ascii="微软雅黑" w:hAnsi="Times New Roman" w:eastAsia="微软雅黑" w:cs="微软雅黑"/>
      <w:sz w:val="24"/>
      <w:szCs w:val="24"/>
      <w:lang w:val="en-US" w:eastAsia="zh-CN" w:bidi="ar-SA"/>
    </w:rPr>
  </w:style>
  <w:style w:type="character" w:customStyle="1" w:styleId="52">
    <w:name w:val="标题 1 Char1"/>
    <w:link w:val="2"/>
    <w:qFormat/>
    <w:uiPriority w:val="0"/>
    <w:rPr>
      <w:b/>
      <w:bCs/>
      <w:kern w:val="44"/>
      <w:sz w:val="44"/>
      <w:szCs w:val="44"/>
    </w:rPr>
  </w:style>
  <w:style w:type="character" w:customStyle="1" w:styleId="53">
    <w:name w:val="正文文本缩进 Char"/>
    <w:basedOn w:val="21"/>
    <w:link w:val="9"/>
    <w:qFormat/>
    <w:uiPriority w:val="0"/>
    <w:rPr>
      <w:rFonts w:hint="default" w:ascii="Calibri" w:hAnsi="Calibri" w:eastAsia="仿宋" w:cs="Calibri"/>
      <w:kern w:val="2"/>
      <w:sz w:val="28"/>
      <w:szCs w:val="24"/>
    </w:rPr>
  </w:style>
  <w:style w:type="character" w:customStyle="1" w:styleId="54">
    <w:name w:val="纯文本 Char"/>
    <w:link w:val="10"/>
    <w:qFormat/>
    <w:uiPriority w:val="0"/>
    <w:rPr>
      <w:rFonts w:ascii="宋体" w:hAnsi="Courier New"/>
      <w:kern w:val="2"/>
      <w:sz w:val="21"/>
      <w:szCs w:val="24"/>
    </w:rPr>
  </w:style>
  <w:style w:type="character" w:customStyle="1" w:styleId="55">
    <w:name w:val="日期 Char"/>
    <w:link w:val="11"/>
    <w:qFormat/>
    <w:uiPriority w:val="0"/>
    <w:rPr>
      <w:kern w:val="2"/>
      <w:sz w:val="21"/>
      <w:szCs w:val="24"/>
    </w:rPr>
  </w:style>
  <w:style w:type="character" w:customStyle="1" w:styleId="56">
    <w:name w:val="批注框文本 Char"/>
    <w:link w:val="13"/>
    <w:qFormat/>
    <w:uiPriority w:val="0"/>
    <w:rPr>
      <w:kern w:val="2"/>
      <w:sz w:val="18"/>
      <w:szCs w:val="18"/>
    </w:rPr>
  </w:style>
  <w:style w:type="character" w:customStyle="1" w:styleId="57">
    <w:name w:val="正文首行缩进 2 Char"/>
    <w:basedOn w:val="53"/>
    <w:link w:val="15"/>
    <w:qFormat/>
    <w:uiPriority w:val="0"/>
    <w:rPr>
      <w:rFonts w:hint="default" w:ascii="Calibri" w:hAnsi="Calibri" w:eastAsia="仿宋" w:cs="Calibri"/>
      <w:kern w:val="2"/>
      <w:sz w:val="28"/>
      <w:szCs w:val="24"/>
    </w:rPr>
  </w:style>
  <w:style w:type="character" w:customStyle="1" w:styleId="58">
    <w:name w:val="prev2"/>
    <w:basedOn w:val="21"/>
    <w:qFormat/>
    <w:uiPriority w:val="0"/>
    <w:rPr>
      <w:color w:val="888888"/>
    </w:rPr>
  </w:style>
  <w:style w:type="character" w:customStyle="1" w:styleId="59">
    <w:name w:val="prev1"/>
    <w:basedOn w:val="21"/>
    <w:qFormat/>
    <w:uiPriority w:val="0"/>
    <w:rPr>
      <w:color w:val="888888"/>
    </w:rPr>
  </w:style>
  <w:style w:type="character" w:customStyle="1" w:styleId="60">
    <w:name w:val="redfilefwwh"/>
    <w:basedOn w:val="21"/>
    <w:qFormat/>
    <w:uiPriority w:val="0"/>
    <w:rPr>
      <w:color w:val="BA2636"/>
      <w:sz w:val="18"/>
      <w:szCs w:val="18"/>
    </w:rPr>
  </w:style>
  <w:style w:type="character" w:customStyle="1" w:styleId="61">
    <w:name w:val="font11"/>
    <w:basedOn w:val="21"/>
    <w:qFormat/>
    <w:uiPriority w:val="0"/>
    <w:rPr>
      <w:rFonts w:hint="eastAsia" w:ascii="宋体" w:hAnsi="宋体" w:eastAsia="宋体" w:cs="宋体"/>
      <w:color w:val="000000"/>
      <w:sz w:val="20"/>
      <w:szCs w:val="20"/>
      <w:u w:val="none"/>
    </w:rPr>
  </w:style>
  <w:style w:type="character" w:customStyle="1" w:styleId="62">
    <w:name w:val="hui1"/>
    <w:basedOn w:val="21"/>
    <w:qFormat/>
    <w:uiPriority w:val="0"/>
    <w:rPr>
      <w:color w:val="999999"/>
    </w:rPr>
  </w:style>
  <w:style w:type="character" w:customStyle="1" w:styleId="63">
    <w:name w:val="qxdate"/>
    <w:basedOn w:val="21"/>
    <w:qFormat/>
    <w:uiPriority w:val="0"/>
    <w:rPr>
      <w:color w:val="333333"/>
      <w:sz w:val="18"/>
      <w:szCs w:val="18"/>
    </w:rPr>
  </w:style>
  <w:style w:type="character" w:customStyle="1" w:styleId="64">
    <w:name w:val="标题 1 Char"/>
    <w:qFormat/>
    <w:uiPriority w:val="0"/>
    <w:rPr>
      <w:rFonts w:hint="default" w:ascii="Arial" w:hAnsi="Arial" w:eastAsia="宋体" w:cs="Arial"/>
      <w:bCs/>
      <w:kern w:val="32"/>
      <w:sz w:val="32"/>
      <w:szCs w:val="32"/>
      <w:lang w:val="en-US" w:eastAsia="zh-CN" w:bidi="ar-SA"/>
    </w:rPr>
  </w:style>
  <w:style w:type="character" w:customStyle="1" w:styleId="65">
    <w:name w:val="zt-lm1-r-t-xz1"/>
    <w:basedOn w:val="21"/>
    <w:qFormat/>
    <w:uiPriority w:val="0"/>
  </w:style>
  <w:style w:type="character" w:customStyle="1" w:styleId="66">
    <w:name w:val="displayarti"/>
    <w:basedOn w:val="21"/>
    <w:qFormat/>
    <w:uiPriority w:val="0"/>
    <w:rPr>
      <w:color w:val="FFFFFF"/>
      <w:shd w:val="clear" w:color="auto" w:fill="A00000"/>
    </w:rPr>
  </w:style>
  <w:style w:type="character" w:customStyle="1" w:styleId="67">
    <w:name w:val="font01"/>
    <w:basedOn w:val="21"/>
    <w:qFormat/>
    <w:uiPriority w:val="0"/>
    <w:rPr>
      <w:rFonts w:hint="eastAsia" w:ascii="宋体" w:hAnsi="宋体" w:eastAsia="宋体" w:cs="宋体"/>
      <w:color w:val="000000"/>
      <w:sz w:val="20"/>
      <w:szCs w:val="20"/>
      <w:u w:val="none"/>
    </w:rPr>
  </w:style>
  <w:style w:type="character" w:customStyle="1" w:styleId="68">
    <w:name w:val="font31"/>
    <w:basedOn w:val="21"/>
    <w:qFormat/>
    <w:uiPriority w:val="0"/>
    <w:rPr>
      <w:rFonts w:hint="eastAsia" w:ascii="宋体" w:hAnsi="宋体" w:eastAsia="宋体" w:cs="宋体"/>
      <w:color w:val="000000"/>
      <w:sz w:val="20"/>
      <w:szCs w:val="20"/>
      <w:u w:val="none"/>
    </w:rPr>
  </w:style>
  <w:style w:type="character" w:customStyle="1" w:styleId="69">
    <w:name w:val="prev"/>
    <w:basedOn w:val="21"/>
    <w:qFormat/>
    <w:uiPriority w:val="0"/>
    <w:rPr>
      <w:rFonts w:hint="eastAsia" w:ascii="微软雅黑" w:hAnsi="微软雅黑" w:eastAsia="微软雅黑" w:cs="微软雅黑"/>
      <w:sz w:val="21"/>
      <w:szCs w:val="21"/>
    </w:rPr>
  </w:style>
  <w:style w:type="character" w:customStyle="1" w:styleId="70">
    <w:name w:val="zt-lm1-r-t-xz2"/>
    <w:basedOn w:val="21"/>
    <w:qFormat/>
    <w:uiPriority w:val="0"/>
  </w:style>
  <w:style w:type="character" w:customStyle="1" w:styleId="71">
    <w:name w:val="next2"/>
    <w:basedOn w:val="21"/>
    <w:qFormat/>
    <w:uiPriority w:val="0"/>
    <w:rPr>
      <w:rFonts w:ascii="微软雅黑" w:hAnsi="微软雅黑" w:eastAsia="微软雅黑" w:cs="微软雅黑"/>
      <w:sz w:val="21"/>
      <w:szCs w:val="21"/>
    </w:rPr>
  </w:style>
  <w:style w:type="character" w:customStyle="1" w:styleId="72">
    <w:name w:val="HTML 打字机 New"/>
    <w:basedOn w:val="21"/>
    <w:qFormat/>
    <w:uiPriority w:val="0"/>
    <w:rPr>
      <w:rFonts w:ascii="宋体" w:hAnsi="宋体" w:eastAsia="宋体" w:cs="宋体"/>
      <w:sz w:val="18"/>
      <w:szCs w:val="18"/>
    </w:rPr>
  </w:style>
  <w:style w:type="character" w:customStyle="1" w:styleId="73">
    <w:name w:val="next1"/>
    <w:basedOn w:val="21"/>
    <w:qFormat/>
    <w:uiPriority w:val="0"/>
    <w:rPr>
      <w:color w:val="888888"/>
    </w:rPr>
  </w:style>
  <w:style w:type="character" w:customStyle="1" w:styleId="74">
    <w:name w:val="redfilenumber"/>
    <w:basedOn w:val="21"/>
    <w:qFormat/>
    <w:uiPriority w:val="0"/>
    <w:rPr>
      <w:color w:val="BA2636"/>
      <w:sz w:val="18"/>
      <w:szCs w:val="18"/>
    </w:rPr>
  </w:style>
  <w:style w:type="character" w:customStyle="1" w:styleId="75">
    <w:name w:val="font21"/>
    <w:basedOn w:val="21"/>
    <w:qFormat/>
    <w:uiPriority w:val="0"/>
    <w:rPr>
      <w:rFonts w:hint="eastAsia" w:ascii="宋体" w:hAnsi="宋体" w:eastAsia="宋体" w:cs="宋体"/>
      <w:b/>
      <w:color w:val="000000"/>
      <w:sz w:val="20"/>
      <w:szCs w:val="20"/>
      <w:u w:val="none"/>
    </w:rPr>
  </w:style>
  <w:style w:type="character" w:customStyle="1" w:styleId="76">
    <w:name w:val="标题 1 Char2"/>
    <w:qFormat/>
    <w:uiPriority w:val="0"/>
    <w:rPr>
      <w:rFonts w:hint="default" w:ascii="Arial" w:hAnsi="Arial" w:eastAsia="宋体" w:cs="Arial"/>
      <w:bCs/>
      <w:kern w:val="32"/>
      <w:sz w:val="32"/>
      <w:szCs w:val="32"/>
      <w:lang w:val="en-US" w:eastAsia="zh-CN" w:bidi="ar-SA"/>
    </w:rPr>
  </w:style>
  <w:style w:type="character" w:customStyle="1" w:styleId="77">
    <w:name w:val="gjfg"/>
    <w:basedOn w:val="21"/>
    <w:qFormat/>
    <w:uiPriority w:val="0"/>
  </w:style>
  <w:style w:type="character" w:customStyle="1" w:styleId="78">
    <w:name w:val="cfdate"/>
    <w:basedOn w:val="21"/>
    <w:qFormat/>
    <w:uiPriority w:val="0"/>
    <w:rPr>
      <w:color w:val="333333"/>
      <w:sz w:val="18"/>
      <w:szCs w:val="18"/>
    </w:rPr>
  </w:style>
  <w:style w:type="character" w:customStyle="1" w:styleId="79">
    <w:name w:val="pl"/>
    <w:qFormat/>
    <w:uiPriority w:val="0"/>
  </w:style>
  <w:style w:type="character" w:customStyle="1" w:styleId="80">
    <w:name w:val="prev3"/>
    <w:basedOn w:val="21"/>
    <w:qFormat/>
    <w:uiPriority w:val="0"/>
    <w:rPr>
      <w:rFonts w:ascii="微软雅黑" w:hAnsi="微软雅黑" w:eastAsia="微软雅黑" w:cs="微软雅黑"/>
      <w:sz w:val="21"/>
      <w:szCs w:val="21"/>
    </w:rPr>
  </w:style>
  <w:style w:type="character" w:customStyle="1" w:styleId="81">
    <w:name w:val="next3"/>
    <w:basedOn w:val="21"/>
    <w:qFormat/>
    <w:uiPriority w:val="0"/>
    <w:rPr>
      <w:rFonts w:hint="eastAsia" w:ascii="微软雅黑" w:hAnsi="微软雅黑" w:eastAsia="微软雅黑" w:cs="微软雅黑"/>
      <w:sz w:val="21"/>
      <w:szCs w:val="21"/>
    </w:rPr>
  </w:style>
  <w:style w:type="character" w:customStyle="1" w:styleId="82">
    <w:name w:val="next"/>
    <w:basedOn w:val="21"/>
    <w:qFormat/>
    <w:uiPriority w:val="0"/>
    <w:rPr>
      <w:rFonts w:ascii="微软雅黑" w:hAnsi="微软雅黑" w:eastAsia="微软雅黑" w:cs="微软雅黑"/>
      <w:sz w:val="21"/>
      <w:szCs w:val="21"/>
    </w:rPr>
  </w:style>
  <w:style w:type="character" w:customStyle="1" w:styleId="83">
    <w:name w:val="NormalCharacter"/>
    <w:qFormat/>
    <w:uiPriority w:val="0"/>
    <w:rPr>
      <w:sz w:val="21"/>
      <w:lang w:val="en-US" w:eastAsia="zh-CN" w:bidi="ar-SA"/>
    </w:rPr>
  </w:style>
  <w:style w:type="character" w:customStyle="1" w:styleId="84">
    <w:name w:val="font51"/>
    <w:basedOn w:val="21"/>
    <w:qFormat/>
    <w:uiPriority w:val="0"/>
    <w:rPr>
      <w:rFonts w:hint="eastAsia" w:ascii="宋体" w:hAnsi="宋体" w:eastAsia="宋体" w:cs="宋体"/>
      <w:color w:val="000000"/>
      <w:sz w:val="20"/>
      <w:szCs w:val="20"/>
      <w:u w:val="none"/>
    </w:rPr>
  </w:style>
  <w:style w:type="character" w:customStyle="1" w:styleId="85">
    <w:name w:val="font61"/>
    <w:basedOn w:val="21"/>
    <w:qFormat/>
    <w:uiPriority w:val="0"/>
    <w:rPr>
      <w:rFonts w:hint="eastAsia" w:ascii="宋体" w:hAnsi="宋体" w:eastAsia="宋体" w:cs="宋体"/>
      <w:b/>
      <w:color w:val="000000"/>
      <w:sz w:val="20"/>
      <w:szCs w:val="20"/>
      <w:u w:val="none"/>
    </w:rPr>
  </w:style>
  <w:style w:type="character" w:customStyle="1" w:styleId="86">
    <w:name w:val="font41"/>
    <w:basedOn w:val="21"/>
    <w:qFormat/>
    <w:uiPriority w:val="0"/>
    <w:rPr>
      <w:rFonts w:hint="eastAsia" w:ascii="宋体" w:hAnsi="宋体" w:eastAsia="宋体" w:cs="宋体"/>
      <w:color w:val="000000"/>
      <w:sz w:val="24"/>
      <w:szCs w:val="24"/>
      <w:u w:val="none"/>
    </w:rPr>
  </w:style>
  <w:style w:type="character" w:customStyle="1" w:styleId="87">
    <w:name w:val="zx-xuan1"/>
    <w:basedOn w:val="21"/>
    <w:qFormat/>
    <w:uiPriority w:val="0"/>
    <w:rPr>
      <w:rFonts w:ascii="Î¢ï¿½ï¿½ï¿½Åºï¿½" w:hAnsi="Î¢ï¿½ï¿½ï¿½Åºï¿½" w:eastAsia="Î¢ï¿½ï¿½ï¿½Åºï¿½" w:cs="Î¢ï¿½ï¿½ï¿½Åºï¿½"/>
      <w:color w:val="FFFFFF"/>
      <w:sz w:val="27"/>
      <w:szCs w:val="27"/>
      <w:shd w:val="clear" w:color="040000" w:fill="3F6ECF"/>
    </w:rPr>
  </w:style>
  <w:style w:type="character" w:customStyle="1" w:styleId="88">
    <w:name w:val="zt-lm1-r-t-xz"/>
    <w:basedOn w:val="21"/>
    <w:qFormat/>
    <w:uiPriority w:val="0"/>
    <w:rPr>
      <w:shd w:val="clear" w:color="000000" w:fill="0359A6"/>
    </w:rPr>
  </w:style>
  <w:style w:type="character" w:customStyle="1" w:styleId="89">
    <w:name w:val="hui"/>
    <w:basedOn w:val="21"/>
    <w:qFormat/>
    <w:uiPriority w:val="0"/>
    <w:rPr>
      <w:color w:val="999999"/>
    </w:rPr>
  </w:style>
  <w:style w:type="paragraph" w:customStyle="1" w:styleId="90">
    <w:name w:val="null3"/>
    <w:hidden/>
    <w:qFormat/>
    <w:uiPriority w:val="0"/>
    <w:rPr>
      <w:rFonts w:hint="eastAsia"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53967</Words>
  <Characters>56402</Characters>
  <Lines>292</Lines>
  <Paragraphs>82</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2021-05-13T20:16:00Z</dcterms:created>
  <dc:creator>lenovo</dc:creator>
  <cp:lastModifiedBy>Administrator</cp:lastModifiedBy>
  <cp:lastPrinted>2025-03-20T00:48:00Z</cp:lastPrinted>
  <dcterms:modified xsi:type="dcterms:W3CDTF">2025-05-14T02:42:27Z</dcterms:modified>
  <dc:title>海南省财政厅2025年信息系统运行维护政府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58A34D5FD5A04004948E5A871B791279</vt:lpwstr>
  </property>
</Properties>
</file>