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海南省财政厅2025年信息系统运行维护政府采购项目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HNZC2025-004-003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海南省财政科技服务中心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海南省财政科技服务中心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海南省财政厅2025年信息系统运行维护政府采购项目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HNZC2025-004-003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海南省财政厅2025年信息系统运行维护政府采购项目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4,134,756.00元</w:t>
      </w:r>
      <w:r>
        <w:rPr>
          <w:rFonts w:ascii="仿宋_GB2312" w:hAnsi="仿宋_GB2312" w:cs="仿宋_GB2312" w:eastAsia="仿宋_GB2312"/>
        </w:rPr>
        <w:t>肆佰壹拾叁万肆仟柒佰伍拾陆元整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运维周期为一年，时间为2025年2月25日至2026年2月24日。2025年2月25日起至合同签订生效之日前1天由原供应商负责运维，合同生效之日起至2026年2月24日由新供应商负责运维。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运维周期为一年，时间为2025年8月25日至2026年8月24日。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运维周期为一年，时间为2025年11月1日至2026年10月31日。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运维周期为一年，时间为2025年5月23日至2026年5月22日。时间为2025年5月23日起至合同签订生效之日前1天由原供应商负责运维，合同生效之日起至2026年5月22日由新供应商负责运维。</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运维周期为一年，时间为2025年1月1日至2025年12月31日，2025年1月1日至合同签订生效之日前1天由原供应商负责运维，合同生效之日起至2025年12月31日由新供应商负责运维。</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（一）OA系统运维服务时间 运维周期为一年，时间为2025年1月1日至2025年12月31日，2025年1月1日至合同签订生效之日前1天由原供应商负责运维，合同生效之日起至2025年12月31日由新供应商负责运维。 （二）督办模块技术服务时间 自合同签订之日起4个月内。</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运维周期为一年，时间为2025年1月1日至2025年12月31日，2025年1月1日至合同签订生效之日前1天由原供应商负责运维，合同生效之日起至2025年12月31日由新供应商负责运维。</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运维周期为一年，2025年8月21日-2026年8月20日。</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 xml:space="preserve"> 运维周期为一年，自合同签订之日起一年。</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服务时间为2025年12月1日至2026年11月30日。</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2025年6月21日-2026年6月20日，2025年6月21日起至合同签订生效之日前1天由原供应商负责运维，合同生效之日起至2026年6月20日由新供应商负责运维。</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2025年6月21日-2026年6月20日，2025年6月21日起至合同签订生效之日前1天由原供应商负责运维，合同生效之日起至2026年6月20日由新供应商负责运维。</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2025年信息系统运维等保测评及应急演练服务合同签订后且收到入场通知后75天内完成。</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2025年密码测评服务合同签订后且收到入场通知后75天内完成。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2、资质条件：投标人具有具备公安部第三研究所颁发的有效期内《网络安全服务认证证书等级保护测评服务认证》和证书颁发机构监督评价合格后签发的《证书保持通知书》。（复印件加盖公章）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2、资质条件：投标人需属于国家密码管理局公告（49号）《商用密码检测机构（商用密码应用安全性评估业务）目录》的机构，提供网站公告页面和目录复印件并加盖公章。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海南省财政科技服务中心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海口市滨海大道109号财政大厦409房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王康斌</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0898-68567676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符章林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13637571900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采购包1：569,500.00元</w:t>
            </w:r>
          </w:p>
          <w:p>
            <w:pPr>
              <w:pStyle w:val="null3"/>
              <w:jc w:val="left"/>
            </w:pPr>
            <w:r>
              <w:rPr>
                <w:rFonts w:ascii="仿宋_GB2312" w:hAnsi="仿宋_GB2312" w:cs="仿宋_GB2312" w:eastAsia="仿宋_GB2312"/>
              </w:rPr>
              <w:t>采购包2：300,000.00元</w:t>
            </w:r>
          </w:p>
          <w:p>
            <w:pPr>
              <w:pStyle w:val="null3"/>
              <w:jc w:val="left"/>
            </w:pPr>
            <w:r>
              <w:rPr>
                <w:rFonts w:ascii="仿宋_GB2312" w:hAnsi="仿宋_GB2312" w:cs="仿宋_GB2312" w:eastAsia="仿宋_GB2312"/>
              </w:rPr>
              <w:t>采购包3：230,000.00元</w:t>
            </w:r>
          </w:p>
          <w:p>
            <w:pPr>
              <w:pStyle w:val="null3"/>
              <w:jc w:val="left"/>
            </w:pPr>
            <w:r>
              <w:rPr>
                <w:rFonts w:ascii="仿宋_GB2312" w:hAnsi="仿宋_GB2312" w:cs="仿宋_GB2312" w:eastAsia="仿宋_GB2312"/>
              </w:rPr>
              <w:t>采购包4：80,000.00元</w:t>
            </w:r>
          </w:p>
          <w:p>
            <w:pPr>
              <w:pStyle w:val="null3"/>
              <w:jc w:val="left"/>
            </w:pPr>
            <w:r>
              <w:rPr>
                <w:rFonts w:ascii="仿宋_GB2312" w:hAnsi="仿宋_GB2312" w:cs="仿宋_GB2312" w:eastAsia="仿宋_GB2312"/>
              </w:rPr>
              <w:t>采购包5：35,000.00元</w:t>
            </w:r>
          </w:p>
          <w:p>
            <w:pPr>
              <w:pStyle w:val="null3"/>
              <w:jc w:val="left"/>
            </w:pPr>
            <w:r>
              <w:rPr>
                <w:rFonts w:ascii="仿宋_GB2312" w:hAnsi="仿宋_GB2312" w:cs="仿宋_GB2312" w:eastAsia="仿宋_GB2312"/>
              </w:rPr>
              <w:t>采购包6：141,000.00元</w:t>
            </w:r>
          </w:p>
          <w:p>
            <w:pPr>
              <w:pStyle w:val="null3"/>
              <w:jc w:val="left"/>
            </w:pPr>
            <w:r>
              <w:rPr>
                <w:rFonts w:ascii="仿宋_GB2312" w:hAnsi="仿宋_GB2312" w:cs="仿宋_GB2312" w:eastAsia="仿宋_GB2312"/>
              </w:rPr>
              <w:t>采购包7：19,000.00元</w:t>
            </w:r>
          </w:p>
          <w:p>
            <w:pPr>
              <w:pStyle w:val="null3"/>
              <w:jc w:val="left"/>
            </w:pPr>
            <w:r>
              <w:rPr>
                <w:rFonts w:ascii="仿宋_GB2312" w:hAnsi="仿宋_GB2312" w:cs="仿宋_GB2312" w:eastAsia="仿宋_GB2312"/>
              </w:rPr>
              <w:t>采购包8：890,900.00元</w:t>
            </w:r>
          </w:p>
          <w:p>
            <w:pPr>
              <w:pStyle w:val="null3"/>
              <w:jc w:val="left"/>
            </w:pPr>
            <w:r>
              <w:rPr>
                <w:rFonts w:ascii="仿宋_GB2312" w:hAnsi="仿宋_GB2312" w:cs="仿宋_GB2312" w:eastAsia="仿宋_GB2312"/>
              </w:rPr>
              <w:t>采购包9：77,100.00元</w:t>
            </w:r>
          </w:p>
          <w:p>
            <w:pPr>
              <w:pStyle w:val="null3"/>
              <w:jc w:val="left"/>
            </w:pPr>
            <w:r>
              <w:rPr>
                <w:rFonts w:ascii="仿宋_GB2312" w:hAnsi="仿宋_GB2312" w:cs="仿宋_GB2312" w:eastAsia="仿宋_GB2312"/>
              </w:rPr>
              <w:t>采购包10：601,500.00元</w:t>
            </w:r>
          </w:p>
          <w:p>
            <w:pPr>
              <w:pStyle w:val="null3"/>
              <w:jc w:val="left"/>
            </w:pPr>
            <w:r>
              <w:rPr>
                <w:rFonts w:ascii="仿宋_GB2312" w:hAnsi="仿宋_GB2312" w:cs="仿宋_GB2312" w:eastAsia="仿宋_GB2312"/>
              </w:rPr>
              <w:t>采购包11：296,204.00元</w:t>
            </w:r>
          </w:p>
          <w:p>
            <w:pPr>
              <w:pStyle w:val="null3"/>
              <w:jc w:val="left"/>
            </w:pPr>
            <w:r>
              <w:rPr>
                <w:rFonts w:ascii="仿宋_GB2312" w:hAnsi="仿宋_GB2312" w:cs="仿宋_GB2312" w:eastAsia="仿宋_GB2312"/>
              </w:rPr>
              <w:t>采购包12：114,552.00元</w:t>
            </w:r>
          </w:p>
          <w:p>
            <w:pPr>
              <w:pStyle w:val="null3"/>
              <w:jc w:val="left"/>
            </w:pPr>
            <w:r>
              <w:rPr>
                <w:rFonts w:ascii="仿宋_GB2312" w:hAnsi="仿宋_GB2312" w:cs="仿宋_GB2312" w:eastAsia="仿宋_GB2312"/>
              </w:rPr>
              <w:t>采购包13：420,000.00元</w:t>
            </w:r>
          </w:p>
          <w:p>
            <w:pPr>
              <w:pStyle w:val="null3"/>
              <w:jc w:val="left"/>
            </w:pPr>
            <w:r>
              <w:rPr>
                <w:rFonts w:ascii="仿宋_GB2312" w:hAnsi="仿宋_GB2312" w:cs="仿宋_GB2312" w:eastAsia="仿宋_GB2312"/>
              </w:rPr>
              <w:t>采购包14：360,000.00元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p>
          <w:p>
            <w:pPr>
              <w:pStyle w:val="null3"/>
              <w:jc w:val="left"/>
            </w:pPr>
            <w:r>
              <w:rPr>
                <w:rFonts w:ascii="仿宋_GB2312" w:hAnsi="仿宋_GB2312" w:cs="仿宋_GB2312" w:eastAsia="仿宋_GB2312"/>
              </w:rPr>
              <w:t>采购包14：综合评分法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采购包14：不接受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p>
            <w:pPr>
              <w:pStyle w:val="null3"/>
              <w:jc w:val="left"/>
            </w:pPr>
            <w:r>
              <w:rPr>
                <w:rFonts w:ascii="仿宋_GB2312" w:hAnsi="仿宋_GB2312" w:cs="仿宋_GB2312" w:eastAsia="仿宋_GB2312"/>
              </w:rPr>
              <w:t>采购包12：不缴纳</w:t>
            </w:r>
          </w:p>
          <w:p>
            <w:pPr>
              <w:pStyle w:val="null3"/>
              <w:jc w:val="left"/>
            </w:pPr>
            <w:r>
              <w:rPr>
                <w:rFonts w:ascii="仿宋_GB2312" w:hAnsi="仿宋_GB2312" w:cs="仿宋_GB2312" w:eastAsia="仿宋_GB2312"/>
              </w:rPr>
              <w:t>采购包13：不缴纳</w:t>
            </w:r>
          </w:p>
          <w:p>
            <w:pPr>
              <w:pStyle w:val="null3"/>
              <w:jc w:val="left"/>
            </w:pPr>
            <w:r>
              <w:rPr>
                <w:rFonts w:ascii="仿宋_GB2312" w:hAnsi="仿宋_GB2312" w:cs="仿宋_GB2312" w:eastAsia="仿宋_GB2312"/>
              </w:rPr>
              <w:t>采购包14：不缴纳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代理服务费收费标准：国家发展计划委员会文件《招标代理服务收费管理暂行办法》(计价格【2002】1980号)中相关规定向中标人（不足6000 元，按6000 元计算，不向甲方收取任何费用）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p>
            <w:pPr>
              <w:pStyle w:val="null3"/>
              <w:jc w:val="left"/>
            </w:pPr>
            <w:r>
              <w:rPr>
                <w:rFonts w:ascii="仿宋_GB2312" w:hAnsi="仿宋_GB2312" w:cs="仿宋_GB2312" w:eastAsia="仿宋_GB2312"/>
              </w:rPr>
              <w:t>采购包14：不允许分包；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p>
            <w:pPr>
              <w:pStyle w:val="null3"/>
              <w:jc w:val="left"/>
            </w:pPr>
            <w:r>
              <w:rPr>
                <w:rFonts w:ascii="仿宋_GB2312" w:hAnsi="仿宋_GB2312" w:cs="仿宋_GB2312" w:eastAsia="仿宋_GB2312"/>
              </w:rPr>
              <w:t>采购包12：3名</w:t>
            </w:r>
          </w:p>
          <w:p>
            <w:pPr>
              <w:pStyle w:val="null3"/>
              <w:jc w:val="left"/>
            </w:pPr>
            <w:r>
              <w:rPr>
                <w:rFonts w:ascii="仿宋_GB2312" w:hAnsi="仿宋_GB2312" w:cs="仿宋_GB2312" w:eastAsia="仿宋_GB2312"/>
              </w:rPr>
              <w:t>采购包13：3名</w:t>
            </w:r>
          </w:p>
          <w:p>
            <w:pPr>
              <w:pStyle w:val="null3"/>
              <w:jc w:val="left"/>
            </w:pPr>
            <w:r>
              <w:rPr>
                <w:rFonts w:ascii="仿宋_GB2312" w:hAnsi="仿宋_GB2312" w:cs="仿宋_GB2312" w:eastAsia="仿宋_GB2312"/>
              </w:rPr>
              <w:t>采购包14：3名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p>
            <w:pPr>
              <w:pStyle w:val="null3"/>
              <w:jc w:val="left"/>
            </w:pPr>
            <w:r>
              <w:rPr>
                <w:rFonts w:ascii="仿宋_GB2312" w:hAnsi="仿宋_GB2312" w:cs="仿宋_GB2312" w:eastAsia="仿宋_GB2312"/>
              </w:rPr>
              <w:t>采购包14：1名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联系人：符章林</w:t>
      </w:r>
    </w:p>
    <w:p>
      <w:pPr>
        <w:pStyle w:val="null3"/>
        <w:jc w:val="left"/>
      </w:pPr>
      <w:r>
        <w:rPr>
          <w:rFonts w:ascii="仿宋_GB2312" w:hAnsi="仿宋_GB2312" w:cs="仿宋_GB2312" w:eastAsia="仿宋_GB2312"/>
        </w:rPr>
        <w:t>联系电话：0898-68501524</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海南省财政厅2025年信息系统运行维护政府采购项目，共分为14个标段。</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569,500.00</w:t>
      </w:r>
    </w:p>
    <w:p>
      <w:pPr>
        <w:pStyle w:val="null3"/>
        <w:jc w:val="left"/>
      </w:pPr>
      <w:r>
        <w:rPr>
          <w:rFonts w:ascii="仿宋_GB2312" w:hAnsi="仿宋_GB2312" w:cs="仿宋_GB2312" w:eastAsia="仿宋_GB2312"/>
        </w:rPr>
        <w:t>采购包最高限价（元）: 569,500.00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569,500.00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230,000.00</w:t>
      </w:r>
    </w:p>
    <w:p>
      <w:pPr>
        <w:pStyle w:val="null3"/>
        <w:jc w:val="left"/>
      </w:pPr>
      <w:r>
        <w:rPr>
          <w:rFonts w:ascii="仿宋_GB2312" w:hAnsi="仿宋_GB2312" w:cs="仿宋_GB2312" w:eastAsia="仿宋_GB2312"/>
        </w:rPr>
        <w:t>采购包最高限价（元）: 230,000.00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80,000.00</w:t>
      </w:r>
    </w:p>
    <w:p>
      <w:pPr>
        <w:pStyle w:val="null3"/>
        <w:jc w:val="left"/>
      </w:pPr>
      <w:r>
        <w:rPr>
          <w:rFonts w:ascii="仿宋_GB2312" w:hAnsi="仿宋_GB2312" w:cs="仿宋_GB2312" w:eastAsia="仿宋_GB2312"/>
        </w:rPr>
        <w:t>采购包最高限价（元）: 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35,000.00</w:t>
      </w:r>
    </w:p>
    <w:p>
      <w:pPr>
        <w:pStyle w:val="null3"/>
        <w:jc w:val="left"/>
      </w:pPr>
      <w:r>
        <w:rPr>
          <w:rFonts w:ascii="仿宋_GB2312" w:hAnsi="仿宋_GB2312" w:cs="仿宋_GB2312" w:eastAsia="仿宋_GB2312"/>
        </w:rPr>
        <w:t>采购包最高限价（元）: 35,000.00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141,000.00</w:t>
      </w:r>
    </w:p>
    <w:p>
      <w:pPr>
        <w:pStyle w:val="null3"/>
        <w:jc w:val="left"/>
      </w:pPr>
      <w:r>
        <w:rPr>
          <w:rFonts w:ascii="仿宋_GB2312" w:hAnsi="仿宋_GB2312" w:cs="仿宋_GB2312" w:eastAsia="仿宋_GB2312"/>
        </w:rPr>
        <w:t>采购包最高限价（元）: 141,000.00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19,000.00</w:t>
      </w:r>
    </w:p>
    <w:p>
      <w:pPr>
        <w:pStyle w:val="null3"/>
        <w:jc w:val="left"/>
      </w:pPr>
      <w:r>
        <w:rPr>
          <w:rFonts w:ascii="仿宋_GB2312" w:hAnsi="仿宋_GB2312" w:cs="仿宋_GB2312" w:eastAsia="仿宋_GB2312"/>
        </w:rPr>
        <w:t>采购包最高限价（元）: 19,000.00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890,900.00</w:t>
      </w:r>
    </w:p>
    <w:p>
      <w:pPr>
        <w:pStyle w:val="null3"/>
        <w:jc w:val="left"/>
      </w:pPr>
      <w:r>
        <w:rPr>
          <w:rFonts w:ascii="仿宋_GB2312" w:hAnsi="仿宋_GB2312" w:cs="仿宋_GB2312" w:eastAsia="仿宋_GB2312"/>
        </w:rPr>
        <w:t>采购包最高限价（元）: 890,900.00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77,100.00</w:t>
      </w:r>
    </w:p>
    <w:p>
      <w:pPr>
        <w:pStyle w:val="null3"/>
        <w:jc w:val="left"/>
      </w:pPr>
      <w:r>
        <w:rPr>
          <w:rFonts w:ascii="仿宋_GB2312" w:hAnsi="仿宋_GB2312" w:cs="仿宋_GB2312" w:eastAsia="仿宋_GB2312"/>
        </w:rPr>
        <w:t>采购包最高限价（元）: 77,100.00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601,500.00</w:t>
      </w:r>
    </w:p>
    <w:p>
      <w:pPr>
        <w:pStyle w:val="null3"/>
        <w:jc w:val="left"/>
      </w:pPr>
      <w:r>
        <w:rPr>
          <w:rFonts w:ascii="仿宋_GB2312" w:hAnsi="仿宋_GB2312" w:cs="仿宋_GB2312" w:eastAsia="仿宋_GB2312"/>
        </w:rPr>
        <w:t>采购包最高限价（元）: 601,500.00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601,500.00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296,204.00</w:t>
      </w:r>
    </w:p>
    <w:p>
      <w:pPr>
        <w:pStyle w:val="null3"/>
        <w:jc w:val="left"/>
      </w:pPr>
      <w:r>
        <w:rPr>
          <w:rFonts w:ascii="仿宋_GB2312" w:hAnsi="仿宋_GB2312" w:cs="仿宋_GB2312" w:eastAsia="仿宋_GB2312"/>
        </w:rPr>
        <w:t>采购包最高限价（元）: 296,204.00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C16070200-硬件运维服务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296,204.00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114,552.00</w:t>
      </w:r>
    </w:p>
    <w:p>
      <w:pPr>
        <w:pStyle w:val="null3"/>
        <w:jc w:val="left"/>
      </w:pPr>
      <w:r>
        <w:rPr>
          <w:rFonts w:ascii="仿宋_GB2312" w:hAnsi="仿宋_GB2312" w:cs="仿宋_GB2312" w:eastAsia="仿宋_GB2312"/>
        </w:rPr>
        <w:t>采购包最高限价（元）: 114,552.00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C16070200-硬件运维服务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114,552.00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420,000.00</w:t>
      </w:r>
    </w:p>
    <w:p>
      <w:pPr>
        <w:pStyle w:val="null3"/>
        <w:jc w:val="left"/>
      </w:pPr>
      <w:r>
        <w:rPr>
          <w:rFonts w:ascii="仿宋_GB2312" w:hAnsi="仿宋_GB2312" w:cs="仿宋_GB2312" w:eastAsia="仿宋_GB2312"/>
        </w:rPr>
        <w:t>采购包最高限价（元）: 420,000.00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569,500.00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C16070200-硬件运维服务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296,204.00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C16070200-硬件运维服务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114,552.00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标的名称：C16070200-硬件运维服务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标的名称：C16070200-硬件运维服务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投标人具有具备公安部第三研究所颁发的有效期内《网络安全服务认证证书等级保护测评服务认证》和证书颁发机构监督评价合格后签发的《证书保持通知书》。（复印件加盖公章）</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投标人需属于国家密码管理局公告（49号）《商用密码检测机构（商用密码应用安全性评估业务）目录》的机构，提供网站公告页面和目录复印件并加盖公章。</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残疾人福利性单位声明函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1.具有地方政府性债务系统和监测平台开发业绩的，得4分。 2.具有地方政府性债务系统和监测平台运维业绩的，得4分。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 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 8分。 注：提供证书复印件加盖供应商公章，未提供或者提供的资料不符合要求的则不得分。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1.具有电子凭证库和电子签章系统开发业绩的，得4分。 2.具有电子凭证库和电子签章系统运维业绩的，得4分。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1.具有财政社保基金管理系统开发业绩的，得4分。 2.具有财政社保基金管理系统运维业绩的，得4分。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 xml:space="preserve"> 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 xml:space="preserve"> 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1.具有电子票据管理系统开发业绩的，得4分。 2.具有电子票据管理系统运维业绩的，得4分。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 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1.具有财政证书综合管理系统开发业绩的，得4分。 2.具有财政证书综合管理系统运维业绩的，得4分。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 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1.具有OA办公系统开发业绩的，得4分。 2.具有OA办公系统运维业绩的，得4分。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 xml:space="preserve"> 供应商具有与本项目同类系统或者平台相关的软件著作权登记证书的，得 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 xml:space="preserve"> 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 xml:space="preserve"> 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1.具有政府采购网开发业绩的，得4分。 2.具有政府采购网运维业绩的，得4分。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 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 xml:space="preserve"> 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1.具有非税收入征缴信息管理系统、一卡通系统、工资统发系统、即时通讯系统（蓝信）开发业绩的，得4分。 2.具有非税收入征缴信息管理系统、一卡通系统、工资统发系统、即时通讯系统（蓝信）运维业绩的，得4分，。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 xml:space="preserve"> 供应商具有与本项目同类系统或者平台相关的软件著作权登记证书的，得8分。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 xml:space="preserve"> 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 xml:space="preserve"> 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 xml:space="preserve"> 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 xml:space="preserve"> 具有ITSS信息技术服务运维资质资质证书的得4分，没有不得分。注：提供证书复印件加盖供应商单位公章。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具有统一报表系统、国有资本经营预算管理系统开发业绩的得4分，没有不得分。 具有统一报表系统、国有资本经营预算管理系统运维业绩的得4分，没有不得分。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注：提供证书原件复印件和上述人员在供应商自本项目公告之前一个月的社保清单并盖章。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 xml:space="preserve"> 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 xml:space="preserve"> 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1.具有数据库管理平台开发业绩的，得3分。 2.具有数据库管理平台运维业绩的，得3分。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1.具有与本项目同类系统或者平台相关的软件著作权登记证书的，得 5分。 2.具有与本项目同类系统或者平台相关的专利证书的，得 5分。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 xml:space="preserve"> 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商务部分49.00分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运维方案</w:t>
            </w:r>
          </w:p>
        </w:tc>
        <w:tc>
          <w:tcPr>
            <w:tcW w:type="dxa" w:w="2492"/>
          </w:tcPr>
          <w:p>
            <w:pPr>
              <w:pStyle w:val="null3"/>
              <w:jc w:val="both"/>
            </w:pPr>
            <w:r>
              <w:rPr>
                <w:rFonts w:ascii="仿宋_GB2312" w:hAnsi="仿宋_GB2312" w:cs="仿宋_GB2312" w:eastAsia="仿宋_GB2312"/>
              </w:rPr>
              <w:t>供应商提供详细、深化的运维方案： 1.含完整的运维巡检计划得4分，不提供运维巡检计划不得分； 2.含完整的运维措施得4分，不提供运维措施不得分； 3.含完整的项目管理措施得4分，不提供项目管理措施不得分； 4.含工作总结得4分（包含月度总结得1分、季度总结得1分、年度总结得2分）； 5.含完全满足采购需求的运维报告模板得4分，不提供运维报告模板不得分； 6.含完善的应急处理预案得5分，不提供应急处理预案不得分。 注：未提供运维方案不得分。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供应商需提供培训方案，结合项目需求提供培训方式、培训次数、培训内容、培训团队等内容。 1.培训方案内容完整，培训方式包含线上线下，培训次数达6次及以上的，得10分； 2.培训方案内容完整，培训方式包含线上线下，培训次数4-5次的，得7分； 3.培训方案内容完整，培训方式单一，培训次数少于3次，得3分； 注：未提供培训方案不得分。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服务响应时间</w:t>
            </w:r>
          </w:p>
        </w:tc>
        <w:tc>
          <w:tcPr>
            <w:tcW w:type="dxa" w:w="2492"/>
          </w:tcPr>
          <w:p>
            <w:pPr>
              <w:pStyle w:val="null3"/>
              <w:jc w:val="both"/>
            </w:pPr>
            <w:r>
              <w:rPr>
                <w:rFonts w:ascii="仿宋_GB2312" w:hAnsi="仿宋_GB2312" w:cs="仿宋_GB2312" w:eastAsia="仿宋_GB2312"/>
              </w:rPr>
              <w:t xml:space="preserve"> 提供1 小时内到场紧急故障到场服务，以及 7*24小时邮件、电话咨询及远程服务，得6分；提供2小时内到场紧急故障到场服务，以及 7*24 小时邮件、电话咨询及远程服务，得3分；其余不得分。 证明材料：提供承诺函加盖单位公章。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服务商资质</w:t>
            </w:r>
          </w:p>
        </w:tc>
        <w:tc>
          <w:tcPr>
            <w:tcW w:type="dxa" w:w="2492"/>
          </w:tcPr>
          <w:p>
            <w:pPr>
              <w:pStyle w:val="null3"/>
              <w:jc w:val="both"/>
            </w:pPr>
            <w:r>
              <w:rPr>
                <w:rFonts w:ascii="仿宋_GB2312" w:hAnsi="仿宋_GB2312" w:cs="仿宋_GB2312" w:eastAsia="仿宋_GB2312"/>
              </w:rPr>
              <w:t>提供相关系统集成或信息技术服务能力资质证书，每有一项得5分，本项满分10分。 证明材料：提供证书复印件并加盖单位公章，不提供不得分。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类似案例</w:t>
            </w:r>
          </w:p>
        </w:tc>
        <w:tc>
          <w:tcPr>
            <w:tcW w:type="dxa" w:w="2492"/>
          </w:tcPr>
          <w:p>
            <w:pPr>
              <w:pStyle w:val="null3"/>
              <w:jc w:val="both"/>
            </w:pPr>
            <w:r>
              <w:rPr>
                <w:rFonts w:ascii="仿宋_GB2312" w:hAnsi="仿宋_GB2312" w:cs="仿宋_GB2312" w:eastAsia="仿宋_GB2312"/>
              </w:rPr>
              <w:t xml:space="preserve"> 供应商提供2022年01月至今具有网络运维服务项目业绩案例，每提供一个得3分，本项最多得15分。 证明材料：提供中标/成交通知书复印件或合同（以签订时间为准）复印件并加盖单位公章，不提供不得分。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 xml:space="preserve"> 项目实施团队： 1.项目经理 1 人，具有5年以上网络运维工作经验，且具有高级网络工程师证书（软考网络规划设计师、华为、H3C、迈普等高级网络工程师证书)得8 分；具有5年以上网络运维工作经验，且具有网络工程师证书（软考网络工程师、华为、H3C、迈普等中级网络工程师证书）的得5分；其余不得分；本项满分8分； 2.设备运维服务人员（除项目经理外）2人及以上，具有网络工程师证书（软考网络工程师、华为、H3C、迈普等中级网络工程师或以上级职称证书）每提供1名得 3 分，最高得6分。 证明材料：提供证书复印件及在本单位缴纳2024年1月至今任意一个月社保清单并加盖单位公章，不提供不得分。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w:t>
            </w:r>
          </w:p>
        </w:tc>
        <w:tc>
          <w:tcPr>
            <w:tcW w:type="dxa" w:w="2492"/>
          </w:tcPr>
          <w:p>
            <w:pPr>
              <w:pStyle w:val="null3"/>
              <w:jc w:val="both"/>
            </w:pPr>
            <w:r>
              <w:rPr>
                <w:rFonts w:ascii="仿宋_GB2312" w:hAnsi="仿宋_GB2312" w:cs="仿宋_GB2312" w:eastAsia="仿宋_GB2312"/>
              </w:rPr>
              <w:t>提供与原厂相关备件证明材料，保证备件正规来源，提供证明材料得10分，不提供不得分。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商务部分49.00分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运维方案</w:t>
            </w:r>
          </w:p>
        </w:tc>
        <w:tc>
          <w:tcPr>
            <w:tcW w:type="dxa" w:w="2492"/>
          </w:tcPr>
          <w:p>
            <w:pPr>
              <w:pStyle w:val="null3"/>
              <w:jc w:val="both"/>
            </w:pPr>
            <w:r>
              <w:rPr>
                <w:rFonts w:ascii="仿宋_GB2312" w:hAnsi="仿宋_GB2312" w:cs="仿宋_GB2312" w:eastAsia="仿宋_GB2312"/>
              </w:rPr>
              <w:t>供应商提供详细、深化的运维方案： 1.含完整的运维巡检计划得4分，不提供运维巡检计划不得分； 2.含完整的运维措施得4分，不提供运维措施不得分； 3.含完整的项目管理措施得4分，不提供项目管理措施不得分； 4.含工作总结得4分（包含月度总结得1分、季度总结得1分、年度总结得2分）； 5.含完全满足采购需求的运维报告模板得4分，不提供运维报告模板不得分； 6.含完善的应急处理预案得5分，不提供应急处理预案不得分。 注：未提供运维方案不得分。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 xml:space="preserve"> 供应商需提供培训方案，结合项目需求提供培训方式、培训次数、培训内容、培训团队等内容。 1.培训方案内容完整，培训方式包含线上线下，培训次数达6次及以上的，得10分； 2.培训方案内容完整，培训方式包含线上线下，培训次数4-5次的，得7分； 3.培训方案内容不完整，培训方式单一，培训次数少于3次，得3分； 注：未提供培训方案不得分。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服务响应时间</w:t>
            </w:r>
          </w:p>
        </w:tc>
        <w:tc>
          <w:tcPr>
            <w:tcW w:type="dxa" w:w="2492"/>
          </w:tcPr>
          <w:p>
            <w:pPr>
              <w:pStyle w:val="null3"/>
              <w:jc w:val="both"/>
            </w:pPr>
            <w:r>
              <w:rPr>
                <w:rFonts w:ascii="仿宋_GB2312" w:hAnsi="仿宋_GB2312" w:cs="仿宋_GB2312" w:eastAsia="仿宋_GB2312"/>
              </w:rPr>
              <w:t xml:space="preserve"> 提供1 小时内到场紧急故障到场服务，以及 7*24小时邮件、电话咨询及远程服务，得6分；提供2小时内到场紧急故障到场服务，以及 7*24 小时邮件、电话咨询及远程服务，得3分；其余不得分。 证明材料：提供承诺函加盖单位公章。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服务商资质</w:t>
            </w:r>
          </w:p>
        </w:tc>
        <w:tc>
          <w:tcPr>
            <w:tcW w:type="dxa" w:w="2492"/>
          </w:tcPr>
          <w:p>
            <w:pPr>
              <w:pStyle w:val="null3"/>
              <w:jc w:val="both"/>
            </w:pPr>
            <w:r>
              <w:rPr>
                <w:rFonts w:ascii="仿宋_GB2312" w:hAnsi="仿宋_GB2312" w:cs="仿宋_GB2312" w:eastAsia="仿宋_GB2312"/>
              </w:rPr>
              <w:t>提供相关系统集成或信息技术服务能力资质证书，每有一项得5分，本项满分10分。 证明材料：提供证书复印件并加盖单位公章，不提供不得分。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类似案例</w:t>
            </w:r>
          </w:p>
        </w:tc>
        <w:tc>
          <w:tcPr>
            <w:tcW w:type="dxa" w:w="2492"/>
          </w:tcPr>
          <w:p>
            <w:pPr>
              <w:pStyle w:val="null3"/>
              <w:jc w:val="both"/>
            </w:pPr>
            <w:r>
              <w:rPr>
                <w:rFonts w:ascii="仿宋_GB2312" w:hAnsi="仿宋_GB2312" w:cs="仿宋_GB2312" w:eastAsia="仿宋_GB2312"/>
              </w:rPr>
              <w:t>供应商提供2022年01月至今具有类似存储系统、小型机运维服务项目业绩案例，每提供一个得3分，本项最多得15分。 证明材料：提供中标/成交通知书复印件或合同（以签订时间为准）复印件并加盖单位公章，不提供不得分。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 xml:space="preserve"> 项目实施团队： 1 .项目经理 1 人，具有5年以上相关运维工作经验，且具有HDS（Hitachi Data Systems)认证技术人员和IBM高级工程师(IBM Certified Advanced Technical Export)得8 分；具有5年以上相关运维工作经验，只有1个证书的得4分；其余不得分；本项满分8分； 2.设备运维服务人员（除项目经理外）2 人及以上，具有HDS认证技术人员或IBM中级工程师或以上级职称证书每提供1名得 3 分，本项满分6分； 证明材料：提供证书复印件及在本单位缴纳2024年1月至今任意一个月社保清单并加盖单位公章，不提供不得分。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w:t>
            </w:r>
          </w:p>
        </w:tc>
        <w:tc>
          <w:tcPr>
            <w:tcW w:type="dxa" w:w="2492"/>
          </w:tcPr>
          <w:p>
            <w:pPr>
              <w:pStyle w:val="null3"/>
              <w:jc w:val="both"/>
            </w:pPr>
            <w:r>
              <w:rPr>
                <w:rFonts w:ascii="仿宋_GB2312" w:hAnsi="仿宋_GB2312" w:cs="仿宋_GB2312" w:eastAsia="仿宋_GB2312"/>
              </w:rPr>
              <w:t>提供与原厂相关备件证明材料，保证备件正规来源，提供证明材料得10分，不提供不得分。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商务部分57.00分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1.提供等级保护测评项目流程且描述详细，完全满足采购需求，得3分；有等级保护测评项目流程但不完全满足采购需求，得1分，不提供不得分； 2.提供有渗透测试方案且描述详细，完全满足采购需求，得2分；有渗透测试方案但不完全满足采购需求，得1分；不提供不得分。 3.有实施计划且详细可执行，完全满足采购需求，得3分，有实施计划但不完全满足采购需求得1分，不提供不得分； 4.有测评进度表且进度表详细可执行，完全满足采购需求，得2分；有测评进度表但不完全满足得1分；不提供不得分； 5.有测评方法且具体详细，完全满足采购需求，得2分；有测评方法但不完全满足采购需求得1分；不提供不得分； 6.有风险说明及风险规避处置措施并且具体详细，完全满足采购需求，得5分；风险说明及风险规避处置措施每有一点不完全满足采购需求的扣1分，扣完为止； 7.提供8个及以上等保测评问题完整的整改咨询建议，得8分；每少一个扣1分，扣完为止 8.有项目有测评售后服务且售后服务内容具体详细，完全满足采购需求，得8分；有项目有测评售后服务，售后服务内容不完全满足采购需求得4分；不提供不得分。 以上内容由投标人根据自身对项目的理解认识自行编制，评标委员会根据投标人对本项目要求内容的各个方面编制情况进行评价打分。</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 xml:space="preserve"> 拟派项目团队成员具有以下证书： （1）项目管理专业人士资格认证(PMP)证书； （2）信息系统项目管理师证书； （3）注册网络安全测评专业人员（NSATP）证书； （4）注册信息安全专业人员（CISP）证书； （5）高级或中级信息安全等级测评师资格； （6）信息安全保障人员认证证书（CISAW）； （7）信息安全管理师（CIIP-D）证书； （8）数据安全能力成熟度模型测评师证书（DSMM）。 每具有1个证书得3分，同一人具有多项证书可重复得分，最高得30分 。 须提供相应证书、团队所有人员须提供2024年1月至今任意3个月在投标单位社保缴纳的证明，否则不得分。以上资料皆为扫描件。</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投标人具有ISO9001质量管理体系认证证书、ISO/IEC27001信息安全管理体系认证证书、ISO/IEC20000-1服务管理体系认证证书、网络与信息安全通报中心颁发的技术 支撑单位证书、信息安全风险评估服务资质证书。 每提供一个有效证书得3分，最高得12分。须提供有效期内的证书（扫描件），否则不得分。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投标人2022年1月1日至今承担过信息化项目等保测评服务的，每提供一个合同得3分，最高得15分 。 须提供合同（扫描件），包括合同金额、双方名称及盖章、合同服务内容，业绩认定日期以合同签订日期为准，所有材料均不得遮挡涂黑，否则不得分。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商务部分57.00分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对项目测评的理解及熟悉程度</w:t>
            </w:r>
          </w:p>
        </w:tc>
        <w:tc>
          <w:tcPr>
            <w:tcW w:type="dxa" w:w="2492"/>
          </w:tcPr>
          <w:p>
            <w:pPr>
              <w:pStyle w:val="null3"/>
              <w:jc w:val="both"/>
            </w:pPr>
            <w:r>
              <w:rPr>
                <w:rFonts w:ascii="仿宋_GB2312" w:hAnsi="仿宋_GB2312" w:cs="仿宋_GB2312" w:eastAsia="仿宋_GB2312"/>
              </w:rPr>
              <w:t xml:space="preserve"> 按照投标文件针对项目背景、建设目标、测评要求的理解响应情况进行评审打分，理解应满足采购需求 。 1.根据上述要求，投标文件中该项响应内容完全满足采购需求得7分； 2.根据上述要求，投标文件中该项响应内容不完全满足采购需求得4分； 3.不提供不得分。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项目重点难点分析和应对措施及相关的合理化建议</w:t>
            </w:r>
          </w:p>
        </w:tc>
        <w:tc>
          <w:tcPr>
            <w:tcW w:type="dxa" w:w="2492"/>
          </w:tcPr>
          <w:p>
            <w:pPr>
              <w:pStyle w:val="null3"/>
              <w:jc w:val="both"/>
            </w:pPr>
            <w:r>
              <w:rPr>
                <w:rFonts w:ascii="仿宋_GB2312" w:hAnsi="仿宋_GB2312" w:cs="仿宋_GB2312" w:eastAsia="仿宋_GB2312"/>
              </w:rPr>
              <w:t>投标人提供对项目的测评重点难点分析及解决措施，分析及措施应满足采购需求。 1.方案中有完全满足采购需求的测评重难点分析得3分，不提供不得分； 2.根据方案中提出的测评重难点，方案中有针对所有测评重难点分析措施得2分，不提供不得分； 3.总体设计中有针对所有测评重难点应对措施得2分，不提供不得分。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项目实施策略</w:t>
            </w:r>
          </w:p>
        </w:tc>
        <w:tc>
          <w:tcPr>
            <w:tcW w:type="dxa" w:w="2492"/>
          </w:tcPr>
          <w:p>
            <w:pPr>
              <w:pStyle w:val="null3"/>
              <w:jc w:val="both"/>
            </w:pPr>
            <w:r>
              <w:rPr>
                <w:rFonts w:ascii="仿宋_GB2312" w:hAnsi="仿宋_GB2312" w:cs="仿宋_GB2312" w:eastAsia="仿宋_GB2312"/>
              </w:rPr>
              <w:t xml:space="preserve"> 按照投标文件针对测评内容、测评方法、测评流程、测评步骤等策略的响应情况进行评审打分，实施策略应满足采购需求。 1.实施策略中存在满足采购需求的测试内容得2分； 2.实施策略中存在满足采购需求的测试方法得1分； 3.实施策略中存在满足采购需求的测试流程得1分； 4.实施策略中存在满足采购需求的测试步骤得2分。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项目管理制度及措施</w:t>
            </w:r>
          </w:p>
        </w:tc>
        <w:tc>
          <w:tcPr>
            <w:tcW w:type="dxa" w:w="2492"/>
          </w:tcPr>
          <w:p>
            <w:pPr>
              <w:pStyle w:val="null3"/>
              <w:jc w:val="both"/>
            </w:pPr>
            <w:r>
              <w:rPr>
                <w:rFonts w:ascii="仿宋_GB2312" w:hAnsi="仿宋_GB2312" w:cs="仿宋_GB2312" w:eastAsia="仿宋_GB2312"/>
              </w:rPr>
              <w:t xml:space="preserve"> 根据投标文件中项目管理制度、流程、措施、方法进行评审打分，制度及措施应满足采购需求 。 方案完全满足上述要求得4分；每有一项内容缺失或不满足采购需求扣1分，扣完为止。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质量管理</w:t>
            </w:r>
          </w:p>
        </w:tc>
        <w:tc>
          <w:tcPr>
            <w:tcW w:type="dxa" w:w="2492"/>
          </w:tcPr>
          <w:p>
            <w:pPr>
              <w:pStyle w:val="null3"/>
              <w:jc w:val="both"/>
            </w:pPr>
            <w:r>
              <w:rPr>
                <w:rFonts w:ascii="仿宋_GB2312" w:hAnsi="仿宋_GB2312" w:cs="仿宋_GB2312" w:eastAsia="仿宋_GB2312"/>
              </w:rPr>
              <w:t>提供满足采购需求的质量保障体系，完善的质量保障措施，有对项目质量的承诺（提供承诺函并加盖公章），提供规范化的项目文档。 1.方案中存在质量保障体系得2分，不提供不得分； 2.方案中存在完善的质量保障措施得2分，不提供不得分； 3.方案中存在对项目质量的承诺（提供承诺函并加盖公章）得1分，不提供不得分。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风险管理</w:t>
            </w:r>
          </w:p>
        </w:tc>
        <w:tc>
          <w:tcPr>
            <w:tcW w:type="dxa" w:w="2492"/>
          </w:tcPr>
          <w:p>
            <w:pPr>
              <w:pStyle w:val="null3"/>
              <w:jc w:val="both"/>
            </w:pPr>
            <w:r>
              <w:rPr>
                <w:rFonts w:ascii="仿宋_GB2312" w:hAnsi="仿宋_GB2312" w:cs="仿宋_GB2312" w:eastAsia="仿宋_GB2312"/>
              </w:rPr>
              <w:t>能够识别风险且有风险应对措施者，按三个档次进行评审 。 1.根据上述要求，方案中存在风险识别及风险应对措施得2分； 2.根据上述要求，方案中存在满足采购需求的管理措施得2分； 3.不提供不得分。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拟派项目团队成员具有以下证书： （1）项目管理专业人士资格认证(PMP)证书； （2）信息系统项目管理师证书； （3）商用密码应用安全性评估从业人员考核合格的证明文件； （4）注册信息安全专业人员（CISP）证书； （5）信息系统审计师（CISA）； （6）信息安全保障人员认证证书（CISAW）。 每具有1个证书得3分，同一人具有多项证书可重复得分，最高得30分 。 须提供相应证书、团队所有人员须提供2024年1月至今任意3个月在投标单位社保缴纳的证明，否则不得分。以上资料皆为扫描件。</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 xml:space="preserve"> 投标人具有ISO9001质量管理体系认证证书、ISO/IEC27001信息安全管理体系认证证书、ISO/IEC20000-1服务管理体系认证证书。每具有一项得3分，满分9分。须提供有效期内的证书（扫描件），否则不得分。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投标人2022年1月1日至今承担过信息化项目密码测评服务的，每有一个合同得3分，最高得18分 。 须提供合同（扫描件），包括合同金额、双方名称及盖章、合同服务内容，业绩认定日期以合同签订日期为准，所有材料均不得遮挡涂黑，否则不得分。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详见附件：政府采购合同（信息化运维项目-服务合同-模板）.docx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债务管理系统运维服务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569500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电子凭证库和电子签章系统运维服务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社保基金管理系统运维服务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电子票据管理系统运维服务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财政证书综合管理系统运维服务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OA办公系统运维及督办模块技术服务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141000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政府采购网运维服务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4个系统运维服务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890900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统一报表及国有资本经营预算管理系统运维服务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77100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数据库管理平台使用和Oracle数据库运维服务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601500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存储系统设备和小型机运维服务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C16070200-硬件运维服务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296204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核心网络设备运维服务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C16070200-硬件运维服务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114552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等保测评及应急演练服务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密码测评服务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360000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