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487F63">
      <w:pPr>
        <w:rPr>
          <w:rFonts w:hint="eastAsia" w:ascii="仿宋" w:hAnsi="仿宋" w:eastAsia="仿宋" w:cs="仿宋"/>
          <w:sz w:val="24"/>
          <w:szCs w:val="24"/>
          <w:lang w:eastAsia="zh-CN"/>
        </w:rPr>
      </w:pPr>
      <w:r>
        <w:rPr>
          <w:rFonts w:hint="eastAsia" w:ascii="仿宋" w:hAnsi="仿宋" w:eastAsia="仿宋" w:cs="仿宋"/>
          <w:sz w:val="24"/>
          <w:szCs w:val="24"/>
        </w:rPr>
        <w:t>1.投标人（供应商）如对采购文件中“供应商资格要求”“采购需求”及“详细评审标准”部分有质疑的，应直接向采购人提出</w:t>
      </w:r>
      <w:r>
        <w:rPr>
          <w:rFonts w:hint="eastAsia" w:ascii="仿宋" w:hAnsi="仿宋" w:eastAsia="仿宋" w:cs="仿宋"/>
          <w:sz w:val="24"/>
          <w:szCs w:val="24"/>
          <w:lang w:eastAsia="zh-CN"/>
        </w:rPr>
        <w:t>。</w:t>
      </w:r>
    </w:p>
    <w:p w14:paraId="60573DC6">
      <w:pPr>
        <w:rPr>
          <w:rFonts w:hint="eastAsia" w:ascii="仿宋" w:hAnsi="仿宋" w:eastAsia="仿宋" w:cs="仿宋"/>
          <w:sz w:val="24"/>
          <w:szCs w:val="24"/>
          <w:lang w:eastAsia="zh-CN"/>
        </w:rPr>
      </w:pPr>
      <w:r>
        <w:rPr>
          <w:rFonts w:hint="eastAsia" w:ascii="仿宋" w:hAnsi="仿宋" w:eastAsia="仿宋" w:cs="仿宋"/>
          <w:sz w:val="24"/>
          <w:szCs w:val="24"/>
        </w:rPr>
        <w:t>2.本项目为非专门面向中小企业，给予小微企业的价格扣除优惠为10%</w:t>
      </w:r>
      <w:r>
        <w:rPr>
          <w:rFonts w:hint="eastAsia" w:ascii="仿宋" w:hAnsi="仿宋" w:eastAsia="仿宋" w:cs="仿宋"/>
          <w:sz w:val="24"/>
          <w:szCs w:val="24"/>
          <w:lang w:eastAsia="zh-CN"/>
        </w:rPr>
        <w:t>。</w:t>
      </w:r>
    </w:p>
    <w:p w14:paraId="073DE5A8">
      <w:pPr>
        <w:rPr>
          <w:rFonts w:hint="eastAsia" w:ascii="仿宋" w:hAnsi="仿宋" w:eastAsia="仿宋" w:cs="仿宋"/>
          <w:sz w:val="24"/>
          <w:szCs w:val="24"/>
          <w:lang w:eastAsia="zh-CN"/>
        </w:rPr>
      </w:pPr>
      <w:r>
        <w:rPr>
          <w:rFonts w:hint="eastAsia" w:ascii="仿宋" w:hAnsi="仿宋" w:eastAsia="仿宋" w:cs="仿宋"/>
          <w:sz w:val="24"/>
          <w:szCs w:val="24"/>
          <w:lang w:val="en-US" w:eastAsia="zh-CN"/>
        </w:rPr>
        <w:t>3</w:t>
      </w:r>
      <w:r>
        <w:rPr>
          <w:rFonts w:hint="eastAsia" w:ascii="仿宋" w:hAnsi="仿宋" w:eastAsia="仿宋" w:cs="仿宋"/>
          <w:sz w:val="24"/>
          <w:szCs w:val="24"/>
        </w:rPr>
        <w:t>.本项目评审过程中如有价格修正、澄清、谈判/磋商/协商（二次报价）等环节，供应商需要按照海南省政府采购智慧云平台操作要求进行线上响应，不存在人为通知供应商上述所需响应的环节。 根据《电子交易操作手册（供应商）》第四章评审中“供应商应当在项目评审过程中，在评审等候大厅关注评审委员会工作动态，及时做好响应评审有关准备”之规定，如供应商未在评审委员会设置的响应时间内进行线上响应，产生的一切后果由供应商自行承担</w:t>
      </w:r>
      <w:r>
        <w:rPr>
          <w:rFonts w:hint="eastAsia" w:ascii="仿宋" w:hAnsi="仿宋" w:eastAsia="仿宋" w:cs="仿宋"/>
          <w:sz w:val="24"/>
          <w:szCs w:val="24"/>
          <w:lang w:eastAsia="zh-CN"/>
        </w:rPr>
        <w:t>。</w:t>
      </w:r>
    </w:p>
    <w:p w14:paraId="2A583FA7">
      <w:pPr>
        <w:rPr>
          <w:rFonts w:hint="eastAsia" w:ascii="仿宋" w:hAnsi="仿宋" w:eastAsia="仿宋" w:cs="仿宋"/>
          <w:sz w:val="24"/>
          <w:szCs w:val="24"/>
        </w:rPr>
      </w:pPr>
      <w:r>
        <w:rPr>
          <w:rFonts w:hint="eastAsia" w:ascii="仿宋" w:hAnsi="仿宋" w:eastAsia="仿宋" w:cs="仿宋"/>
          <w:sz w:val="24"/>
          <w:szCs w:val="24"/>
          <w:lang w:val="en-US" w:eastAsia="zh-CN"/>
        </w:rPr>
        <w:t>4</w:t>
      </w:r>
      <w:r>
        <w:rPr>
          <w:rFonts w:hint="eastAsia" w:ascii="仿宋" w:hAnsi="仿宋" w:eastAsia="仿宋" w:cs="仿宋"/>
          <w:sz w:val="24"/>
          <w:szCs w:val="24"/>
        </w:rPr>
        <w:t>.本项目投标保证金缴渠道为支票、汇票、本票,保函，投标人须在投标保证金核验环节前准备好相应资料，按照《电子交易操作手册（供应商）》相应要求操作，如投标人未按上述要求操作，产生的一切后果由投标人自行承担。</w:t>
      </w:r>
    </w:p>
    <w:p w14:paraId="7E8D8A17">
      <w:pPr>
        <w:rPr>
          <w:rFonts w:hint="eastAsia" w:ascii="仿宋" w:hAnsi="仿宋" w:eastAsia="仿宋" w:cs="仿宋"/>
          <w:b w:val="0"/>
          <w:bCs w:val="0"/>
          <w:color w:val="auto"/>
          <w:sz w:val="24"/>
          <w:szCs w:val="24"/>
          <w:highlight w:val="none"/>
        </w:rPr>
      </w:pPr>
      <w:r>
        <w:rPr>
          <w:rFonts w:hint="eastAsia" w:ascii="仿宋" w:hAnsi="仿宋" w:eastAsia="仿宋" w:cs="仿宋"/>
          <w:color w:val="auto"/>
          <w:sz w:val="24"/>
          <w:szCs w:val="24"/>
          <w:lang w:val="en-US" w:eastAsia="zh-CN"/>
        </w:rPr>
        <w:t>5</w:t>
      </w:r>
      <w:r>
        <w:rPr>
          <w:rFonts w:hint="eastAsia" w:ascii="仿宋" w:hAnsi="仿宋" w:eastAsia="仿宋" w:cs="仿宋"/>
          <w:color w:val="auto"/>
          <w:sz w:val="24"/>
          <w:szCs w:val="24"/>
        </w:rPr>
        <w:t>.</w:t>
      </w:r>
      <w:r>
        <w:rPr>
          <w:rFonts w:hint="eastAsia" w:ascii="仿宋" w:hAnsi="仿宋" w:eastAsia="仿宋" w:cs="仿宋"/>
          <w:color w:val="auto"/>
          <w:sz w:val="24"/>
          <w:szCs w:val="24"/>
          <w:highlight w:val="none"/>
          <w:lang w:val="en-US" w:eastAsia="zh-CN"/>
        </w:rPr>
        <w:t>投标所</w:t>
      </w:r>
      <w:r>
        <w:rPr>
          <w:rFonts w:hint="eastAsia" w:ascii="仿宋" w:hAnsi="仿宋" w:eastAsia="仿宋" w:cs="仿宋"/>
          <w:color w:val="auto"/>
          <w:sz w:val="24"/>
          <w:szCs w:val="24"/>
          <w:highlight w:val="none"/>
        </w:rPr>
        <w:t>提供的产品技术参数、认证证书、检测报告、技术方案等证明材料必须真实。在签署评标报告后（包括采购人确认评标结果前、中标结果公示期间或采购合同签订后等情形），</w:t>
      </w:r>
      <w:r>
        <w:rPr>
          <w:rFonts w:hint="eastAsia" w:ascii="仿宋" w:hAnsi="仿宋" w:eastAsia="仿宋" w:cs="仿宋"/>
          <w:color w:val="auto"/>
          <w:sz w:val="24"/>
          <w:szCs w:val="24"/>
          <w:highlight w:val="none"/>
          <w:lang w:val="en-US" w:eastAsia="zh-CN"/>
        </w:rPr>
        <w:t>采购</w:t>
      </w:r>
      <w:r>
        <w:rPr>
          <w:rFonts w:hint="eastAsia" w:ascii="仿宋" w:hAnsi="仿宋" w:eastAsia="仿宋" w:cs="仿宋"/>
          <w:color w:val="auto"/>
          <w:sz w:val="24"/>
          <w:szCs w:val="24"/>
          <w:highlight w:val="none"/>
        </w:rPr>
        <w:t>人有权要求中标候选人提供</w:t>
      </w:r>
      <w:r>
        <w:rPr>
          <w:rFonts w:hint="eastAsia" w:ascii="仿宋" w:hAnsi="仿宋" w:eastAsia="仿宋" w:cs="仿宋"/>
          <w:color w:val="auto"/>
          <w:sz w:val="24"/>
          <w:szCs w:val="24"/>
          <w:highlight w:val="none"/>
          <w:lang w:eastAsia="zh-CN"/>
        </w:rPr>
        <w:t>所投产品</w:t>
      </w:r>
      <w:r>
        <w:rPr>
          <w:rFonts w:hint="eastAsia" w:ascii="仿宋" w:hAnsi="仿宋" w:eastAsia="仿宋" w:cs="仿宋"/>
          <w:b w:val="0"/>
          <w:bCs w:val="0"/>
          <w:color w:val="auto"/>
          <w:sz w:val="24"/>
          <w:szCs w:val="24"/>
          <w:highlight w:val="none"/>
        </w:rPr>
        <w:t>或服务的参数证明材料和资质证书等进行核查</w:t>
      </w:r>
      <w:r>
        <w:rPr>
          <w:rFonts w:hint="eastAsia" w:ascii="仿宋" w:hAnsi="仿宋" w:eastAsia="仿宋" w:cs="仿宋"/>
          <w:b w:val="0"/>
          <w:bCs w:val="0"/>
          <w:color w:val="auto"/>
          <w:sz w:val="24"/>
          <w:szCs w:val="24"/>
          <w:highlight w:val="none"/>
        </w:rPr>
        <w:t>。若存在虚假应标，</w:t>
      </w:r>
      <w:r>
        <w:rPr>
          <w:rFonts w:hint="eastAsia" w:ascii="仿宋" w:hAnsi="仿宋" w:eastAsia="仿宋" w:cs="仿宋"/>
          <w:b w:val="0"/>
          <w:bCs w:val="0"/>
          <w:color w:val="auto"/>
          <w:sz w:val="24"/>
          <w:szCs w:val="24"/>
          <w:highlight w:val="none"/>
          <w:lang w:val="en-US" w:eastAsia="zh-CN"/>
        </w:rPr>
        <w:t>采购</w:t>
      </w:r>
      <w:r>
        <w:rPr>
          <w:rFonts w:hint="eastAsia" w:ascii="仿宋" w:hAnsi="仿宋" w:eastAsia="仿宋" w:cs="仿宋"/>
          <w:b w:val="0"/>
          <w:bCs w:val="0"/>
          <w:color w:val="auto"/>
          <w:sz w:val="24"/>
          <w:szCs w:val="24"/>
          <w:highlight w:val="none"/>
        </w:rPr>
        <w:t>人有权</w:t>
      </w:r>
      <w:r>
        <w:rPr>
          <w:rFonts w:hint="eastAsia" w:ascii="仿宋" w:hAnsi="仿宋" w:eastAsia="仿宋" w:cs="仿宋"/>
          <w:b w:val="0"/>
          <w:bCs w:val="0"/>
          <w:color w:val="auto"/>
          <w:sz w:val="24"/>
          <w:szCs w:val="24"/>
          <w:highlight w:val="none"/>
          <w:lang w:val="en-US" w:eastAsia="zh-CN"/>
        </w:rPr>
        <w:t>根据相关</w:t>
      </w:r>
      <w:r>
        <w:rPr>
          <w:rFonts w:hint="eastAsia" w:ascii="仿宋" w:hAnsi="仿宋" w:eastAsia="仿宋" w:cs="仿宋"/>
          <w:b w:val="0"/>
          <w:bCs w:val="0"/>
          <w:color w:val="auto"/>
          <w:sz w:val="24"/>
          <w:szCs w:val="24"/>
          <w:highlight w:val="none"/>
          <w:lang w:eastAsia="zh-CN"/>
        </w:rPr>
        <w:t>法定</w:t>
      </w:r>
      <w:r>
        <w:rPr>
          <w:rFonts w:hint="eastAsia" w:ascii="仿宋" w:hAnsi="仿宋" w:eastAsia="仿宋" w:cs="仿宋"/>
          <w:b w:val="0"/>
          <w:bCs w:val="0"/>
          <w:color w:val="auto"/>
          <w:sz w:val="24"/>
          <w:szCs w:val="24"/>
          <w:highlight w:val="none"/>
          <w:lang w:val="en-US" w:eastAsia="zh-CN"/>
        </w:rPr>
        <w:t>程序对中标人</w:t>
      </w:r>
      <w:r>
        <w:rPr>
          <w:rFonts w:hint="eastAsia" w:ascii="仿宋" w:hAnsi="仿宋" w:eastAsia="仿宋" w:cs="仿宋"/>
          <w:b w:val="0"/>
          <w:bCs w:val="0"/>
          <w:color w:val="auto"/>
          <w:sz w:val="24"/>
          <w:szCs w:val="24"/>
          <w:highlight w:val="none"/>
        </w:rPr>
        <w:t>作无效投标处理，预中标的或已中标的取消中标资格并向政府采购主管部门进行投诉，给</w:t>
      </w:r>
      <w:r>
        <w:rPr>
          <w:rFonts w:hint="eastAsia" w:ascii="仿宋" w:hAnsi="仿宋" w:eastAsia="仿宋" w:cs="仿宋"/>
          <w:b w:val="0"/>
          <w:bCs w:val="0"/>
          <w:color w:val="auto"/>
          <w:sz w:val="24"/>
          <w:szCs w:val="24"/>
          <w:highlight w:val="none"/>
          <w:lang w:val="en-US" w:eastAsia="zh-CN"/>
        </w:rPr>
        <w:t>采购</w:t>
      </w:r>
      <w:r>
        <w:rPr>
          <w:rFonts w:hint="eastAsia" w:ascii="仿宋" w:hAnsi="仿宋" w:eastAsia="仿宋" w:cs="仿宋"/>
          <w:b w:val="0"/>
          <w:bCs w:val="0"/>
          <w:color w:val="auto"/>
          <w:sz w:val="24"/>
          <w:szCs w:val="24"/>
          <w:highlight w:val="none"/>
        </w:rPr>
        <w:t>人造</w:t>
      </w:r>
      <w:bookmarkStart w:id="0" w:name="_GoBack"/>
      <w:bookmarkEnd w:id="0"/>
      <w:r>
        <w:rPr>
          <w:rFonts w:hint="eastAsia" w:ascii="仿宋" w:hAnsi="仿宋" w:eastAsia="仿宋" w:cs="仿宋"/>
          <w:b w:val="0"/>
          <w:bCs w:val="0"/>
          <w:color w:val="auto"/>
          <w:sz w:val="24"/>
          <w:szCs w:val="24"/>
          <w:highlight w:val="none"/>
        </w:rPr>
        <w:t>成损失的，须进行赔偿并承担相应的责任。</w:t>
      </w:r>
    </w:p>
    <w:p w14:paraId="4869B69F">
      <w:pP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严禁中标人对项目进行转包或分包，具体措施如下：（1）人员实名制管控。中标后5个工作日内提交项目团队人员清单，提供2024年7月1日至今（不含投标当月）连续三个月社保缴纳证明（需显示缴费单位与中标人一致）；项目经理、技术负责人等关键岗位无犯罪记录证明；施工现场部署人脸识别考勤系统，要求关键岗位人员每日考勤数据实时上传至采购人指定的系统，月度出勤率不足80%视为违约，按每人次扣除合同款0.01%。（2）资金流闭环管理。设备采购增值税专用发票（购买方须为中标人）；工资发放银行流水（收款账户须为中标人员工账户）；严格禁止第三方代付，合同约定项目款项必须由中标人基本账户收付，非中标人账户代收代付视同转包，采购人有权单方终止合同。（3）纪检审计协同。开通专项举报通道，对实名举报查实者奖励合；引入第三方审计机构对中标人开展税务稽查，重点核查设备采购发票与物流单据匹配性、项目人员个人所得税申报记录。（4）签署《反转包/分包承诺书》承诺书。如中标人对项目进行转包或分包，则采购人可依据合同条款及法律规定，单方面解除合同，立即冻结未返还保证金，并按合同总额20%追缴违约金，违约金优先从保证金中扣除，不足部分由中标人补足。要求中标人赔偿损失（如重新招标费用、工期延误损失等）。同时按照《中华人民共和国政府采购法》第七十七条“对转包、违法分包的供应商，处以采购金额千分之五至千分之十的罚款，列入不良记录名单，1-3年内禁止参与政府采购，没收违法所得，情节严重的吊销营业执照”进行处理。三年内禁止参与全省教育系统采购项目，其母公司、子公司及关联企业投标时须额外提供无利益输送承诺书。</w:t>
      </w:r>
    </w:p>
    <w:p w14:paraId="2710C30B">
      <w:pPr>
        <w:rPr>
          <w:rFonts w:hint="eastAsia" w:ascii="仿宋" w:hAnsi="仿宋" w:eastAsia="仿宋" w:cs="仿宋"/>
          <w:sz w:val="24"/>
          <w:szCs w:val="24"/>
        </w:rPr>
      </w:pPr>
      <w:r>
        <w:rPr>
          <w:rFonts w:hint="eastAsia" w:ascii="仿宋" w:hAnsi="仿宋" w:eastAsia="仿宋" w:cs="仿宋"/>
          <w:sz w:val="24"/>
          <w:szCs w:val="24"/>
          <w:lang w:val="en-US" w:eastAsia="zh-CN"/>
        </w:rPr>
        <w:t>7</w:t>
      </w:r>
      <w:r>
        <w:rPr>
          <w:rFonts w:hint="eastAsia" w:ascii="仿宋" w:hAnsi="仿宋" w:eastAsia="仿宋" w:cs="仿宋"/>
          <w:sz w:val="24"/>
          <w:szCs w:val="24"/>
        </w:rPr>
        <w:t>.禁止挂靠</w:t>
      </w:r>
    </w:p>
    <w:p w14:paraId="3A10381F">
      <w:pPr>
        <w:rPr>
          <w:rFonts w:hint="eastAsia" w:ascii="仿宋" w:hAnsi="仿宋" w:eastAsia="仿宋" w:cs="仿宋"/>
          <w:sz w:val="24"/>
          <w:szCs w:val="24"/>
        </w:rPr>
      </w:pPr>
      <w:r>
        <w:rPr>
          <w:rFonts w:hint="eastAsia" w:ascii="仿宋" w:hAnsi="仿宋" w:eastAsia="仿宋" w:cs="仿宋"/>
          <w:sz w:val="24"/>
          <w:szCs w:val="24"/>
        </w:rPr>
        <w:t>挂靠行为的界定</w:t>
      </w:r>
      <w:r>
        <w:rPr>
          <w:rFonts w:hint="eastAsia" w:ascii="仿宋" w:hAnsi="仿宋" w:eastAsia="仿宋" w:cs="仿宋"/>
          <w:sz w:val="24"/>
          <w:szCs w:val="24"/>
          <w:lang w:eastAsia="zh-CN"/>
        </w:rPr>
        <w:t>，</w:t>
      </w:r>
      <w:r>
        <w:rPr>
          <w:rFonts w:hint="eastAsia" w:ascii="仿宋" w:hAnsi="仿宋" w:eastAsia="仿宋" w:cs="仿宋"/>
          <w:sz w:val="24"/>
          <w:szCs w:val="24"/>
        </w:rPr>
        <w:t>挂靠行为指投标人允许其他单位或个人以本单位名义承揽项目，或通过伪造、借用资质证书、业绩材料、人员身份、社保关系、设备证明等方式参与投标的行为，包括但不限于以下情形：1）投标人实际无履约能力，借用他人资质、人员、设备或业绩参与投标；2）投标文件中的项目负责人、技术团队等关键人员非本单位在职人员；3）投标人与其他单位存在实际控制、股权代持等关联关系，但未如实披露；4）法律法规规定的其他挂靠情形</w:t>
      </w:r>
    </w:p>
    <w:p w14:paraId="01525124">
      <w:pPr>
        <w:rPr>
          <w:rFonts w:hint="eastAsia" w:ascii="仿宋" w:hAnsi="仿宋" w:eastAsia="仿宋" w:cs="仿宋"/>
          <w:sz w:val="24"/>
          <w:szCs w:val="24"/>
          <w:lang w:eastAsia="zh-CN"/>
        </w:rPr>
      </w:pPr>
      <w:r>
        <w:rPr>
          <w:rFonts w:hint="eastAsia" w:ascii="仿宋" w:hAnsi="仿宋" w:eastAsia="仿宋" w:cs="仿宋"/>
          <w:sz w:val="24"/>
          <w:szCs w:val="24"/>
        </w:rPr>
        <w:t>挂靠行为的防范措施</w:t>
      </w:r>
      <w:r>
        <w:rPr>
          <w:rFonts w:hint="eastAsia" w:ascii="仿宋" w:hAnsi="仿宋" w:eastAsia="仿宋" w:cs="仿宋"/>
          <w:sz w:val="24"/>
          <w:szCs w:val="24"/>
          <w:lang w:eastAsia="zh-CN"/>
        </w:rPr>
        <w:t>：</w:t>
      </w:r>
    </w:p>
    <w:p w14:paraId="6E23A25E">
      <w:pPr>
        <w:rPr>
          <w:rFonts w:hint="eastAsia" w:ascii="仿宋" w:hAnsi="仿宋" w:eastAsia="仿宋" w:cs="仿宋"/>
          <w:sz w:val="24"/>
          <w:szCs w:val="24"/>
        </w:rPr>
      </w:pPr>
      <w:r>
        <w:rPr>
          <w:rFonts w:hint="eastAsia" w:ascii="仿宋" w:hAnsi="仿宋" w:eastAsia="仿宋" w:cs="仿宋"/>
          <w:sz w:val="24"/>
          <w:szCs w:val="24"/>
        </w:rPr>
        <w:t>采购人/代理机构有权通过以下方式核查是否存在挂靠行为：</w:t>
      </w:r>
    </w:p>
    <w:p w14:paraId="49960E01">
      <w:pPr>
        <w:rPr>
          <w:rFonts w:hint="eastAsia" w:ascii="仿宋" w:hAnsi="仿宋" w:eastAsia="仿宋" w:cs="仿宋"/>
          <w:sz w:val="24"/>
          <w:szCs w:val="24"/>
        </w:rPr>
      </w:pPr>
      <w:r>
        <w:rPr>
          <w:rFonts w:hint="eastAsia" w:ascii="仿宋" w:hAnsi="仿宋" w:eastAsia="仿宋" w:cs="仿宋"/>
          <w:sz w:val="24"/>
          <w:szCs w:val="24"/>
        </w:rPr>
        <w:t>1）比对投标人提供的社保、纳税记录与劳动合同的一致性</w:t>
      </w:r>
    </w:p>
    <w:p w14:paraId="7B76B3D5">
      <w:pPr>
        <w:rPr>
          <w:rFonts w:hint="eastAsia" w:ascii="仿宋" w:hAnsi="仿宋" w:eastAsia="仿宋" w:cs="仿宋"/>
          <w:sz w:val="24"/>
          <w:szCs w:val="24"/>
        </w:rPr>
      </w:pPr>
      <w:r>
        <w:rPr>
          <w:rFonts w:hint="eastAsia" w:ascii="仿宋" w:hAnsi="仿宋" w:eastAsia="仿宋" w:cs="仿宋"/>
          <w:sz w:val="24"/>
          <w:szCs w:val="24"/>
        </w:rPr>
        <w:t>2）现场核查投标人办公场所、设备及人员到岗情况</w:t>
      </w:r>
    </w:p>
    <w:p w14:paraId="0228C269">
      <w:pPr>
        <w:rPr>
          <w:rFonts w:hint="eastAsia" w:ascii="仿宋" w:hAnsi="仿宋" w:eastAsia="仿宋" w:cs="仿宋"/>
          <w:sz w:val="24"/>
          <w:szCs w:val="24"/>
        </w:rPr>
      </w:pPr>
      <w:r>
        <w:rPr>
          <w:rFonts w:hint="eastAsia" w:ascii="仿宋" w:hAnsi="仿宋" w:eastAsia="仿宋" w:cs="仿宋"/>
          <w:sz w:val="24"/>
          <w:szCs w:val="24"/>
        </w:rPr>
        <w:t>3）向税务、人社、市场监管等部门调取投标人经营信息</w:t>
      </w:r>
    </w:p>
    <w:p w14:paraId="5256AD7D">
      <w:pPr>
        <w:rPr>
          <w:rFonts w:hint="eastAsia" w:ascii="仿宋" w:hAnsi="仿宋" w:eastAsia="仿宋" w:cs="仿宋"/>
          <w:sz w:val="24"/>
          <w:szCs w:val="24"/>
        </w:rPr>
      </w:pPr>
      <w:r>
        <w:rPr>
          <w:rFonts w:hint="eastAsia" w:ascii="仿宋" w:hAnsi="仿宋" w:eastAsia="仿宋" w:cs="仿宋"/>
          <w:sz w:val="24"/>
          <w:szCs w:val="24"/>
        </w:rPr>
        <w:t>4）接受其他投标人或社会公众的实名举报并调查核实</w:t>
      </w:r>
    </w:p>
    <w:p w14:paraId="0D3BA820">
      <w:pPr>
        <w:rPr>
          <w:rFonts w:hint="eastAsia" w:ascii="仿宋" w:hAnsi="仿宋" w:eastAsia="仿宋" w:cs="仿宋"/>
          <w:sz w:val="24"/>
          <w:szCs w:val="24"/>
        </w:rPr>
      </w:pPr>
      <w:r>
        <w:rPr>
          <w:rFonts w:hint="eastAsia" w:ascii="仿宋" w:hAnsi="仿宋" w:eastAsia="仿宋" w:cs="仿宋"/>
          <w:sz w:val="24"/>
          <w:szCs w:val="24"/>
        </w:rPr>
        <w:t>举报渠道</w:t>
      </w:r>
    </w:p>
    <w:p w14:paraId="622D5BCD">
      <w:pPr>
        <w:rPr>
          <w:rFonts w:hint="eastAsia" w:ascii="仿宋" w:hAnsi="仿宋" w:eastAsia="仿宋" w:cs="仿宋"/>
          <w:sz w:val="24"/>
          <w:szCs w:val="24"/>
        </w:rPr>
      </w:pPr>
      <w:r>
        <w:rPr>
          <w:rFonts w:hint="eastAsia" w:ascii="仿宋" w:hAnsi="仿宋" w:eastAsia="仿宋" w:cs="仿宋"/>
          <w:sz w:val="24"/>
          <w:szCs w:val="24"/>
        </w:rPr>
        <w:t>任何单位或个人发现挂靠行为的，可向采购人（或监管部门）提交书面举报材料（附证据），采购人应在收到举报后5个工作日内启动调查</w:t>
      </w:r>
    </w:p>
    <w:p w14:paraId="11776027">
      <w:pPr>
        <w:rPr>
          <w:rFonts w:hint="eastAsia" w:ascii="仿宋" w:hAnsi="仿宋" w:eastAsia="仿宋" w:cs="仿宋"/>
          <w:sz w:val="24"/>
          <w:szCs w:val="24"/>
        </w:rPr>
      </w:pPr>
      <w:r>
        <w:rPr>
          <w:rFonts w:hint="eastAsia" w:ascii="仿宋" w:hAnsi="仿宋" w:eastAsia="仿宋" w:cs="仿宋"/>
          <w:sz w:val="24"/>
          <w:szCs w:val="24"/>
        </w:rPr>
        <w:t>发现挂靠行为的处理办法</w:t>
      </w:r>
    </w:p>
    <w:p w14:paraId="60A8F7CC">
      <w:pPr>
        <w:rPr>
          <w:rFonts w:hint="eastAsia" w:ascii="仿宋" w:hAnsi="仿宋" w:eastAsia="仿宋" w:cs="仿宋"/>
          <w:sz w:val="24"/>
          <w:szCs w:val="24"/>
        </w:rPr>
      </w:pPr>
      <w:r>
        <w:rPr>
          <w:rFonts w:hint="eastAsia" w:ascii="仿宋" w:hAnsi="仿宋" w:eastAsia="仿宋" w:cs="仿宋"/>
          <w:sz w:val="24"/>
          <w:szCs w:val="24"/>
        </w:rPr>
        <w:t>依法取消资格并追责</w:t>
      </w:r>
    </w:p>
    <w:p w14:paraId="74DF9780">
      <w:pPr>
        <w:rPr>
          <w:rFonts w:hint="eastAsia" w:ascii="仿宋" w:hAnsi="仿宋" w:eastAsia="仿宋" w:cs="仿宋"/>
          <w:sz w:val="24"/>
          <w:szCs w:val="24"/>
          <w:lang w:eastAsia="zh-CN"/>
        </w:rPr>
      </w:pPr>
      <w:r>
        <w:rPr>
          <w:rFonts w:hint="eastAsia" w:ascii="仿宋" w:hAnsi="仿宋" w:eastAsia="仿宋" w:cs="仿宋"/>
          <w:sz w:val="24"/>
          <w:szCs w:val="24"/>
        </w:rPr>
        <w:t>立即终止投标/中标资格：根据《政府采购法》第七十七条，供应商提供虚假材料谋取中标或成交的，中标无效，并处以采购金额5‰-10‰的罚款，列入不良行为记录名单，1-3年内禁止参加政府采购活动</w:t>
      </w:r>
      <w:r>
        <w:rPr>
          <w:rFonts w:hint="eastAsia" w:ascii="仿宋" w:hAnsi="仿宋" w:eastAsia="仿宋" w:cs="仿宋"/>
          <w:sz w:val="24"/>
          <w:szCs w:val="24"/>
          <w:lang w:eastAsia="zh-CN"/>
        </w:rPr>
        <w:t>。</w:t>
      </w:r>
    </w:p>
    <w:p w14:paraId="76CE778E">
      <w:pPr>
        <w:rPr>
          <w:rFonts w:hint="eastAsia" w:ascii="仿宋" w:hAnsi="仿宋" w:eastAsia="仿宋" w:cs="仿宋"/>
          <w:sz w:val="24"/>
          <w:szCs w:val="24"/>
        </w:rPr>
      </w:pPr>
      <w:r>
        <w:rPr>
          <w:rFonts w:hint="eastAsia" w:ascii="仿宋" w:hAnsi="仿宋" w:eastAsia="仿宋" w:cs="仿宋"/>
          <w:sz w:val="24"/>
          <w:szCs w:val="24"/>
        </w:rPr>
        <w:t>没收投标保证金：若招标文件明确约定挂靠行为属于违约情形，可没收其投标保证金</w:t>
      </w:r>
    </w:p>
    <w:p w14:paraId="1E0980FE">
      <w:pPr>
        <w:rPr>
          <w:rFonts w:hint="eastAsia" w:ascii="仿宋" w:hAnsi="仿宋" w:eastAsia="仿宋" w:cs="仿宋"/>
          <w:sz w:val="24"/>
          <w:szCs w:val="24"/>
        </w:rPr>
      </w:pPr>
      <w:r>
        <w:rPr>
          <w:rFonts w:hint="eastAsia" w:ascii="仿宋" w:hAnsi="仿宋" w:eastAsia="仿宋" w:cs="仿宋"/>
          <w:sz w:val="24"/>
          <w:szCs w:val="24"/>
        </w:rPr>
        <w:t>项目后续处理</w:t>
      </w:r>
    </w:p>
    <w:p w14:paraId="015D0298">
      <w:pPr>
        <w:rPr>
          <w:rFonts w:hint="eastAsia" w:ascii="仿宋" w:hAnsi="仿宋" w:eastAsia="仿宋" w:cs="仿宋"/>
          <w:sz w:val="24"/>
          <w:szCs w:val="24"/>
        </w:rPr>
      </w:pPr>
      <w:r>
        <w:rPr>
          <w:rFonts w:hint="eastAsia" w:ascii="仿宋" w:hAnsi="仿宋" w:eastAsia="仿宋" w:cs="仿宋"/>
          <w:sz w:val="24"/>
          <w:szCs w:val="24"/>
        </w:rPr>
        <w:t>若中标后被发现挂靠，应重新采购或按顺序递补中标候选人，并追究挂靠方与被挂靠方的连带赔偿责任</w:t>
      </w:r>
    </w:p>
    <w:p w14:paraId="4A4B9F8C">
      <w:pPr>
        <w:rPr>
          <w:rFonts w:hint="eastAsia" w:ascii="仿宋" w:hAnsi="仿宋" w:eastAsia="仿宋" w:cs="仿宋"/>
          <w:sz w:val="24"/>
          <w:szCs w:val="24"/>
        </w:rPr>
      </w:pPr>
      <w:r>
        <w:rPr>
          <w:rFonts w:hint="eastAsia" w:ascii="仿宋" w:hAnsi="仿宋" w:eastAsia="仿宋" w:cs="仿宋"/>
          <w:sz w:val="24"/>
          <w:szCs w:val="24"/>
          <w:lang w:val="en-US" w:eastAsia="zh-CN"/>
        </w:rPr>
        <w:t>8</w:t>
      </w:r>
      <w:r>
        <w:rPr>
          <w:rFonts w:hint="eastAsia" w:ascii="仿宋" w:hAnsi="仿宋" w:eastAsia="仿宋" w:cs="仿宋"/>
          <w:sz w:val="24"/>
          <w:szCs w:val="24"/>
        </w:rPr>
        <w:t>.围标串标防范措施及处罚</w:t>
      </w:r>
    </w:p>
    <w:p w14:paraId="7E5C84A3">
      <w:pPr>
        <w:rPr>
          <w:rFonts w:hint="eastAsia" w:ascii="仿宋" w:hAnsi="仿宋" w:eastAsia="仿宋" w:cs="仿宋"/>
          <w:sz w:val="24"/>
          <w:szCs w:val="24"/>
        </w:rPr>
      </w:pPr>
      <w:r>
        <w:rPr>
          <w:rFonts w:hint="eastAsia" w:ascii="仿宋" w:hAnsi="仿宋" w:eastAsia="仿宋" w:cs="仿宋"/>
          <w:sz w:val="24"/>
          <w:szCs w:val="24"/>
        </w:rPr>
        <w:t>围标行为定义</w:t>
      </w:r>
    </w:p>
    <w:p w14:paraId="08C2B7B6">
      <w:pPr>
        <w:rPr>
          <w:rFonts w:hint="eastAsia" w:ascii="仿宋" w:hAnsi="仿宋" w:eastAsia="仿宋" w:cs="仿宋"/>
          <w:sz w:val="24"/>
          <w:szCs w:val="24"/>
        </w:rPr>
      </w:pPr>
      <w:r>
        <w:rPr>
          <w:rFonts w:hint="eastAsia" w:ascii="仿宋" w:hAnsi="仿宋" w:eastAsia="仿宋" w:cs="仿宋"/>
          <w:sz w:val="24"/>
          <w:szCs w:val="24"/>
        </w:rPr>
        <w:t>在招标文件中明确界定以下情形属于围标串标：不同投标文件由同一电子设备编制（MAC地址/IP地址相同），投标文件异常一致性（技术参数偏离表内容雷同、错别字重复）投标保证金来自同一账户或关联账户，投标人之间存在股权关联或高管交叉任职</w:t>
      </w:r>
    </w:p>
    <w:p w14:paraId="76C7EFC5">
      <w:pPr>
        <w:rPr>
          <w:rFonts w:hint="eastAsia" w:ascii="仿宋" w:hAnsi="仿宋" w:eastAsia="仿宋" w:cs="仿宋"/>
          <w:sz w:val="24"/>
          <w:szCs w:val="24"/>
        </w:rPr>
      </w:pPr>
      <w:r>
        <w:rPr>
          <w:rFonts w:hint="eastAsia" w:ascii="仿宋" w:hAnsi="仿宋" w:eastAsia="仿宋" w:cs="仿宋"/>
          <w:sz w:val="24"/>
          <w:szCs w:val="24"/>
        </w:rPr>
        <w:t>技术筛查模型</w:t>
      </w:r>
    </w:p>
    <w:p w14:paraId="0442BF8E">
      <w:pPr>
        <w:rPr>
          <w:rFonts w:hint="eastAsia" w:ascii="仿宋" w:hAnsi="仿宋" w:eastAsia="仿宋" w:cs="仿宋"/>
          <w:sz w:val="24"/>
          <w:szCs w:val="24"/>
        </w:rPr>
      </w:pPr>
      <w:r>
        <w:rPr>
          <w:rFonts w:hint="eastAsia" w:ascii="仿宋" w:hAnsi="仿宋" w:eastAsia="仿宋" w:cs="仿宋"/>
          <w:sz w:val="24"/>
          <w:szCs w:val="24"/>
        </w:rPr>
        <w:t>引入招标投标大数据分析系统，自动检测投标文件元数据相似度（创建者信息、修改时间序列），报价规律性（等差报价、报价尾数重复），历史投标关联度（同一批次项目中不同投标人交替中标）</w:t>
      </w:r>
    </w:p>
    <w:p w14:paraId="7B207F73">
      <w:pPr>
        <w:rPr>
          <w:rFonts w:hint="eastAsia" w:ascii="仿宋" w:hAnsi="仿宋" w:eastAsia="仿宋" w:cs="仿宋"/>
          <w:sz w:val="24"/>
          <w:szCs w:val="24"/>
        </w:rPr>
      </w:pPr>
      <w:r>
        <w:rPr>
          <w:rFonts w:hint="eastAsia" w:ascii="仿宋" w:hAnsi="仿宋" w:eastAsia="仿宋" w:cs="仿宋"/>
          <w:sz w:val="24"/>
          <w:szCs w:val="24"/>
        </w:rPr>
        <w:t>保证金溯源核查</w:t>
      </w:r>
    </w:p>
    <w:p w14:paraId="6129D8DE">
      <w:pPr>
        <w:rPr>
          <w:rFonts w:hint="eastAsia" w:ascii="仿宋" w:hAnsi="仿宋" w:eastAsia="仿宋" w:cs="仿宋"/>
          <w:sz w:val="24"/>
          <w:szCs w:val="24"/>
        </w:rPr>
      </w:pPr>
      <w:r>
        <w:rPr>
          <w:rFonts w:hint="eastAsia" w:ascii="仿宋" w:hAnsi="仿宋" w:eastAsia="仿宋" w:cs="仿宋"/>
          <w:sz w:val="24"/>
          <w:szCs w:val="24"/>
        </w:rPr>
        <w:t>投标保证金必须从投标人基本账户转出（禁止第三方代缴），开标后5工作日内，通过中国人民银行支付系统核验保证金账户流水</w:t>
      </w:r>
    </w:p>
    <w:p w14:paraId="0E9392FA">
      <w:pPr>
        <w:rPr>
          <w:rFonts w:hint="eastAsia" w:ascii="仿宋" w:hAnsi="仿宋" w:eastAsia="仿宋" w:cs="仿宋"/>
          <w:sz w:val="24"/>
          <w:szCs w:val="24"/>
        </w:rPr>
      </w:pPr>
      <w:r>
        <w:rPr>
          <w:rFonts w:hint="eastAsia" w:ascii="仿宋" w:hAnsi="仿宋" w:eastAsia="仿宋" w:cs="仿宋"/>
          <w:sz w:val="24"/>
          <w:szCs w:val="24"/>
        </w:rPr>
        <w:t>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14:paraId="0B2C04C2">
      <w:pPr>
        <w:rPr>
          <w:rFonts w:hint="eastAsia" w:ascii="仿宋" w:hAnsi="仿宋" w:eastAsia="仿宋" w:cs="仿宋"/>
          <w:sz w:val="24"/>
          <w:szCs w:val="24"/>
        </w:rPr>
      </w:pPr>
      <w:r>
        <w:rPr>
          <w:rFonts w:hint="eastAsia" w:ascii="仿宋" w:hAnsi="仿宋" w:eastAsia="仿宋" w:cs="仿宋"/>
          <w:sz w:val="24"/>
          <w:szCs w:val="24"/>
        </w:rPr>
        <w:t>评标委员会成员不得收受他人的财物或者其他好处，不得向他人透漏对投标文件的评审和比较、中标候选人的推荐情况以及评标有关的其他情况</w:t>
      </w:r>
    </w:p>
    <w:p w14:paraId="4FCEFB26">
      <w:pPr>
        <w:rPr>
          <w:rFonts w:hint="eastAsia" w:ascii="仿宋" w:hAnsi="仿宋" w:eastAsia="仿宋" w:cs="仿宋"/>
          <w:sz w:val="24"/>
          <w:szCs w:val="24"/>
        </w:rPr>
      </w:pPr>
      <w:r>
        <w:rPr>
          <w:rFonts w:hint="eastAsia" w:ascii="仿宋" w:hAnsi="仿宋" w:eastAsia="仿宋" w:cs="仿宋"/>
          <w:sz w:val="24"/>
          <w:szCs w:val="24"/>
        </w:rPr>
        <w:t>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14:paraId="2AD38DFF">
      <w:pP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9.</w:t>
      </w:r>
      <w:r>
        <w:rPr>
          <w:rFonts w:ascii="仿宋" w:hAnsi="仿宋" w:eastAsia="仿宋" w:cs="仿宋"/>
          <w:sz w:val="24"/>
          <w:szCs w:val="24"/>
        </w:rPr>
        <w:t>中</w:t>
      </w:r>
      <w:r>
        <w:rPr>
          <w:rFonts w:hint="eastAsia" w:ascii="仿宋" w:hAnsi="仿宋" w:eastAsia="仿宋" w:cs="仿宋"/>
          <w:sz w:val="24"/>
          <w:szCs w:val="24"/>
        </w:rPr>
        <w:t>标候选人推荐原则</w:t>
      </w:r>
      <w:r>
        <w:rPr>
          <w:rFonts w:ascii="宋体" w:hAnsi="宋体" w:eastAsia="宋体" w:cs="宋体"/>
          <w:sz w:val="24"/>
          <w:szCs w:val="24"/>
        </w:rPr>
        <w:t>，</w:t>
      </w:r>
      <w:r>
        <w:rPr>
          <w:rFonts w:hint="eastAsia" w:ascii="仿宋" w:hAnsi="仿宋" w:eastAsia="仿宋" w:cs="仿宋"/>
          <w:sz w:val="24"/>
          <w:szCs w:val="24"/>
        </w:rPr>
        <w:t>考虑项目的具体情况，本次招标采取兼投不兼中的规则，即投标人可兼投所有包，但不能兼中，只对投标人中包数量进行限制。本项目（多媒体教室建设）共有15个包，每个有效投标人最多只能中标本项目的3个包。按包的顺序进行评标，从第4包开始，投标人已列为前面3个包第一中标候选人的，之后参与竞标的包只进行评分，将不再获得中标人推荐资格，如该包内核心产品出现使用相同品牌产品竞标的投标人中有已被列为前面3个包第一中标候选人的，将不再获得中标人推荐资格，但同品牌的其他投标人可继续按照以上要求参与竞标；如出现第一中标候选人放弃本包的，由下一排名的中标候选人将按上述规则要求进行递补。</w:t>
      </w:r>
    </w:p>
    <w:p w14:paraId="13AC6BD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0" w:firstLineChars="0"/>
        <w:textAlignment w:val="auto"/>
        <w:rPr>
          <w:rFonts w:hint="eastAsia" w:ascii="仿宋" w:hAnsi="仿宋" w:eastAsia="仿宋" w:cs="仿宋"/>
          <w:b/>
          <w:bCs/>
          <w:color w:val="auto"/>
          <w:sz w:val="24"/>
          <w:szCs w:val="24"/>
          <w:highlight w:val="none"/>
          <w:lang w:val="en-US" w:eastAsia="zh-CN"/>
        </w:rPr>
      </w:pPr>
    </w:p>
    <w:p w14:paraId="3F43C13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0" w:firstLineChars="0"/>
        <w:textAlignment w:val="auto"/>
        <w:rPr>
          <w:rFonts w:hint="eastAsia" w:ascii="仿宋" w:hAnsi="仿宋" w:eastAsia="仿宋" w:cs="仿宋"/>
          <w:b/>
          <w:bCs/>
          <w:color w:val="auto"/>
          <w:sz w:val="24"/>
          <w:szCs w:val="24"/>
          <w:highlight w:val="none"/>
          <w:lang w:val="en-US" w:eastAsia="zh-CN"/>
        </w:rPr>
      </w:pPr>
    </w:p>
    <w:p w14:paraId="4842318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0" w:firstLineChars="0"/>
        <w:textAlignment w:val="auto"/>
        <w:rPr>
          <w:rFonts w:hint="eastAsia" w:ascii="仿宋" w:hAnsi="仿宋" w:eastAsia="仿宋" w:cs="仿宋"/>
          <w:b/>
          <w:bCs/>
          <w:color w:val="auto"/>
          <w:sz w:val="24"/>
          <w:szCs w:val="24"/>
          <w:highlight w:val="none"/>
          <w:lang w:val="en-US" w:eastAsia="zh-CN"/>
        </w:rPr>
      </w:pPr>
    </w:p>
    <w:p w14:paraId="6C2E75E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0" w:firstLineChars="0"/>
        <w:textAlignment w:val="auto"/>
        <w:rPr>
          <w:rFonts w:hint="eastAsia" w:ascii="仿宋" w:hAnsi="仿宋" w:eastAsia="仿宋" w:cs="仿宋"/>
          <w:b/>
          <w:bCs/>
          <w:color w:val="auto"/>
          <w:sz w:val="24"/>
          <w:szCs w:val="24"/>
          <w:highlight w:val="none"/>
          <w:lang w:val="en-US" w:eastAsia="zh-CN"/>
        </w:rPr>
      </w:pPr>
    </w:p>
    <w:p w14:paraId="2A95D5E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0" w:firstLineChars="0"/>
        <w:textAlignment w:val="auto"/>
        <w:rPr>
          <w:rFonts w:hint="eastAsia" w:ascii="仿宋" w:hAnsi="仿宋" w:eastAsia="仿宋" w:cs="仿宋"/>
          <w:b/>
          <w:bCs/>
          <w:color w:val="auto"/>
          <w:sz w:val="24"/>
          <w:szCs w:val="24"/>
          <w:highlight w:val="none"/>
          <w:lang w:val="en-US" w:eastAsia="zh-CN"/>
        </w:rPr>
      </w:pPr>
    </w:p>
    <w:p w14:paraId="3A73989E">
      <w:pPr>
        <w:rPr>
          <w:rFonts w:hint="eastAsia" w:ascii="仿宋" w:hAnsi="仿宋" w:eastAsia="仿宋" w:cs="仿宋"/>
          <w:sz w:val="24"/>
          <w:szCs w:val="24"/>
        </w:rPr>
      </w:pPr>
    </w:p>
    <w:p w14:paraId="3A49FD9A">
      <w:pPr>
        <w:rPr>
          <w:rFonts w:hint="eastAsia" w:ascii="仿宋" w:hAnsi="仿宋" w:eastAsia="仿宋" w:cs="仿宋"/>
          <w:sz w:val="24"/>
          <w:szCs w:val="24"/>
        </w:rPr>
      </w:pPr>
    </w:p>
    <w:p w14:paraId="217450B9">
      <w:pPr>
        <w:rPr>
          <w:rFonts w:hint="eastAsia" w:ascii="仿宋" w:hAnsi="仿宋" w:eastAsia="仿宋" w:cs="仿宋"/>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7236FEA"/>
    <w:rsid w:val="035E7DF9"/>
    <w:rsid w:val="05E24F91"/>
    <w:rsid w:val="2EF83CD1"/>
    <w:rsid w:val="37236FEA"/>
    <w:rsid w:val="3CD22CAE"/>
    <w:rsid w:val="535E5D12"/>
    <w:rsid w:val="6F9B68AD"/>
    <w:rsid w:val="703049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customStyle="1" w:styleId="5">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Office_12.8.2.18913_F1E327BC-269C-435d-A152-05C5408002CA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2025-04-03T00:43:00Z</dcterms:created>
  <dc:creator>AOC</dc:creator>
  <cp:lastModifiedBy>AOC</cp:lastModifiedBy>
  <dcterms:modified xsi:type="dcterms:W3CDTF">2025-04-07T09:15:48Z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2052-12.8.2.18913</vt:lpwstr>
  </property>
  <property fmtid="{D5CDD505-2E9C-101B-9397-08002B2CF9AE}" pid="3" name="ICV">
    <vt:lpwstr>8F75F84EE4874E39B0AC6FF23522EAE7_13</vt:lpwstr>
  </property>
</Properties>
</file>