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2025年海南省适龄女生HPV疫苗采购项目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[HNTXGP]20250300004[GK]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海南省疾病预防控制中心</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2025年海南省适龄女生HPV疫苗采购项目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[HNTXGP]20250300004[GK]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2025年海南省适龄女生HPV疫苗采购项目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3,112,000.00元</w:t>
      </w:r>
      <w:r>
        <w:rPr>
          <w:rFonts w:ascii="仿宋_GB2312" w:hAnsi="仿宋_GB2312" w:cs="仿宋_GB2312" w:eastAsia="仿宋_GB2312"/>
        </w:rPr>
        <w:t>叁佰壹拾壹万贰仟元整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合同签订后按照各市县疾病预防控制机构送货计划交货，具体供货数量、时间要按照合同或各市县疾病预防控制机构的要求。供应商应严格执行各市县疾病预防控制机构的送货计划，保证疫苗的正常供应。</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投标人若为经销商的，须提供有效的《药品经营许可证》及制造商（生产厂家）的《药品生产许可证》，所投产品按原国家食品药品监督管理总局颁发的《药品注册管理办法》办理药品注册证并提供《药品注册证》（提供相关证明材料加盖投标人公章）。 （2）投标人若为制造商（生产厂家）的，须提供有效的《药品生产许可证》，所投产品按原国家食品药品监督管理总局颁发的《药品注册管理办法》办理药品注册证并提供《药品注册证》（提供相关证明材料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2、投标人使用交易系统遇到问题可致电技术支持：0898- 66220881/0898-66220882。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海南省海口市美兰区演丰镇苏民村委会S201灵文加线168号海南省疾病预防控制中心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刘昭君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0898-65315782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刘培星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采购包1：3,112,000.00元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代理服务费收费标准：采购代理服务费以中标（成交）金额为计费基数，按照《海南省物价局关于降低部分招标代理机构服务收费标准的通知》（琼价费管〔2011〕225 号）文件规定的收费标准执行。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地址：海口市龙华区渡海路1-31（宝岛花园C栋铺面二层）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2025年海南省适龄女生HPV疫苗采购项目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采购单位</w:t>
      </w:r>
      <w:r>
        <w:rPr>
          <w:rFonts w:ascii="仿宋_GB2312" w:hAnsi="仿宋_GB2312" w:cs="仿宋_GB2312" w:eastAsia="仿宋_GB2312"/>
          <w:sz w:val="24"/>
        </w:rPr>
        <w:t>：</w:t>
      </w:r>
      <w:r>
        <w:rPr>
          <w:rFonts w:ascii="仿宋_GB2312" w:hAnsi="仿宋_GB2312" w:cs="仿宋_GB2312" w:eastAsia="仿宋_GB2312"/>
          <w:sz w:val="24"/>
        </w:rPr>
        <w:t>海南省疾病预防控制中心</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交货地点</w:t>
      </w:r>
      <w:r>
        <w:rPr>
          <w:rFonts w:ascii="仿宋_GB2312" w:hAnsi="仿宋_GB2312" w:cs="仿宋_GB2312" w:eastAsia="仿宋_GB2312"/>
          <w:sz w:val="24"/>
        </w:rPr>
        <w:t>：</w:t>
      </w:r>
      <w:r>
        <w:rPr>
          <w:rFonts w:ascii="仿宋_GB2312" w:hAnsi="仿宋_GB2312" w:cs="仿宋_GB2312" w:eastAsia="仿宋_GB2312"/>
          <w:sz w:val="24"/>
        </w:rPr>
        <w:t>采购人指定地点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3,112,000.00</w:t>
      </w:r>
    </w:p>
    <w:p>
      <w:pPr>
        <w:pStyle w:val="null3"/>
        <w:jc w:val="left"/>
      </w:pPr>
      <w:r>
        <w:rPr>
          <w:rFonts w:ascii="仿宋_GB2312" w:hAnsi="仿宋_GB2312" w:cs="仿宋_GB2312" w:eastAsia="仿宋_GB2312"/>
        </w:rPr>
        <w:t>采购包最高限价（元）: 3,112,000.00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A07025999-其他人用疫苗</w:t>
            </w:r>
          </w:p>
        </w:tc>
        <w:tc>
          <w:tcPr>
            <w:tcW w:type="dxa" w:w="831"/>
          </w:tcPr>
          <w:p>
            <w:pPr>
              <w:pStyle w:val="null3"/>
              <w:jc w:val="right"/>
            </w:pPr>
            <w:r>
              <w:rPr>
                <w:rFonts w:ascii="仿宋_GB2312" w:hAnsi="仿宋_GB2312" w:cs="仿宋_GB2312" w:eastAsia="仿宋_GB2312"/>
              </w:rPr>
              <w:t>77,800.00</w:t>
            </w:r>
          </w:p>
        </w:tc>
        <w:tc>
          <w:tcPr>
            <w:tcW w:type="dxa" w:w="831"/>
          </w:tcPr>
          <w:p>
            <w:pPr>
              <w:pStyle w:val="null3"/>
              <w:jc w:val="right"/>
            </w:pPr>
            <w:r>
              <w:rPr>
                <w:rFonts w:ascii="仿宋_GB2312" w:hAnsi="仿宋_GB2312" w:cs="仿宋_GB2312" w:eastAsia="仿宋_GB2312"/>
              </w:rPr>
              <w:t>3,112,000.00</w:t>
            </w:r>
          </w:p>
        </w:tc>
        <w:tc>
          <w:tcPr>
            <w:tcW w:type="dxa" w:w="831"/>
          </w:tcPr>
          <w:p>
            <w:pPr>
              <w:pStyle w:val="null3"/>
              <w:jc w:val="left"/>
            </w:pPr>
            <w:r>
              <w:rPr>
                <w:rFonts w:ascii="仿宋_GB2312" w:hAnsi="仿宋_GB2312" w:cs="仿宋_GB2312" w:eastAsia="仿宋_GB2312"/>
              </w:rPr>
              <w:t>剂</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A07025999-其他人用疫苗</w:t>
            </w:r>
          </w:p>
        </w:tc>
        <w:tc>
          <w:tcPr>
            <w:tcW w:type="dxa" w:w="554"/>
          </w:tcPr>
          <w:p>
            <w:pPr>
              <w:pStyle w:val="null3"/>
              <w:jc w:val="left"/>
            </w:pPr>
            <w:r>
              <w:rPr>
                <w:rFonts w:ascii="仿宋_GB2312" w:hAnsi="仿宋_GB2312" w:cs="仿宋_GB2312" w:eastAsia="仿宋_GB2312"/>
              </w:rPr>
              <w:t>剂</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标的名称：A07025999-其他人用疫苗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rPr>
              <w:t>一、质量要求及主要技术参数。</w:t>
            </w:r>
          </w:p>
          <w:p>
            <w:pPr>
              <w:pStyle w:val="null3"/>
              <w:ind w:firstLine="480"/>
              <w:jc w:val="both"/>
            </w:pPr>
            <w:r>
              <w:rPr>
                <w:rFonts w:ascii="仿宋_GB2312" w:hAnsi="仿宋_GB2312" w:cs="仿宋_GB2312" w:eastAsia="仿宋_GB2312"/>
              </w:rPr>
              <w:t>1.质量要求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1）生产车间通过国家相关认证并获得必要证书。</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2）产地：中国。</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3）质量符合现行版《中华人民共和国药典》的标准。</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4）供应商所投的疫苗具有药品注册批件、产品批签发证明、批质量检验报告。</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5）投标人所投的疫苗具有国家药监局临床实验备案的医疗机构或者疾病预防控制机构出具的临床实验报告（合格），提供复印件并加盖投标人公章。</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6）投标人所投的疫苗没有质量方面的不良记录（指药品监督管理部门在日常监督检查过程中出具的任何与报价产品质量相关的处罚或通告），提供承诺函并加盖投标人公章。</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7）投标人所投的疫苗应定期监测疑似预防接种异常反应并提供技术报告。</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8）疫苗全程电子追溯情况：1支（或1瓶）一追溯码，即小包装唯一追溯码。</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9）严格执行《疫苗管理法》、《药品经营质量管理规范》有关要求，并采取有效措施保证储运过程中的药品质量与安全，全程具有温度监测记录。</w:t>
            </w:r>
          </w:p>
          <w:p>
            <w:pPr>
              <w:pStyle w:val="null3"/>
              <w:ind w:firstLine="480"/>
              <w:jc w:val="both"/>
            </w:pPr>
            <w:r>
              <w:rPr>
                <w:rFonts w:ascii="仿宋_GB2312" w:hAnsi="仿宋_GB2312" w:cs="仿宋_GB2312" w:eastAsia="仿宋_GB2312"/>
              </w:rPr>
              <w:t>2.采购清单及预算</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581"/>
              <w:gridCol w:w="267"/>
              <w:gridCol w:w="359"/>
              <w:gridCol w:w="615"/>
              <w:gridCol w:w="472"/>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物品名称</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预算金额（万）</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2价HPV疫苗</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剂</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77800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311.2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both"/>
            </w:pPr>
            <w:r>
              <w:rPr>
                <w:rFonts w:ascii="仿宋_GB2312" w:hAnsi="仿宋_GB2312" w:cs="仿宋_GB2312" w:eastAsia="仿宋_GB2312"/>
              </w:rPr>
              <w:t>3.主要技术参数</w:t>
            </w:r>
          </w:p>
          <w:p>
            <w:pPr>
              <w:pStyle w:val="null3"/>
              <w:ind w:firstLine="480"/>
              <w:jc w:val="both"/>
            </w:pPr>
            <w:r>
              <w:rPr>
                <w:rFonts w:ascii="仿宋_GB2312" w:hAnsi="仿宋_GB2312" w:cs="仿宋_GB2312" w:eastAsia="仿宋_GB2312"/>
              </w:rPr>
              <w:t>3.1免疫程序：产品能用于实施方案规定的女性群体接种，提供经药监部门批准的疫苗说明书原件。</w:t>
            </w:r>
          </w:p>
          <w:p>
            <w:pPr>
              <w:pStyle w:val="null3"/>
              <w:ind w:firstLine="480"/>
              <w:jc w:val="both"/>
            </w:pPr>
            <w:r>
              <w:rPr>
                <w:rFonts w:ascii="仿宋_GB2312" w:hAnsi="仿宋_GB2312" w:cs="仿宋_GB2312" w:eastAsia="仿宋_GB2312"/>
              </w:rPr>
              <w:t>3.2剂型：液体注射剂。</w:t>
            </w:r>
          </w:p>
          <w:p>
            <w:pPr>
              <w:pStyle w:val="null3"/>
              <w:ind w:firstLine="480"/>
              <w:jc w:val="both"/>
            </w:pPr>
            <w:r>
              <w:rPr>
                <w:rFonts w:ascii="仿宋_GB2312" w:hAnsi="仿宋_GB2312" w:cs="仿宋_GB2312" w:eastAsia="仿宋_GB2312"/>
              </w:rPr>
              <w:t>3.3包装：预灌封注射器。</w:t>
            </w:r>
          </w:p>
          <w:p>
            <w:pPr>
              <w:pStyle w:val="null3"/>
              <w:ind w:firstLine="480"/>
              <w:jc w:val="both"/>
            </w:pPr>
            <w:r>
              <w:rPr>
                <w:rFonts w:ascii="仿宋_GB2312" w:hAnsi="仿宋_GB2312" w:cs="仿宋_GB2312" w:eastAsia="仿宋_GB2312"/>
              </w:rPr>
              <w:t>3.4主要成分：人乳头瘤病毒(HPV)l6型L1蛋白40μg，人乳头瘤病毒(HPV)18型L1蛋白20μg。</w:t>
            </w:r>
          </w:p>
          <w:p>
            <w:pPr>
              <w:pStyle w:val="null3"/>
              <w:ind w:firstLine="480"/>
              <w:jc w:val="both"/>
            </w:pPr>
            <w:r>
              <w:rPr>
                <w:rFonts w:ascii="仿宋_GB2312" w:hAnsi="仿宋_GB2312" w:cs="仿宋_GB2312" w:eastAsia="仿宋_GB2312"/>
              </w:rPr>
              <w:t>3.5规格：每瓶或支0.5ml，每1次人用剂量0.5ml。</w:t>
            </w:r>
          </w:p>
          <w:p>
            <w:pPr>
              <w:pStyle w:val="null3"/>
              <w:ind w:firstLine="480"/>
              <w:jc w:val="both"/>
            </w:pPr>
            <w:r>
              <w:rPr>
                <w:rFonts w:ascii="仿宋_GB2312" w:hAnsi="仿宋_GB2312" w:cs="仿宋_GB2312" w:eastAsia="仿宋_GB2312"/>
              </w:rPr>
              <w:t>3.6贮藏：于2-8℃避光保存和运输。严禁冻结。全程冷链运输。</w:t>
            </w:r>
          </w:p>
          <w:p>
            <w:pPr>
              <w:pStyle w:val="null3"/>
              <w:ind w:firstLine="480"/>
              <w:jc w:val="both"/>
            </w:pPr>
            <w:r>
              <w:rPr>
                <w:rFonts w:ascii="仿宋_GB2312" w:hAnsi="仿宋_GB2312" w:cs="仿宋_GB2312" w:eastAsia="仿宋_GB2312"/>
              </w:rPr>
              <w:t>3.7有效期：送达采购人指定地点并完成验收之日起剩余有效期不少于12个月。</w:t>
            </w:r>
          </w:p>
          <w:p>
            <w:pPr>
              <w:pStyle w:val="null3"/>
              <w:jc w:val="both"/>
            </w:pPr>
            <w:r>
              <w:rPr>
                <w:rFonts w:ascii="仿宋_GB2312" w:hAnsi="仿宋_GB2312" w:cs="仿宋_GB2312" w:eastAsia="仿宋_GB2312"/>
                <w:sz w:val="27"/>
                <w:b/>
              </w:rPr>
              <w:t>说明：</w:t>
            </w:r>
            <w:r>
              <w:rPr>
                <w:rFonts w:ascii="仿宋_GB2312" w:hAnsi="仿宋_GB2312" w:cs="仿宋_GB2312" w:eastAsia="仿宋_GB2312"/>
                <w:sz w:val="27"/>
                <w:b/>
              </w:rPr>
              <w:t>以上</w:t>
            </w:r>
            <w:r>
              <w:rPr>
                <w:rFonts w:ascii="仿宋_GB2312" w:hAnsi="仿宋_GB2312" w:cs="仿宋_GB2312" w:eastAsia="仿宋_GB2312"/>
                <w:sz w:val="27"/>
                <w:b/>
              </w:rPr>
              <w:t>内容</w:t>
            </w:r>
            <w:r>
              <w:rPr>
                <w:rFonts w:ascii="仿宋_GB2312" w:hAnsi="仿宋_GB2312" w:cs="仿宋_GB2312" w:eastAsia="仿宋_GB2312"/>
                <w:sz w:val="27"/>
                <w:b/>
              </w:rPr>
              <w:t>全部</w:t>
            </w:r>
            <w:r>
              <w:rPr>
                <w:rFonts w:ascii="仿宋_GB2312" w:hAnsi="仿宋_GB2312" w:cs="仿宋_GB2312" w:eastAsia="仿宋_GB2312"/>
                <w:sz w:val="27"/>
                <w:b/>
              </w:rPr>
              <w:t>为</w:t>
            </w:r>
            <w:r>
              <w:rPr>
                <w:rFonts w:ascii="仿宋_GB2312" w:hAnsi="仿宋_GB2312" w:cs="仿宋_GB2312" w:eastAsia="仿宋_GB2312"/>
                <w:sz w:val="27"/>
                <w:b/>
              </w:rPr>
              <w:t>实质性指标，</w:t>
            </w:r>
            <w:r>
              <w:rPr>
                <w:rFonts w:ascii="仿宋_GB2312" w:hAnsi="仿宋_GB2312" w:cs="仿宋_GB2312" w:eastAsia="仿宋_GB2312"/>
                <w:sz w:val="27"/>
                <w:b/>
              </w:rPr>
              <w:t>有</w:t>
            </w:r>
            <w:r>
              <w:rPr>
                <w:rFonts w:ascii="仿宋_GB2312" w:hAnsi="仿宋_GB2312" w:cs="仿宋_GB2312" w:eastAsia="仿宋_GB2312"/>
                <w:sz w:val="27"/>
                <w:b/>
              </w:rPr>
              <w:t>一项</w:t>
            </w:r>
            <w:r>
              <w:rPr>
                <w:rFonts w:ascii="仿宋_GB2312" w:hAnsi="仿宋_GB2312" w:cs="仿宋_GB2312" w:eastAsia="仿宋_GB2312"/>
                <w:sz w:val="27"/>
                <w:b/>
              </w:rPr>
              <w:t>不满足按照废标处理。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rPr>
              <w:t>一、包装要求。</w:t>
            </w:r>
          </w:p>
          <w:p>
            <w:pPr>
              <w:pStyle w:val="null3"/>
              <w:ind w:firstLine="480"/>
              <w:jc w:val="both"/>
            </w:pPr>
            <w:r>
              <w:rPr>
                <w:rFonts w:ascii="仿宋_GB2312" w:hAnsi="仿宋_GB2312" w:cs="仿宋_GB2312" w:eastAsia="仿宋_GB2312"/>
              </w:rPr>
              <w:t>符合《生物制品包装规程》的标准，具有良好的密封性和防潮性，破损率低于国家规定标准。大包装指整箱，中包装指大包装里面的中盒，小包装指中包装里面每剂次（支或瓶）的包装盒。大、中、小包装均应印有批号（生产日期）、失效期等包装标识，小包装应附中文使用说明书一份。</w:t>
            </w:r>
          </w:p>
          <w:p>
            <w:pPr>
              <w:pStyle w:val="null3"/>
              <w:ind w:firstLine="480"/>
              <w:jc w:val="both"/>
            </w:pPr>
            <w:r>
              <w:rPr>
                <w:rFonts w:ascii="仿宋_GB2312" w:hAnsi="仿宋_GB2312" w:cs="仿宋_GB2312" w:eastAsia="仿宋_GB2312"/>
              </w:rPr>
              <w:t>中标人提供精确到疫苗最小包装的追溯码和对应的产品相关信息，并在货物到达采购人指定交货地点前完成在</w:t>
            </w:r>
            <w:r>
              <w:rPr>
                <w:rFonts w:ascii="仿宋_GB2312" w:hAnsi="仿宋_GB2312" w:cs="仿宋_GB2312" w:eastAsia="仿宋_GB2312"/>
              </w:rPr>
              <w:t>“海南省</w:t>
            </w:r>
            <w:r>
              <w:rPr>
                <w:rFonts w:ascii="仿宋_GB2312" w:hAnsi="仿宋_GB2312" w:cs="仿宋_GB2312" w:eastAsia="仿宋_GB2312"/>
              </w:rPr>
              <w:t>疫苗</w:t>
            </w:r>
            <w:r>
              <w:rPr>
                <w:rFonts w:ascii="仿宋_GB2312" w:hAnsi="仿宋_GB2312" w:cs="仿宋_GB2312" w:eastAsia="仿宋_GB2312"/>
              </w:rPr>
              <w:t>流通信息系统</w:t>
            </w:r>
            <w:r>
              <w:rPr>
                <w:rFonts w:ascii="仿宋_GB2312" w:hAnsi="仿宋_GB2312" w:cs="仿宋_GB2312" w:eastAsia="仿宋_GB2312"/>
              </w:rPr>
              <w:t>”对应追溯码数据库的上传工作。</w:t>
            </w:r>
          </w:p>
          <w:p>
            <w:pPr>
              <w:pStyle w:val="null3"/>
              <w:ind w:firstLine="480"/>
              <w:jc w:val="both"/>
            </w:pPr>
            <w:r>
              <w:rPr>
                <w:rFonts w:ascii="仿宋_GB2312" w:hAnsi="仿宋_GB2312" w:cs="仿宋_GB2312" w:eastAsia="仿宋_GB2312"/>
              </w:rPr>
              <w:t>二、付款方式</w:t>
            </w:r>
          </w:p>
          <w:p>
            <w:pPr>
              <w:pStyle w:val="null3"/>
              <w:ind w:firstLine="480"/>
              <w:jc w:val="both"/>
            </w:pPr>
            <w:r>
              <w:rPr>
                <w:rFonts w:ascii="仿宋_GB2312" w:hAnsi="仿宋_GB2312" w:cs="仿宋_GB2312" w:eastAsia="仿宋_GB2312"/>
              </w:rPr>
              <w:t>1、按各市财政部门的规定国库直接支付。</w:t>
            </w:r>
          </w:p>
          <w:p>
            <w:pPr>
              <w:pStyle w:val="null3"/>
              <w:ind w:firstLine="480"/>
              <w:jc w:val="both"/>
            </w:pPr>
            <w:r>
              <w:rPr>
                <w:rFonts w:ascii="仿宋_GB2312" w:hAnsi="仿宋_GB2312" w:cs="仿宋_GB2312" w:eastAsia="仿宋_GB2312"/>
              </w:rPr>
              <w:t>2、付款时间为用户向政府采购支付部门提出支付申请的时间（不含政府财政支付部门审查的时间），最终支付时间以国库支付中心为准。</w:t>
            </w:r>
          </w:p>
          <w:p>
            <w:pPr>
              <w:pStyle w:val="null3"/>
              <w:ind w:firstLine="480"/>
              <w:jc w:val="both"/>
            </w:pPr>
            <w:r>
              <w:rPr>
                <w:rFonts w:ascii="仿宋_GB2312" w:hAnsi="仿宋_GB2312" w:cs="仿宋_GB2312" w:eastAsia="仿宋_GB2312"/>
              </w:rPr>
              <w:t>3、在合同执行过程中，如各市县疾病预防控制机构实际所需接种疫苗数量减少，按实际供货数量进行结算。</w:t>
            </w:r>
          </w:p>
          <w:p>
            <w:pPr>
              <w:pStyle w:val="null3"/>
              <w:ind w:firstLine="480"/>
              <w:jc w:val="both"/>
            </w:pPr>
            <w:r>
              <w:rPr>
                <w:rFonts w:ascii="仿宋_GB2312" w:hAnsi="仿宋_GB2312" w:cs="仿宋_GB2312" w:eastAsia="仿宋_GB2312"/>
              </w:rPr>
              <w:t>4、在省财政该项专项资金到账的情况下：</w:t>
            </w:r>
          </w:p>
          <w:p>
            <w:pPr>
              <w:pStyle w:val="null3"/>
              <w:ind w:firstLine="480"/>
              <w:jc w:val="both"/>
            </w:pPr>
            <w:r>
              <w:rPr>
                <w:rFonts w:ascii="仿宋_GB2312" w:hAnsi="仿宋_GB2312" w:cs="仿宋_GB2312" w:eastAsia="仿宋_GB2312"/>
              </w:rPr>
              <w:t>付款方式：货到付款</w:t>
            </w:r>
          </w:p>
          <w:p>
            <w:pPr>
              <w:pStyle w:val="null3"/>
              <w:ind w:firstLine="480"/>
              <w:jc w:val="both"/>
            </w:pPr>
            <w:r>
              <w:rPr>
                <w:rFonts w:ascii="仿宋_GB2312" w:hAnsi="仿宋_GB2312" w:cs="仿宋_GB2312" w:eastAsia="仿宋_GB2312"/>
              </w:rPr>
              <w:t>由各市、县疾病预防控制机构与乙方签订合同，在货物完成送货并验收合格后，凭乙方开具的正式发票由各市、县疾病预防控制机构与乙方结算费用。乙方知悉并同意，因此原因造成的付款期限延误不属于违约之情形，各市县疾病预防控制机构无须因此承担任何违约责任。</w:t>
            </w:r>
          </w:p>
          <w:p>
            <w:pPr>
              <w:pStyle w:val="null3"/>
              <w:ind w:firstLine="480"/>
              <w:jc w:val="both"/>
            </w:pPr>
            <w:r>
              <w:rPr>
                <w:rFonts w:ascii="仿宋_GB2312" w:hAnsi="仿宋_GB2312" w:cs="仿宋_GB2312" w:eastAsia="仿宋_GB2312"/>
              </w:rPr>
              <w:t>三</w:t>
            </w:r>
            <w:r>
              <w:rPr>
                <w:rFonts w:ascii="仿宋_GB2312" w:hAnsi="仿宋_GB2312" w:cs="仿宋_GB2312" w:eastAsia="仿宋_GB2312"/>
              </w:rPr>
              <w:t>、质保及售后服务</w:t>
            </w:r>
          </w:p>
          <w:p>
            <w:pPr>
              <w:pStyle w:val="null3"/>
              <w:ind w:firstLine="480"/>
              <w:jc w:val="both"/>
            </w:pPr>
            <w:r>
              <w:rPr>
                <w:rFonts w:ascii="仿宋_GB2312" w:hAnsi="仿宋_GB2312" w:cs="仿宋_GB2312" w:eastAsia="仿宋_GB2312"/>
              </w:rPr>
              <w:t>1、售后服务响应时间：如疫苗出现质量问题，中标人必须在 2小时内响应，24小时内到达现场，3 日内提供合格产品保证接种顺利进行。</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发生严重的接种异常反应后，中标人应根据采购人的要求，立即派专家前往事发地协助调查处理</w:t>
            </w:r>
            <w:r>
              <w:rPr>
                <w:rFonts w:ascii="仿宋_GB2312" w:hAnsi="仿宋_GB2312" w:cs="仿宋_GB2312" w:eastAsia="仿宋_GB2312"/>
              </w:rPr>
              <w:t>。因疫苗质量引起的严重接种异常反应，中标人承担所有责任。</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特殊情况下，采购人需增减每批次订货数量，中标人应予以支持。</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、供货期：本项目实行分批供货，合同签订后，自接采购人通知之日起</w:t>
            </w:r>
            <w:r>
              <w:rPr>
                <w:rFonts w:ascii="仿宋_GB2312" w:hAnsi="仿宋_GB2312" w:cs="仿宋_GB2312" w:eastAsia="仿宋_GB2312"/>
              </w:rPr>
              <w:t xml:space="preserve"> 10 日内供货完毕。</w:t>
            </w:r>
          </w:p>
          <w:p>
            <w:pPr>
              <w:pStyle w:val="null3"/>
              <w:ind w:firstLine="480"/>
              <w:jc w:val="both"/>
            </w:pPr>
            <w:r>
              <w:rPr>
                <w:rFonts w:ascii="仿宋_GB2312" w:hAnsi="仿宋_GB2312" w:cs="仿宋_GB2312" w:eastAsia="仿宋_GB2312"/>
              </w:rPr>
              <w:t>5、供货地点：采购人指定地点。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投标人若为经销商的，须提供有效的《药品经营许可证》及制造商（生产厂家）的《药品生产许可证》，所投产品按原国家食品药品监督管理总局颁发的《药品注册管理办法》办理药品注册证并提供《药品注册证》（提供相关证明材料加盖投标人公章）。 （2）投标人若为制造商（生产厂家）的，须提供有效的《药品生产许可证》，所投产品按原国家食品药品监督管理总局颁发的《药品注册管理办法》办理药品注册证并提供《药品注册证》（提供相关证明材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无不良信用记录承诺书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根据投标人针对本项目的应急方案进行评审： （1）应急方案完整详细、可行性、实用性、针对性强，得10分； （2）应急方案适合本项目采购需求，完整详细、具有可行性、实用性和针对性，得7 分； （3）应急方案基本适合本项目采购需求，可行性、针对性和实用性有待完善，得 5分； （4）应急方案不合理或明显不符合本项目或缺乏实质性内容的，得3分； （5）未提供措施的不得分。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运输和冷链措施情况</w:t>
            </w:r>
          </w:p>
        </w:tc>
        <w:tc>
          <w:tcPr>
            <w:tcW w:type="dxa" w:w="2492"/>
          </w:tcPr>
          <w:p>
            <w:pPr>
              <w:pStyle w:val="null3"/>
              <w:jc w:val="both"/>
            </w:pPr>
            <w:r>
              <w:rPr>
                <w:rFonts w:ascii="仿宋_GB2312" w:hAnsi="仿宋_GB2312" w:cs="仿宋_GB2312" w:eastAsia="仿宋_GB2312"/>
              </w:rPr>
              <w:t>根据投标人针对本项目的运输和冷链措施情况进行评审： （1）有提出措施，应对措施具有针对性，有利于项目实施的，得10分； （2）有提出措施，条理清晰、合理，符合本项目需求的，得7分； （3）有提出措施，描述较为简略或内容有所欠缺或有部分不合理，但基本能满足项目需求的，得5分； （4）措施不合理或明显不符合本项目或缺乏实质性内容的，得3分； （5）未提供措施的不得分。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根据投标人针对本项目的售后服务方案进行评审： （1）售后服务方案完整详细、可行性、实用性、针对性强，得10分； （2）售后服务方案适合本项目采购需求，完整详细、具有可行性、实用性和针对性，得 7 分； （3）售后服务方案基本适合本项目采购需求，可行性、针对性和实用性有待完善，得 5分； （4）售后服务方案不合理或明显不符合本项目或缺乏实质性内容的，得3分； （5）未提供措施的不得分。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w:t>
            </w:r>
          </w:p>
        </w:tc>
        <w:tc>
          <w:tcPr>
            <w:tcW w:type="dxa" w:w="2492"/>
          </w:tcPr>
          <w:p>
            <w:pPr>
              <w:pStyle w:val="null3"/>
              <w:jc w:val="both"/>
            </w:pPr>
            <w:r>
              <w:rPr>
                <w:rFonts w:ascii="仿宋_GB2312" w:hAnsi="仿宋_GB2312" w:cs="仿宋_GB2312" w:eastAsia="仿宋_GB2312"/>
              </w:rPr>
              <w:t>如疫苗出现质量问题，必须在 2小时内响应，24小时内到达现场，3 日内提供合格产品保证接种顺利进行。提供承诺函并加盖投标人公章的得3分，未提供不得分。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2021年12月01日至今，承接过同类业绩，每提供一个得2分，最高得10分。 证明材料：合同加盖公章扫描件，时间以合同签订时间为准。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针对本项目配备的设备</w:t>
            </w:r>
          </w:p>
        </w:tc>
        <w:tc>
          <w:tcPr>
            <w:tcW w:type="dxa" w:w="2492"/>
          </w:tcPr>
          <w:p>
            <w:pPr>
              <w:pStyle w:val="null3"/>
              <w:jc w:val="both"/>
            </w:pPr>
            <w:r>
              <w:rPr>
                <w:rFonts w:ascii="仿宋_GB2312" w:hAnsi="仿宋_GB2312" w:cs="仿宋_GB2312" w:eastAsia="仿宋_GB2312"/>
              </w:rPr>
              <w:t>投标人为本项目配备 1 辆冷链车的，得 5 分，本项满分 5 分。 注：投标文件中须同时提供下列①和②材料。 ①车辆行驶证扫描件。 ②投标人自有车辆的，提供车辆购买合同（或协议或发票）的扫描件；投标人租赁车辆的，提供租赁合同（或协议或发票）的扫描件。合同（或协议或发票）上的单位名称与投标人名称一致。</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投标人应具有质量管理体系认证、环境管理体系认证、职业健康安全管理体系认证证书每提供一个证书得2分，满分6分；注：以上须提供有效期内的认证证书复印件加盖投标人公章，不提供不得分。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疫苗质量证明</w:t>
            </w:r>
          </w:p>
        </w:tc>
        <w:tc>
          <w:tcPr>
            <w:tcW w:type="dxa" w:w="2492"/>
          </w:tcPr>
          <w:p>
            <w:pPr>
              <w:pStyle w:val="null3"/>
              <w:jc w:val="both"/>
            </w:pPr>
            <w:r>
              <w:rPr>
                <w:rFonts w:ascii="仿宋_GB2312" w:hAnsi="仿宋_GB2312" w:cs="仿宋_GB2312" w:eastAsia="仿宋_GB2312"/>
              </w:rPr>
              <w:t>投标人需提供国家药品监督管理局网站查询近三年药品质量抽查结果证明。注：提供证明并加盖投标人公章的得5分，未提供不得分。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四期临床实验开展情况</w:t>
            </w:r>
          </w:p>
        </w:tc>
        <w:tc>
          <w:tcPr>
            <w:tcW w:type="dxa" w:w="2492"/>
          </w:tcPr>
          <w:p>
            <w:pPr>
              <w:pStyle w:val="null3"/>
              <w:jc w:val="both"/>
            </w:pPr>
            <w:r>
              <w:rPr>
                <w:rFonts w:ascii="仿宋_GB2312" w:hAnsi="仿宋_GB2312" w:cs="仿宋_GB2312" w:eastAsia="仿宋_GB2312"/>
              </w:rPr>
              <w:t>（1）提供具有国家药品监督管理局临床实验备案的三级医疗机构或者省级以上疾病预防控制机构所开展四期临床的相关技术报告得6分。（2）提供在具有国家药品监督管理局临床实验备案三级医疗机构或者省级以上疾病预防控制机构正在开展四期临床研究的相关协议的得4分。（3）提供在三级医疗机构或者省级以上疾病预防控制机构开展四期临床实验并提供相关技术报告得2分。注：须提供相关证明材料并加盖投标人公章，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[HNTXGP]20250300004[GK]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2025年海南省适龄女生HPV疫苗采购项目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A07025999-其他人用疫苗</w:t>
            </w:r>
          </w:p>
        </w:tc>
        <w:tc>
          <w:tcPr>
            <w:tcW w:type="dxa" w:w="755"/>
          </w:tcPr>
          <w:p>
            <w:pPr>
              <w:pStyle w:val="null3"/>
              <w:jc w:val="left"/>
            </w:pPr>
            <w:r>
              <w:rPr>
                <w:rFonts w:ascii="仿宋_GB2312" w:hAnsi="仿宋_GB2312" w:cs="仿宋_GB2312" w:eastAsia="仿宋_GB2312"/>
              </w:rPr>
              <w:t xml:space="preserve"> 77800.00</w:t>
            </w:r>
          </w:p>
        </w:tc>
        <w:tc>
          <w:tcPr>
            <w:tcW w:type="dxa" w:w="755"/>
          </w:tcPr>
          <w:p>
            <w:pPr>
              <w:pStyle w:val="null3"/>
              <w:jc w:val="left"/>
            </w:pPr>
            <w:r>
              <w:rPr>
                <w:rFonts w:ascii="仿宋_GB2312" w:hAnsi="仿宋_GB2312" w:cs="仿宋_GB2312" w:eastAsia="仿宋_GB2312"/>
              </w:rPr>
              <w:t xml:space="preserve"> 剂</w:t>
            </w:r>
          </w:p>
        </w:tc>
        <w:tc>
          <w:tcPr>
            <w:tcW w:type="dxa" w:w="755"/>
          </w:tcPr>
          <w:p>
            <w:pPr>
              <w:pStyle w:val="null3"/>
              <w:jc w:val="left"/>
            </w:pPr>
            <w:r>
              <w:rPr>
                <w:rFonts w:ascii="仿宋_GB2312" w:hAnsi="仿宋_GB2312" w:cs="仿宋_GB2312" w:eastAsia="仿宋_GB2312"/>
              </w:rPr>
              <w:t xml:space="preserve"> 3112000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