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5EA876">
      <w:pPr>
        <w:rPr>
          <w:rFonts w:ascii="楷体" w:hAnsi="楷体" w:eastAsia="楷体"/>
          <w:sz w:val="24"/>
          <w:u w:val="single"/>
        </w:rPr>
      </w:pPr>
      <w:r>
        <w:rPr>
          <w:rFonts w:hint="eastAsia" w:ascii="宋体" w:hAnsi="宋体"/>
          <w:b/>
          <w:sz w:val="30"/>
          <w:szCs w:val="30"/>
        </w:rPr>
        <w:t>合同编号：</w:t>
      </w:r>
      <w:r>
        <w:rPr>
          <w:rFonts w:ascii="楷体" w:hAnsi="楷体" w:eastAsia="楷体"/>
          <w:sz w:val="24"/>
          <w:u w:val="single"/>
        </w:rPr>
        <w:t xml:space="preserve">        </w:t>
      </w:r>
      <w:r>
        <w:rPr>
          <w:rFonts w:hint="eastAsia" w:ascii="楷体" w:hAnsi="楷体" w:eastAsia="楷体"/>
          <w:sz w:val="24"/>
          <w:u w:val="single"/>
        </w:rPr>
        <w:t xml:space="preserve">   </w:t>
      </w:r>
    </w:p>
    <w:p w14:paraId="3FEEEF3F">
      <w:pPr>
        <w:spacing w:line="360" w:lineRule="auto"/>
        <w:jc w:val="left"/>
        <w:rPr>
          <w:rFonts w:ascii="宋体" w:hAnsi="宋体"/>
          <w:b/>
          <w:sz w:val="30"/>
          <w:szCs w:val="30"/>
        </w:rPr>
      </w:pPr>
    </w:p>
    <w:p w14:paraId="320BC113">
      <w:pPr>
        <w:spacing w:line="360" w:lineRule="auto"/>
        <w:ind w:right="40" w:firstLine="4350" w:firstLineChars="1450"/>
        <w:jc w:val="left"/>
        <w:rPr>
          <w:rFonts w:ascii="宋体" w:hAnsi="宋体" w:cs="宋体"/>
          <w:sz w:val="30"/>
          <w:szCs w:val="30"/>
        </w:rPr>
      </w:pPr>
    </w:p>
    <w:p w14:paraId="51EDFAD6">
      <w:pPr>
        <w:spacing w:line="360" w:lineRule="auto"/>
        <w:ind w:right="40" w:firstLine="4350" w:firstLineChars="1450"/>
        <w:jc w:val="left"/>
        <w:rPr>
          <w:rFonts w:ascii="宋体" w:hAnsi="宋体" w:cs="宋体"/>
          <w:sz w:val="30"/>
          <w:szCs w:val="30"/>
        </w:rPr>
      </w:pPr>
    </w:p>
    <w:p w14:paraId="7792270A">
      <w:pPr>
        <w:spacing w:line="360" w:lineRule="auto"/>
        <w:jc w:val="center"/>
        <w:rPr>
          <w:rFonts w:ascii="宋体" w:hAnsi="宋体"/>
          <w:b/>
          <w:sz w:val="72"/>
          <w:szCs w:val="72"/>
        </w:rPr>
      </w:pPr>
      <w:r>
        <w:rPr>
          <w:rFonts w:hint="eastAsia" w:ascii="宋体" w:hAnsi="宋体"/>
          <w:b/>
          <w:sz w:val="72"/>
          <w:szCs w:val="72"/>
        </w:rPr>
        <w:t>海南省政府采购项目</w:t>
      </w:r>
    </w:p>
    <w:p w14:paraId="60F11341">
      <w:pPr>
        <w:spacing w:line="360" w:lineRule="auto"/>
        <w:rPr>
          <w:rFonts w:ascii="宋体" w:hAnsi="宋体"/>
          <w:b/>
          <w:sz w:val="30"/>
          <w:szCs w:val="30"/>
        </w:rPr>
      </w:pPr>
    </w:p>
    <w:p w14:paraId="1D788CC9">
      <w:pPr>
        <w:spacing w:line="360" w:lineRule="auto"/>
        <w:jc w:val="center"/>
        <w:rPr>
          <w:rFonts w:ascii="宋体" w:hAnsi="宋体"/>
          <w:b/>
          <w:sz w:val="110"/>
          <w:szCs w:val="110"/>
        </w:rPr>
      </w:pPr>
      <w:r>
        <w:rPr>
          <w:rFonts w:hint="eastAsia" w:ascii="宋体" w:hAnsi="宋体"/>
          <w:b/>
          <w:sz w:val="110"/>
          <w:szCs w:val="110"/>
        </w:rPr>
        <w:t xml:space="preserve">合 </w:t>
      </w:r>
      <w:r>
        <w:rPr>
          <w:rFonts w:hint="eastAsia" w:ascii="宋体" w:hAnsi="宋体"/>
          <w:b/>
          <w:sz w:val="32"/>
          <w:szCs w:val="32"/>
        </w:rPr>
        <w:t xml:space="preserve">  </w:t>
      </w:r>
      <w:r>
        <w:rPr>
          <w:rFonts w:hint="eastAsia" w:ascii="宋体" w:hAnsi="宋体"/>
          <w:b/>
          <w:sz w:val="110"/>
          <w:szCs w:val="110"/>
        </w:rPr>
        <w:t xml:space="preserve">同 </w:t>
      </w:r>
      <w:r>
        <w:rPr>
          <w:rFonts w:hint="eastAsia" w:ascii="宋体" w:hAnsi="宋体"/>
          <w:b/>
          <w:sz w:val="32"/>
          <w:szCs w:val="32"/>
        </w:rPr>
        <w:t xml:space="preserve">  </w:t>
      </w:r>
      <w:r>
        <w:rPr>
          <w:rFonts w:hint="eastAsia" w:ascii="宋体" w:hAnsi="宋体"/>
          <w:b/>
          <w:sz w:val="110"/>
          <w:szCs w:val="110"/>
        </w:rPr>
        <w:t>书</w:t>
      </w:r>
    </w:p>
    <w:p w14:paraId="3155D85F">
      <w:pPr>
        <w:spacing w:line="360" w:lineRule="auto"/>
        <w:jc w:val="center"/>
        <w:rPr>
          <w:rFonts w:ascii="宋体" w:hAnsi="宋体"/>
          <w:b/>
          <w:sz w:val="32"/>
          <w:szCs w:val="32"/>
        </w:rPr>
      </w:pPr>
    </w:p>
    <w:p w14:paraId="3642DE18">
      <w:pPr>
        <w:spacing w:line="360" w:lineRule="auto"/>
        <w:rPr>
          <w:rFonts w:ascii="宋体" w:hAnsi="宋体"/>
          <w:b/>
          <w:sz w:val="32"/>
          <w:szCs w:val="32"/>
        </w:rPr>
      </w:pPr>
    </w:p>
    <w:p w14:paraId="1808EAEF">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p>
    <w:p w14:paraId="2D4561BE">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p>
    <w:p w14:paraId="3E7702C7">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r>
        <w:rPr>
          <w:rFonts w:hint="eastAsia" w:ascii="宋体" w:hAnsi="宋体"/>
          <w:b/>
          <w:sz w:val="32"/>
          <w:szCs w:val="32"/>
        </w:rPr>
        <w:t>项目名称：</w:t>
      </w:r>
      <w:r>
        <w:rPr>
          <w:rFonts w:hint="eastAsia" w:ascii="宋体" w:hAnsi="宋体"/>
          <w:b/>
          <w:sz w:val="32"/>
          <w:szCs w:val="32"/>
          <w:u w:val="single"/>
        </w:rPr>
        <w:t xml:space="preserve">                     </w:t>
      </w:r>
      <w:r>
        <w:rPr>
          <w:rFonts w:hint="eastAsia" w:ascii="宋体" w:hAnsi="宋体"/>
          <w:b/>
          <w:sz w:val="32"/>
          <w:szCs w:val="32"/>
        </w:rPr>
        <w:t xml:space="preserve"> </w:t>
      </w:r>
    </w:p>
    <w:p w14:paraId="6B3C254A">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r>
        <w:rPr>
          <w:rFonts w:hint="eastAsia" w:ascii="宋体" w:hAnsi="宋体"/>
          <w:b/>
          <w:sz w:val="32"/>
          <w:szCs w:val="32"/>
        </w:rPr>
        <w:t>项目编号：</w:t>
      </w:r>
      <w:r>
        <w:rPr>
          <w:rFonts w:hint="eastAsia" w:ascii="宋体" w:hAnsi="宋体"/>
          <w:b/>
          <w:sz w:val="32"/>
          <w:szCs w:val="32"/>
          <w:u w:val="single"/>
        </w:rPr>
        <w:t xml:space="preserve">                     </w:t>
      </w:r>
      <w:r>
        <w:rPr>
          <w:rFonts w:hint="eastAsia" w:ascii="宋体" w:hAnsi="宋体"/>
          <w:b/>
          <w:sz w:val="32"/>
          <w:szCs w:val="32"/>
        </w:rPr>
        <w:t xml:space="preserve"> </w:t>
      </w:r>
    </w:p>
    <w:p w14:paraId="124E70D8">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r>
        <w:rPr>
          <w:rFonts w:hint="eastAsia" w:ascii="宋体" w:hAnsi="宋体"/>
          <w:b/>
          <w:sz w:val="32"/>
          <w:szCs w:val="32"/>
        </w:rPr>
        <w:t>甲    方：</w:t>
      </w:r>
      <w:r>
        <w:rPr>
          <w:rFonts w:hint="eastAsia" w:ascii="宋体" w:hAnsi="宋体"/>
          <w:b/>
          <w:sz w:val="32"/>
          <w:szCs w:val="32"/>
          <w:u w:val="single"/>
        </w:rPr>
        <w:t xml:space="preserve">                     </w:t>
      </w:r>
      <w:r>
        <w:rPr>
          <w:rFonts w:hint="eastAsia" w:ascii="宋体" w:hAnsi="宋体"/>
          <w:b/>
          <w:sz w:val="32"/>
          <w:szCs w:val="32"/>
        </w:rPr>
        <w:t xml:space="preserve">  </w:t>
      </w:r>
    </w:p>
    <w:p w14:paraId="5AE57CAF">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r>
        <w:rPr>
          <w:rFonts w:hint="eastAsia" w:ascii="宋体" w:hAnsi="宋体"/>
          <w:b/>
          <w:sz w:val="32"/>
          <w:szCs w:val="32"/>
        </w:rPr>
        <w:t>乙    方：</w:t>
      </w:r>
      <w:r>
        <w:rPr>
          <w:rFonts w:hint="eastAsia" w:ascii="宋体" w:hAnsi="宋体"/>
          <w:b/>
          <w:sz w:val="32"/>
          <w:szCs w:val="32"/>
          <w:u w:val="single"/>
        </w:rPr>
        <w:t xml:space="preserve">                     </w:t>
      </w:r>
      <w:r>
        <w:rPr>
          <w:rFonts w:hint="eastAsia" w:ascii="宋体" w:hAnsi="宋体"/>
          <w:b/>
          <w:sz w:val="32"/>
          <w:szCs w:val="32"/>
        </w:rPr>
        <w:t xml:space="preserve"> </w:t>
      </w:r>
    </w:p>
    <w:p w14:paraId="7403755E">
      <w:pPr>
        <w:tabs>
          <w:tab w:val="left" w:pos="1260"/>
          <w:tab w:val="left" w:pos="1620"/>
          <w:tab w:val="left" w:pos="6840"/>
          <w:tab w:val="left" w:pos="7020"/>
          <w:tab w:val="left" w:pos="7200"/>
        </w:tabs>
        <w:adjustRightInd w:val="0"/>
        <w:spacing w:line="360" w:lineRule="auto"/>
        <w:ind w:right="-338" w:rightChars="-161" w:firstLine="1928" w:firstLineChars="600"/>
        <w:rPr>
          <w:rFonts w:hint="eastAsia" w:ascii="宋体" w:hAnsi="宋体"/>
          <w:b/>
          <w:sz w:val="32"/>
          <w:szCs w:val="32"/>
        </w:rPr>
      </w:pPr>
      <w:r>
        <w:rPr>
          <w:rFonts w:hint="eastAsia" w:ascii="宋体" w:hAnsi="宋体"/>
          <w:b/>
          <w:sz w:val="32"/>
          <w:szCs w:val="32"/>
        </w:rPr>
        <w:t>签订日期：</w:t>
      </w:r>
      <w:r>
        <w:rPr>
          <w:rFonts w:hint="eastAsia" w:ascii="宋体" w:hAnsi="宋体"/>
          <w:b/>
          <w:sz w:val="32"/>
          <w:szCs w:val="32"/>
          <w:u w:val="single"/>
        </w:rPr>
        <w:t xml:space="preserve">      </w:t>
      </w:r>
      <w:r>
        <w:rPr>
          <w:rFonts w:hint="eastAsia" w:ascii="宋体" w:hAnsi="宋体"/>
          <w:b/>
          <w:sz w:val="32"/>
          <w:szCs w:val="32"/>
        </w:rPr>
        <w:t>年</w:t>
      </w:r>
      <w:r>
        <w:rPr>
          <w:rFonts w:hint="eastAsia" w:ascii="宋体" w:hAnsi="宋体"/>
          <w:b/>
          <w:sz w:val="32"/>
          <w:szCs w:val="32"/>
          <w:u w:val="single"/>
        </w:rPr>
        <w:t xml:space="preserve">   </w:t>
      </w:r>
      <w:r>
        <w:rPr>
          <w:rFonts w:hint="eastAsia" w:ascii="宋体" w:hAnsi="宋体"/>
          <w:b/>
          <w:sz w:val="32"/>
          <w:szCs w:val="32"/>
        </w:rPr>
        <w:t xml:space="preserve"> 月</w:t>
      </w:r>
      <w:r>
        <w:rPr>
          <w:rFonts w:hint="eastAsia" w:ascii="宋体" w:hAnsi="宋体"/>
          <w:b/>
          <w:sz w:val="32"/>
          <w:szCs w:val="32"/>
          <w:u w:val="single"/>
        </w:rPr>
        <w:t xml:space="preserve">    </w:t>
      </w:r>
      <w:r>
        <w:rPr>
          <w:rFonts w:hint="eastAsia" w:ascii="宋体" w:hAnsi="宋体"/>
          <w:b/>
          <w:sz w:val="32"/>
          <w:szCs w:val="32"/>
        </w:rPr>
        <w:t>日</w:t>
      </w:r>
    </w:p>
    <w:p w14:paraId="1EE4B843">
      <w:pPr>
        <w:pStyle w:val="4"/>
      </w:pPr>
    </w:p>
    <w:p w14:paraId="50AFAB92">
      <w:pPr>
        <w:spacing w:line="360" w:lineRule="auto"/>
        <w:ind w:firstLine="1285" w:firstLineChars="400"/>
        <w:rPr>
          <w:rFonts w:ascii="宋体" w:hAnsi="宋体"/>
          <w:b/>
          <w:sz w:val="32"/>
          <w:szCs w:val="32"/>
        </w:rPr>
      </w:pPr>
    </w:p>
    <w:p w14:paraId="70F3312B">
      <w:pPr>
        <w:spacing w:line="360" w:lineRule="auto"/>
        <w:jc w:val="center"/>
        <w:rPr>
          <w:rFonts w:ascii="宋体" w:hAnsi="宋体"/>
          <w:b/>
          <w:sz w:val="32"/>
          <w:szCs w:val="32"/>
        </w:rPr>
      </w:pPr>
      <w:r>
        <w:rPr>
          <w:rFonts w:ascii="宋体" w:hAnsi="宋体"/>
          <w:b/>
          <w:sz w:val="32"/>
          <w:szCs w:val="32"/>
        </w:rPr>
        <w:br w:type="page"/>
      </w:r>
      <w:r>
        <w:rPr>
          <w:rFonts w:hint="eastAsia" w:ascii="宋体" w:hAnsi="宋体"/>
          <w:b/>
          <w:sz w:val="32"/>
          <w:szCs w:val="32"/>
        </w:rPr>
        <w:t>合同专用条款</w:t>
      </w:r>
    </w:p>
    <w:p w14:paraId="12A8FC9C">
      <w:pPr>
        <w:spacing w:line="360" w:lineRule="auto"/>
        <w:jc w:val="center"/>
        <w:rPr>
          <w:rFonts w:ascii="宋体" w:hAnsi="宋体"/>
          <w:b/>
          <w:sz w:val="32"/>
          <w:szCs w:val="32"/>
        </w:rPr>
      </w:pPr>
    </w:p>
    <w:p w14:paraId="44E969C5">
      <w:pPr>
        <w:spacing w:line="360" w:lineRule="auto"/>
        <w:ind w:firstLine="560" w:firstLineChars="200"/>
        <w:rPr>
          <w:rFonts w:hint="eastAsia" w:ascii="宋体" w:hAnsi="宋体" w:cs="宋体"/>
          <w:sz w:val="28"/>
          <w:szCs w:val="28"/>
        </w:rPr>
      </w:pPr>
      <w:r>
        <w:rPr>
          <w:rFonts w:hint="eastAsia" w:ascii="宋体" w:hAnsi="宋体" w:cs="宋体"/>
          <w:sz w:val="28"/>
          <w:szCs w:val="28"/>
          <w:u w:val="single"/>
        </w:rPr>
        <w:t xml:space="preserve">  （采购人名称）   </w:t>
      </w:r>
      <w:r>
        <w:rPr>
          <w:rFonts w:hint="eastAsia" w:ascii="宋体" w:hAnsi="宋体" w:cs="宋体"/>
          <w:sz w:val="28"/>
          <w:szCs w:val="28"/>
        </w:rPr>
        <w:t xml:space="preserve">以 </w:t>
      </w:r>
      <w:r>
        <w:rPr>
          <w:rFonts w:hint="eastAsia" w:ascii="宋体" w:hAnsi="宋体" w:cs="宋体"/>
          <w:sz w:val="28"/>
          <w:szCs w:val="28"/>
          <w:u w:val="single"/>
        </w:rPr>
        <w:t xml:space="preserve">  （政府采购方式）  </w:t>
      </w:r>
      <w:r>
        <w:rPr>
          <w:rFonts w:hint="eastAsia" w:ascii="宋体" w:hAnsi="宋体" w:cs="宋体"/>
          <w:sz w:val="28"/>
          <w:szCs w:val="28"/>
        </w:rPr>
        <w:t xml:space="preserve">对 </w:t>
      </w:r>
      <w:r>
        <w:rPr>
          <w:rFonts w:hint="eastAsia" w:ascii="宋体" w:hAnsi="宋体" w:cs="宋体"/>
          <w:sz w:val="28"/>
          <w:szCs w:val="28"/>
          <w:u w:val="single"/>
        </w:rPr>
        <w:t xml:space="preserve">  （同前页项目名称）</w:t>
      </w:r>
      <w:r>
        <w:rPr>
          <w:rFonts w:hint="eastAsia" w:ascii="宋体" w:hAnsi="宋体" w:cs="宋体"/>
          <w:sz w:val="28"/>
          <w:szCs w:val="28"/>
        </w:rPr>
        <w:t xml:space="preserve">   项目（项目编号：</w:t>
      </w:r>
      <w:r>
        <w:rPr>
          <w:rFonts w:hint="eastAsia" w:ascii="宋体" w:hAnsi="宋体" w:cs="宋体"/>
          <w:sz w:val="28"/>
          <w:szCs w:val="28"/>
          <w:u w:val="single"/>
        </w:rPr>
        <w:t xml:space="preserve">       </w:t>
      </w:r>
      <w:r>
        <w:rPr>
          <w:rFonts w:hint="eastAsia" w:ascii="宋体" w:hAnsi="宋体" w:cs="宋体"/>
          <w:sz w:val="28"/>
          <w:szCs w:val="28"/>
        </w:rPr>
        <w:t>）进行了采购，</w:t>
      </w:r>
      <w:r>
        <w:rPr>
          <w:rFonts w:hint="eastAsia" w:ascii="宋体" w:hAnsi="宋体" w:cs="宋体"/>
          <w:sz w:val="28"/>
          <w:szCs w:val="28"/>
          <w:u w:val="single"/>
        </w:rPr>
        <w:t xml:space="preserve">   （中标供应商名称）</w:t>
      </w:r>
      <w:r>
        <w:rPr>
          <w:rFonts w:hint="eastAsia" w:ascii="宋体" w:hAnsi="宋体" w:cs="宋体"/>
          <w:sz w:val="28"/>
          <w:szCs w:val="28"/>
        </w:rPr>
        <w:t>为该项目中标供应商。</w:t>
      </w:r>
    </w:p>
    <w:p w14:paraId="072D893E">
      <w:pPr>
        <w:spacing w:line="360" w:lineRule="auto"/>
        <w:ind w:firstLine="560" w:firstLineChars="200"/>
        <w:rPr>
          <w:rFonts w:hint="eastAsia" w:ascii="宋体" w:hAnsi="宋体" w:cs="宋体"/>
          <w:sz w:val="28"/>
          <w:szCs w:val="28"/>
        </w:rPr>
      </w:pPr>
      <w:r>
        <w:rPr>
          <w:rFonts w:hint="eastAsia" w:ascii="宋体" w:hAnsi="宋体" w:cs="宋体"/>
          <w:sz w:val="28"/>
          <w:szCs w:val="28"/>
          <w:u w:val="single"/>
        </w:rPr>
        <w:t xml:space="preserve">（采购人名称）  </w:t>
      </w:r>
      <w:r>
        <w:rPr>
          <w:rFonts w:hint="eastAsia" w:ascii="宋体" w:hAnsi="宋体" w:cs="宋体"/>
          <w:sz w:val="28"/>
          <w:szCs w:val="28"/>
          <w:lang w:val="zh-CN"/>
        </w:rPr>
        <w:t>(以下简称：甲方)</w:t>
      </w:r>
      <w:r>
        <w:rPr>
          <w:rFonts w:hint="eastAsia" w:ascii="宋体" w:hAnsi="宋体" w:cs="宋体"/>
          <w:sz w:val="28"/>
          <w:szCs w:val="28"/>
        </w:rPr>
        <w:t xml:space="preserve">和 </w:t>
      </w:r>
      <w:r>
        <w:rPr>
          <w:rFonts w:hint="eastAsia" w:ascii="宋体" w:hAnsi="宋体" w:cs="宋体"/>
          <w:sz w:val="28"/>
          <w:szCs w:val="28"/>
          <w:u w:val="single"/>
        </w:rPr>
        <w:t xml:space="preserve"> （中标供应商名称）   </w:t>
      </w:r>
      <w:r>
        <w:rPr>
          <w:rFonts w:hint="eastAsia" w:ascii="宋体" w:hAnsi="宋体" w:cs="宋体"/>
          <w:sz w:val="28"/>
          <w:szCs w:val="28"/>
          <w:lang w:val="zh-CN"/>
        </w:rPr>
        <w:t>(以下简称：乙方)</w:t>
      </w:r>
      <w:r>
        <w:rPr>
          <w:rFonts w:hint="eastAsia" w:ascii="宋体" w:hAnsi="宋体" w:cs="宋体"/>
          <w:sz w:val="28"/>
          <w:szCs w:val="28"/>
        </w:rPr>
        <w:t>根据《中华人民共和国民法典》、</w:t>
      </w:r>
      <w:r>
        <w:rPr>
          <w:rFonts w:hint="eastAsia" w:ascii="宋体" w:hAnsi="宋体" w:cs="宋体"/>
          <w:sz w:val="28"/>
          <w:szCs w:val="28"/>
          <w:lang w:val="zh-CN"/>
        </w:rPr>
        <w:t>《中华人民共和国政府采购法》等相</w:t>
      </w:r>
      <w:r>
        <w:rPr>
          <w:rFonts w:hint="eastAsia" w:ascii="宋体" w:hAnsi="宋体" w:cs="宋体"/>
          <w:sz w:val="28"/>
          <w:szCs w:val="28"/>
        </w:rPr>
        <w:t>关法律法规，遵循平等、自愿、公平和诚实信用原则，同意按照下面的条款和条件订立本政府采购合同，共同信守。</w:t>
      </w:r>
    </w:p>
    <w:p w14:paraId="5FFF9264">
      <w:pPr>
        <w:spacing w:before="120" w:beforeLines="50" w:line="360" w:lineRule="auto"/>
        <w:ind w:firstLine="562" w:firstLineChars="200"/>
        <w:jc w:val="left"/>
        <w:outlineLvl w:val="0"/>
        <w:rPr>
          <w:rFonts w:ascii="宋体" w:hAnsi="宋体" w:cs="宋体"/>
          <w:b/>
          <w:sz w:val="28"/>
          <w:szCs w:val="28"/>
        </w:rPr>
      </w:pPr>
      <w:r>
        <w:rPr>
          <w:rFonts w:hint="eastAsia" w:ascii="宋体" w:hAnsi="宋体" w:cs="宋体"/>
          <w:b/>
          <w:sz w:val="28"/>
          <w:szCs w:val="28"/>
        </w:rPr>
        <w:t>一、政府采购合同文件</w:t>
      </w:r>
    </w:p>
    <w:p w14:paraId="33F1D6C8">
      <w:pPr>
        <w:spacing w:line="360" w:lineRule="auto"/>
        <w:jc w:val="left"/>
        <w:rPr>
          <w:rFonts w:ascii="宋体" w:hAnsi="宋体" w:cs="宋体"/>
          <w:sz w:val="28"/>
          <w:szCs w:val="28"/>
        </w:rPr>
      </w:pPr>
      <w:r>
        <w:rPr>
          <w:rFonts w:hint="eastAsia" w:ascii="宋体" w:hAnsi="宋体" w:cs="宋体"/>
          <w:sz w:val="28"/>
          <w:szCs w:val="28"/>
        </w:rPr>
        <w:t xml:space="preserve">    本政府采购合同所附下列文件是构成本政府采购合同不可分割的部分：</w:t>
      </w:r>
    </w:p>
    <w:p w14:paraId="4B053254">
      <w:p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1.招标文件（含澄清或者修改文件）；</w:t>
      </w:r>
    </w:p>
    <w:p w14:paraId="01741B57">
      <w:p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2.招标文件的更正公告、变更公告；</w:t>
      </w:r>
    </w:p>
    <w:p w14:paraId="167A2B43">
      <w:p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3.乙方提交的投标文件（含澄清或者说明文件）；</w:t>
      </w:r>
    </w:p>
    <w:p w14:paraId="659C570D">
      <w:p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4.政府采购合同条款；</w:t>
      </w:r>
    </w:p>
    <w:p w14:paraId="62A560CB">
      <w:p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5.中标通知书；</w:t>
      </w:r>
    </w:p>
    <w:p w14:paraId="3B6E830F">
      <w:p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6.政府采购合同的其它附件。</w:t>
      </w:r>
    </w:p>
    <w:p w14:paraId="2B102114">
      <w:pPr>
        <w:spacing w:before="120" w:beforeLines="50" w:line="360" w:lineRule="auto"/>
        <w:ind w:firstLine="562" w:firstLineChars="200"/>
        <w:jc w:val="left"/>
        <w:outlineLvl w:val="0"/>
        <w:rPr>
          <w:rFonts w:ascii="宋体" w:hAnsi="宋体" w:cs="宋体"/>
          <w:b/>
          <w:sz w:val="28"/>
          <w:szCs w:val="28"/>
        </w:rPr>
      </w:pPr>
      <w:r>
        <w:rPr>
          <w:rFonts w:hint="eastAsia" w:ascii="宋体" w:hAnsi="宋体" w:cs="宋体"/>
          <w:b/>
          <w:sz w:val="28"/>
          <w:szCs w:val="28"/>
        </w:rPr>
        <w:t>二、政府采购合同范围和条件</w:t>
      </w:r>
    </w:p>
    <w:p w14:paraId="3495F21B">
      <w:pPr>
        <w:spacing w:line="360" w:lineRule="auto"/>
        <w:jc w:val="left"/>
        <w:rPr>
          <w:rFonts w:ascii="宋体" w:hAnsi="宋体" w:cs="宋体"/>
          <w:sz w:val="28"/>
          <w:szCs w:val="28"/>
        </w:rPr>
      </w:pPr>
      <w:r>
        <w:rPr>
          <w:rFonts w:hint="eastAsia" w:ascii="宋体" w:hAnsi="宋体" w:cs="宋体"/>
          <w:sz w:val="28"/>
          <w:szCs w:val="28"/>
        </w:rPr>
        <w:t xml:space="preserve">    本政府采购合同的范围和条件与上述政府采购合同文件的规定相一致。</w:t>
      </w:r>
    </w:p>
    <w:p w14:paraId="563111D6">
      <w:pPr>
        <w:spacing w:before="120" w:beforeLines="50" w:line="360" w:lineRule="auto"/>
        <w:ind w:firstLine="562" w:firstLineChars="200"/>
        <w:jc w:val="left"/>
        <w:outlineLvl w:val="0"/>
        <w:rPr>
          <w:rFonts w:ascii="宋体" w:hAnsi="宋体" w:cs="宋体"/>
          <w:b/>
          <w:sz w:val="28"/>
          <w:szCs w:val="28"/>
        </w:rPr>
      </w:pPr>
      <w:r>
        <w:rPr>
          <w:rFonts w:hint="eastAsia" w:ascii="宋体" w:hAnsi="宋体" w:cs="宋体"/>
          <w:b/>
          <w:sz w:val="28"/>
          <w:szCs w:val="28"/>
        </w:rPr>
        <w:t>三、政府采购合同标的</w:t>
      </w:r>
    </w:p>
    <w:p w14:paraId="24210013">
      <w:pPr>
        <w:spacing w:line="360" w:lineRule="auto"/>
        <w:jc w:val="left"/>
        <w:rPr>
          <w:rFonts w:ascii="宋体" w:hAnsi="宋体" w:cs="宋体"/>
          <w:sz w:val="24"/>
        </w:rPr>
      </w:pPr>
      <w:r>
        <w:rPr>
          <w:rFonts w:hint="eastAsia" w:ascii="宋体" w:hAnsi="宋体" w:cs="宋体"/>
          <w:sz w:val="24"/>
        </w:rPr>
        <w:t xml:space="preserve">    本政府采购合同的标的为政府采购合同服务清单(同投标文件中的开标一览表/分项报价明细表)中所列服务。</w:t>
      </w:r>
    </w:p>
    <w:tbl>
      <w:tblPr>
        <w:tblStyle w:val="5"/>
        <w:tblW w:w="0" w:type="auto"/>
        <w:jc w:val="center"/>
        <w:tblLayout w:type="fixed"/>
        <w:tblCellMar>
          <w:top w:w="0" w:type="dxa"/>
          <w:left w:w="108" w:type="dxa"/>
          <w:bottom w:w="0" w:type="dxa"/>
          <w:right w:w="108" w:type="dxa"/>
        </w:tblCellMar>
      </w:tblPr>
      <w:tblGrid>
        <w:gridCol w:w="750"/>
        <w:gridCol w:w="1523"/>
        <w:gridCol w:w="2019"/>
        <w:gridCol w:w="935"/>
        <w:gridCol w:w="1194"/>
        <w:gridCol w:w="1667"/>
        <w:gridCol w:w="1265"/>
      </w:tblGrid>
      <w:tr w14:paraId="5701B090">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noWrap w:val="0"/>
            <w:vAlign w:val="center"/>
          </w:tcPr>
          <w:p w14:paraId="7A86F3CC">
            <w:pPr>
              <w:spacing w:line="360" w:lineRule="auto"/>
              <w:jc w:val="center"/>
              <w:rPr>
                <w:rFonts w:hint="eastAsia" w:ascii="宋体" w:hAnsi="宋体" w:cs="宋体"/>
                <w:b/>
                <w:bCs/>
                <w:sz w:val="24"/>
              </w:rPr>
            </w:pPr>
            <w:r>
              <w:rPr>
                <w:rFonts w:hint="eastAsia" w:ascii="宋体" w:hAnsi="宋体" w:cs="宋体"/>
                <w:b/>
                <w:bCs/>
                <w:sz w:val="24"/>
              </w:rPr>
              <w:t>序号</w:t>
            </w:r>
          </w:p>
        </w:tc>
        <w:tc>
          <w:tcPr>
            <w:tcW w:w="1523" w:type="dxa"/>
            <w:tcBorders>
              <w:top w:val="single" w:color="auto" w:sz="4" w:space="0"/>
              <w:left w:val="single" w:color="auto" w:sz="4" w:space="0"/>
              <w:bottom w:val="single" w:color="auto" w:sz="4" w:space="0"/>
              <w:right w:val="single" w:color="auto" w:sz="4" w:space="0"/>
            </w:tcBorders>
            <w:noWrap w:val="0"/>
            <w:vAlign w:val="center"/>
          </w:tcPr>
          <w:p w14:paraId="46EE3DC5">
            <w:pPr>
              <w:spacing w:line="360" w:lineRule="auto"/>
              <w:jc w:val="center"/>
              <w:rPr>
                <w:rFonts w:hint="eastAsia" w:ascii="宋体" w:hAnsi="宋体" w:cs="宋体"/>
                <w:b/>
                <w:bCs/>
                <w:sz w:val="24"/>
              </w:rPr>
            </w:pPr>
            <w:r>
              <w:rPr>
                <w:rFonts w:hint="eastAsia" w:ascii="宋体" w:hAnsi="宋体" w:cs="宋体"/>
                <w:b/>
                <w:bCs/>
                <w:sz w:val="24"/>
              </w:rPr>
              <w:t>服</w:t>
            </w:r>
            <w:r>
              <w:rPr>
                <w:rFonts w:ascii="宋体" w:hAnsi="宋体" w:cs="宋体"/>
                <w:b/>
                <w:bCs/>
                <w:sz w:val="24"/>
              </w:rPr>
              <w:t>务</w:t>
            </w:r>
            <w:r>
              <w:rPr>
                <w:rFonts w:hint="eastAsia" w:ascii="宋体" w:hAnsi="宋体" w:cs="宋体"/>
                <w:b/>
                <w:bCs/>
                <w:sz w:val="24"/>
              </w:rPr>
              <w:t>名称</w:t>
            </w:r>
          </w:p>
        </w:tc>
        <w:tc>
          <w:tcPr>
            <w:tcW w:w="2019" w:type="dxa"/>
            <w:tcBorders>
              <w:top w:val="single" w:color="auto" w:sz="4" w:space="0"/>
              <w:left w:val="single" w:color="auto" w:sz="4" w:space="0"/>
              <w:bottom w:val="single" w:color="auto" w:sz="4" w:space="0"/>
              <w:right w:val="single" w:color="auto" w:sz="4" w:space="0"/>
            </w:tcBorders>
            <w:noWrap w:val="0"/>
            <w:vAlign w:val="center"/>
          </w:tcPr>
          <w:p w14:paraId="56026260">
            <w:pPr>
              <w:spacing w:line="360" w:lineRule="auto"/>
              <w:jc w:val="center"/>
              <w:rPr>
                <w:rFonts w:hint="eastAsia" w:ascii="宋体" w:hAnsi="宋体" w:cs="宋体"/>
                <w:b/>
                <w:bCs/>
                <w:sz w:val="24"/>
              </w:rPr>
            </w:pPr>
            <w:r>
              <w:rPr>
                <w:rFonts w:hint="eastAsia" w:ascii="宋体" w:hAnsi="宋体" w:cs="宋体"/>
                <w:b/>
                <w:bCs/>
                <w:sz w:val="24"/>
              </w:rPr>
              <w:t>服务要求</w:t>
            </w:r>
          </w:p>
        </w:tc>
        <w:tc>
          <w:tcPr>
            <w:tcW w:w="935" w:type="dxa"/>
            <w:tcBorders>
              <w:top w:val="single" w:color="auto" w:sz="4" w:space="0"/>
              <w:left w:val="single" w:color="auto" w:sz="4" w:space="0"/>
              <w:bottom w:val="single" w:color="auto" w:sz="4" w:space="0"/>
              <w:right w:val="single" w:color="auto" w:sz="4" w:space="0"/>
            </w:tcBorders>
            <w:noWrap w:val="0"/>
            <w:vAlign w:val="center"/>
          </w:tcPr>
          <w:p w14:paraId="3CB971FA">
            <w:pPr>
              <w:spacing w:line="360" w:lineRule="auto"/>
              <w:jc w:val="center"/>
              <w:rPr>
                <w:rFonts w:ascii="宋体" w:hAnsi="宋体" w:cs="宋体"/>
                <w:b/>
                <w:bCs/>
                <w:sz w:val="24"/>
              </w:rPr>
            </w:pPr>
            <w:r>
              <w:rPr>
                <w:rFonts w:hint="eastAsia" w:ascii="宋体" w:hAnsi="宋体" w:cs="宋体"/>
                <w:b/>
                <w:bCs/>
                <w:sz w:val="24"/>
              </w:rPr>
              <w:t>数量/单位</w:t>
            </w:r>
          </w:p>
        </w:tc>
        <w:tc>
          <w:tcPr>
            <w:tcW w:w="1194" w:type="dxa"/>
            <w:tcBorders>
              <w:top w:val="single" w:color="auto" w:sz="4" w:space="0"/>
              <w:left w:val="single" w:color="auto" w:sz="4" w:space="0"/>
              <w:bottom w:val="single" w:color="auto" w:sz="4" w:space="0"/>
              <w:right w:val="single" w:color="auto" w:sz="4" w:space="0"/>
            </w:tcBorders>
            <w:noWrap w:val="0"/>
            <w:vAlign w:val="center"/>
          </w:tcPr>
          <w:p w14:paraId="5E67C9C0">
            <w:pPr>
              <w:spacing w:line="360" w:lineRule="auto"/>
              <w:jc w:val="center"/>
              <w:rPr>
                <w:rFonts w:hint="eastAsia" w:ascii="宋体" w:hAnsi="宋体" w:cs="宋体"/>
                <w:b/>
                <w:bCs/>
                <w:sz w:val="24"/>
              </w:rPr>
            </w:pPr>
            <w:r>
              <w:rPr>
                <w:rFonts w:hint="eastAsia" w:ascii="宋体" w:hAnsi="宋体" w:cs="宋体"/>
                <w:b/>
                <w:bCs/>
                <w:sz w:val="24"/>
              </w:rPr>
              <w:t>单价</w:t>
            </w:r>
          </w:p>
          <w:p w14:paraId="429F5FBD">
            <w:pPr>
              <w:spacing w:line="360" w:lineRule="auto"/>
              <w:jc w:val="center"/>
              <w:rPr>
                <w:rFonts w:hint="eastAsia" w:ascii="宋体" w:hAnsi="宋体" w:cs="宋体"/>
                <w:b/>
                <w:bCs/>
                <w:sz w:val="24"/>
              </w:rPr>
            </w:pPr>
            <w:r>
              <w:rPr>
                <w:rFonts w:hint="eastAsia" w:ascii="宋体" w:hAnsi="宋体" w:cs="宋体"/>
                <w:b/>
                <w:bCs/>
                <w:sz w:val="24"/>
              </w:rPr>
              <w:t>（元）</w:t>
            </w:r>
          </w:p>
        </w:tc>
        <w:tc>
          <w:tcPr>
            <w:tcW w:w="1667" w:type="dxa"/>
            <w:tcBorders>
              <w:top w:val="single" w:color="auto" w:sz="4" w:space="0"/>
              <w:left w:val="single" w:color="auto" w:sz="4" w:space="0"/>
              <w:bottom w:val="single" w:color="auto" w:sz="4" w:space="0"/>
              <w:right w:val="single" w:color="auto" w:sz="4" w:space="0"/>
            </w:tcBorders>
            <w:noWrap w:val="0"/>
            <w:vAlign w:val="center"/>
          </w:tcPr>
          <w:p w14:paraId="4BF00E92">
            <w:pPr>
              <w:spacing w:line="360" w:lineRule="auto"/>
              <w:jc w:val="center"/>
              <w:rPr>
                <w:rFonts w:hint="eastAsia" w:ascii="宋体" w:hAnsi="宋体" w:cs="宋体"/>
                <w:b/>
                <w:bCs/>
                <w:sz w:val="24"/>
              </w:rPr>
            </w:pPr>
            <w:r>
              <w:rPr>
                <w:rFonts w:hint="eastAsia" w:ascii="宋体" w:hAnsi="宋体" w:cs="宋体"/>
                <w:b/>
                <w:bCs/>
                <w:sz w:val="24"/>
              </w:rPr>
              <w:t>单项总价</w:t>
            </w:r>
          </w:p>
          <w:p w14:paraId="5B247BD4">
            <w:pPr>
              <w:spacing w:line="360" w:lineRule="auto"/>
              <w:jc w:val="center"/>
              <w:rPr>
                <w:rFonts w:hint="eastAsia" w:ascii="宋体" w:hAnsi="宋体" w:cs="宋体"/>
                <w:b/>
                <w:bCs/>
                <w:sz w:val="24"/>
              </w:rPr>
            </w:pPr>
            <w:r>
              <w:rPr>
                <w:rFonts w:hint="eastAsia" w:ascii="宋体" w:hAnsi="宋体" w:cs="宋体"/>
                <w:b/>
                <w:bCs/>
                <w:sz w:val="24"/>
              </w:rPr>
              <w:t>(元)</w:t>
            </w:r>
          </w:p>
        </w:tc>
        <w:tc>
          <w:tcPr>
            <w:tcW w:w="1265" w:type="dxa"/>
            <w:tcBorders>
              <w:top w:val="single" w:color="auto" w:sz="4" w:space="0"/>
              <w:left w:val="single" w:color="auto" w:sz="4" w:space="0"/>
              <w:bottom w:val="single" w:color="auto" w:sz="4" w:space="0"/>
              <w:right w:val="single" w:color="auto" w:sz="4" w:space="0"/>
            </w:tcBorders>
            <w:noWrap w:val="0"/>
            <w:vAlign w:val="center"/>
          </w:tcPr>
          <w:p w14:paraId="7D87D302">
            <w:pPr>
              <w:spacing w:line="360" w:lineRule="auto"/>
              <w:jc w:val="center"/>
              <w:rPr>
                <w:rFonts w:hint="eastAsia" w:ascii="宋体" w:hAnsi="宋体" w:cs="宋体"/>
                <w:b/>
                <w:bCs/>
                <w:sz w:val="24"/>
              </w:rPr>
            </w:pPr>
            <w:r>
              <w:rPr>
                <w:rFonts w:hint="eastAsia" w:ascii="宋体" w:hAnsi="宋体" w:cs="宋体"/>
                <w:b/>
                <w:bCs/>
                <w:sz w:val="24"/>
              </w:rPr>
              <w:t>备注</w:t>
            </w:r>
          </w:p>
        </w:tc>
      </w:tr>
      <w:tr w14:paraId="0A924E16">
        <w:tblPrEx>
          <w:tblCellMar>
            <w:top w:w="0" w:type="dxa"/>
            <w:left w:w="108" w:type="dxa"/>
            <w:bottom w:w="0" w:type="dxa"/>
            <w:right w:w="108" w:type="dxa"/>
          </w:tblCellMar>
        </w:tblPrEx>
        <w:trPr>
          <w:trHeight w:val="90"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42B7ACFF">
            <w:pPr>
              <w:spacing w:line="360" w:lineRule="auto"/>
              <w:jc w:val="left"/>
              <w:rPr>
                <w:rFonts w:hint="eastAsia" w:ascii="宋体" w:hAnsi="宋体" w:cs="宋体"/>
                <w:sz w:val="24"/>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14B4446">
            <w:pPr>
              <w:spacing w:line="360" w:lineRule="auto"/>
              <w:jc w:val="left"/>
              <w:rPr>
                <w:rFonts w:hint="eastAsia" w:ascii="宋体" w:hAnsi="宋体" w:cs="宋体"/>
                <w:sz w:val="24"/>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5BEFEEE">
            <w:pPr>
              <w:spacing w:line="360" w:lineRule="auto"/>
              <w:jc w:val="left"/>
              <w:rPr>
                <w:rFonts w:hint="eastAsia" w:ascii="宋体" w:hAnsi="宋体" w:cs="宋体"/>
                <w:sz w:val="24"/>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78EB838">
            <w:pPr>
              <w:spacing w:line="360" w:lineRule="auto"/>
              <w:jc w:val="left"/>
              <w:rPr>
                <w:rFonts w:hint="eastAsia" w:ascii="宋体" w:hAnsi="宋体" w:cs="宋体"/>
                <w:sz w:val="24"/>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8B724E5">
            <w:pPr>
              <w:spacing w:line="360" w:lineRule="auto"/>
              <w:jc w:val="left"/>
              <w:rPr>
                <w:rFonts w:hint="eastAsia" w:ascii="宋体" w:hAnsi="宋体" w:cs="宋体"/>
                <w:sz w:val="24"/>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BB0E5D5">
            <w:pPr>
              <w:spacing w:line="360" w:lineRule="auto"/>
              <w:jc w:val="left"/>
              <w:rPr>
                <w:rFonts w:hint="eastAsia" w:ascii="宋体" w:hAnsi="宋体" w:cs="宋体"/>
                <w:sz w:val="24"/>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A647867">
            <w:pPr>
              <w:spacing w:line="360" w:lineRule="auto"/>
              <w:jc w:val="left"/>
              <w:rPr>
                <w:rFonts w:hint="eastAsia" w:ascii="宋体" w:hAnsi="宋体" w:cs="宋体"/>
                <w:sz w:val="24"/>
              </w:rPr>
            </w:pPr>
          </w:p>
        </w:tc>
      </w:tr>
      <w:tr w14:paraId="2C9EFE9E">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3F3BE07E">
            <w:pPr>
              <w:spacing w:line="360" w:lineRule="auto"/>
              <w:jc w:val="left"/>
              <w:rPr>
                <w:rFonts w:hint="eastAsia" w:ascii="宋体" w:hAnsi="宋体" w:cs="宋体"/>
                <w:sz w:val="24"/>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1732DD4">
            <w:pPr>
              <w:spacing w:line="360" w:lineRule="auto"/>
              <w:jc w:val="left"/>
              <w:rPr>
                <w:rFonts w:hint="eastAsia" w:ascii="宋体" w:hAnsi="宋体" w:cs="宋体"/>
                <w:sz w:val="24"/>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AAB92A4">
            <w:pPr>
              <w:spacing w:line="360" w:lineRule="auto"/>
              <w:jc w:val="left"/>
              <w:rPr>
                <w:rFonts w:hint="eastAsia" w:ascii="宋体" w:hAnsi="宋体" w:cs="宋体"/>
                <w:sz w:val="24"/>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EF055BC">
            <w:pPr>
              <w:spacing w:line="360" w:lineRule="auto"/>
              <w:jc w:val="left"/>
              <w:rPr>
                <w:rFonts w:hint="eastAsia" w:ascii="宋体" w:hAnsi="宋体" w:cs="宋体"/>
                <w:sz w:val="24"/>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A841EEC">
            <w:pPr>
              <w:spacing w:line="360" w:lineRule="auto"/>
              <w:jc w:val="left"/>
              <w:rPr>
                <w:rFonts w:hint="eastAsia" w:ascii="宋体" w:hAnsi="宋体" w:cs="宋体"/>
                <w:sz w:val="24"/>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A558C49">
            <w:pPr>
              <w:spacing w:line="360" w:lineRule="auto"/>
              <w:jc w:val="left"/>
              <w:rPr>
                <w:rFonts w:hint="eastAsia" w:ascii="宋体" w:hAnsi="宋体" w:cs="宋体"/>
                <w:sz w:val="24"/>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8D795BC">
            <w:pPr>
              <w:spacing w:line="360" w:lineRule="auto"/>
              <w:jc w:val="left"/>
              <w:rPr>
                <w:rFonts w:hint="eastAsia" w:ascii="宋体" w:hAnsi="宋体" w:cs="宋体"/>
                <w:sz w:val="24"/>
              </w:rPr>
            </w:pPr>
          </w:p>
        </w:tc>
      </w:tr>
      <w:tr w14:paraId="571D080C">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0FAB6160">
            <w:pPr>
              <w:spacing w:line="360" w:lineRule="auto"/>
              <w:jc w:val="left"/>
              <w:rPr>
                <w:rFonts w:hint="eastAsia" w:ascii="宋体" w:hAnsi="宋体" w:cs="宋体"/>
                <w:sz w:val="24"/>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681E138">
            <w:pPr>
              <w:spacing w:line="360" w:lineRule="auto"/>
              <w:jc w:val="left"/>
              <w:rPr>
                <w:rFonts w:hint="eastAsia" w:ascii="宋体" w:hAnsi="宋体" w:cs="宋体"/>
                <w:sz w:val="24"/>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6D14365">
            <w:pPr>
              <w:spacing w:line="360" w:lineRule="auto"/>
              <w:jc w:val="left"/>
              <w:rPr>
                <w:rFonts w:hint="eastAsia" w:ascii="宋体" w:hAnsi="宋体" w:cs="宋体"/>
                <w:sz w:val="24"/>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0FC262F4">
            <w:pPr>
              <w:spacing w:line="360" w:lineRule="auto"/>
              <w:jc w:val="left"/>
              <w:rPr>
                <w:rFonts w:hint="eastAsia" w:ascii="宋体" w:hAnsi="宋体" w:cs="宋体"/>
                <w:sz w:val="24"/>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DC1E36D">
            <w:pPr>
              <w:spacing w:line="360" w:lineRule="auto"/>
              <w:jc w:val="left"/>
              <w:rPr>
                <w:rFonts w:hint="eastAsia" w:ascii="宋体" w:hAnsi="宋体" w:cs="宋体"/>
                <w:sz w:val="24"/>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ECA87A0">
            <w:pPr>
              <w:spacing w:line="360" w:lineRule="auto"/>
              <w:jc w:val="left"/>
              <w:rPr>
                <w:rFonts w:hint="eastAsia" w:ascii="宋体" w:hAnsi="宋体" w:cs="宋体"/>
                <w:sz w:val="24"/>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C77DDE1">
            <w:pPr>
              <w:spacing w:line="360" w:lineRule="auto"/>
              <w:jc w:val="left"/>
              <w:rPr>
                <w:rFonts w:hint="eastAsia" w:ascii="宋体" w:hAnsi="宋体" w:cs="宋体"/>
                <w:sz w:val="24"/>
              </w:rPr>
            </w:pPr>
          </w:p>
        </w:tc>
      </w:tr>
      <w:tr w14:paraId="5378978E">
        <w:tblPrEx>
          <w:tblCellMar>
            <w:top w:w="0" w:type="dxa"/>
            <w:left w:w="108" w:type="dxa"/>
            <w:bottom w:w="0" w:type="dxa"/>
            <w:right w:w="108" w:type="dxa"/>
          </w:tblCellMar>
        </w:tblPrEx>
        <w:trPr>
          <w:trHeight w:val="393" w:hRule="atLeast"/>
          <w:jc w:val="center"/>
        </w:trPr>
        <w:tc>
          <w:tcPr>
            <w:tcW w:w="750" w:type="dxa"/>
            <w:tcBorders>
              <w:top w:val="single" w:color="auto" w:sz="4" w:space="0"/>
              <w:left w:val="single" w:color="auto" w:sz="4" w:space="0"/>
              <w:bottom w:val="single" w:color="auto" w:sz="4" w:space="0"/>
              <w:right w:val="single" w:color="auto" w:sz="4" w:space="0"/>
            </w:tcBorders>
            <w:shd w:val="clear" w:color="auto" w:fill="auto"/>
            <w:noWrap w:val="0"/>
            <w:vAlign w:val="center"/>
          </w:tcPr>
          <w:p w14:paraId="1FFD9106">
            <w:pPr>
              <w:spacing w:line="360" w:lineRule="auto"/>
              <w:jc w:val="left"/>
              <w:rPr>
                <w:rFonts w:hint="eastAsia" w:ascii="宋体" w:hAnsi="宋体" w:cs="宋体"/>
                <w:sz w:val="24"/>
              </w:rPr>
            </w:pPr>
          </w:p>
        </w:tc>
        <w:tc>
          <w:tcPr>
            <w:tcW w:w="1523"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67E8F39">
            <w:pPr>
              <w:spacing w:line="360" w:lineRule="auto"/>
              <w:jc w:val="left"/>
              <w:rPr>
                <w:rFonts w:hint="eastAsia" w:ascii="宋体" w:hAnsi="宋体" w:cs="宋体"/>
                <w:sz w:val="24"/>
              </w:rPr>
            </w:pPr>
          </w:p>
        </w:tc>
        <w:tc>
          <w:tcPr>
            <w:tcW w:w="2019"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0CA3FE0">
            <w:pPr>
              <w:spacing w:line="360" w:lineRule="auto"/>
              <w:jc w:val="left"/>
              <w:rPr>
                <w:rFonts w:hint="eastAsia" w:ascii="宋体" w:hAnsi="宋体" w:cs="宋体"/>
                <w:sz w:val="24"/>
              </w:rPr>
            </w:pPr>
          </w:p>
        </w:tc>
        <w:tc>
          <w:tcPr>
            <w:tcW w:w="93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22F380A">
            <w:pPr>
              <w:spacing w:line="360" w:lineRule="auto"/>
              <w:jc w:val="left"/>
              <w:rPr>
                <w:rFonts w:hint="eastAsia" w:ascii="宋体" w:hAnsi="宋体" w:cs="宋体"/>
                <w:sz w:val="24"/>
              </w:rPr>
            </w:pPr>
          </w:p>
        </w:tc>
        <w:tc>
          <w:tcPr>
            <w:tcW w:w="1194"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6BB7416">
            <w:pPr>
              <w:spacing w:line="360" w:lineRule="auto"/>
              <w:jc w:val="left"/>
              <w:rPr>
                <w:rFonts w:hint="eastAsia" w:ascii="宋体" w:hAnsi="宋体" w:cs="宋体"/>
                <w:sz w:val="24"/>
              </w:rPr>
            </w:pP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0067809">
            <w:pPr>
              <w:spacing w:line="360" w:lineRule="auto"/>
              <w:jc w:val="left"/>
              <w:rPr>
                <w:rFonts w:hint="eastAsia" w:ascii="宋体" w:hAnsi="宋体" w:cs="宋体"/>
                <w:sz w:val="24"/>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7501BAA">
            <w:pPr>
              <w:spacing w:line="360" w:lineRule="auto"/>
              <w:jc w:val="left"/>
              <w:rPr>
                <w:rFonts w:hint="eastAsia" w:ascii="宋体" w:hAnsi="宋体" w:cs="宋体"/>
                <w:sz w:val="24"/>
              </w:rPr>
            </w:pPr>
          </w:p>
        </w:tc>
      </w:tr>
      <w:tr w14:paraId="385B6B73">
        <w:tblPrEx>
          <w:tblCellMar>
            <w:top w:w="0" w:type="dxa"/>
            <w:left w:w="108" w:type="dxa"/>
            <w:bottom w:w="0" w:type="dxa"/>
            <w:right w:w="108" w:type="dxa"/>
          </w:tblCellMar>
        </w:tblPrEx>
        <w:trPr>
          <w:trHeight w:val="521" w:hRule="atLeast"/>
          <w:jc w:val="center"/>
        </w:trPr>
        <w:tc>
          <w:tcPr>
            <w:tcW w:w="6421" w:type="dxa"/>
            <w:gridSpan w:val="5"/>
            <w:tcBorders>
              <w:top w:val="single" w:color="auto" w:sz="4" w:space="0"/>
              <w:left w:val="single" w:color="auto" w:sz="4" w:space="0"/>
              <w:bottom w:val="single" w:color="auto" w:sz="4" w:space="0"/>
              <w:right w:val="single" w:color="auto" w:sz="4" w:space="0"/>
            </w:tcBorders>
            <w:shd w:val="clear" w:color="auto" w:fill="auto"/>
            <w:noWrap w:val="0"/>
            <w:vAlign w:val="center"/>
          </w:tcPr>
          <w:p w14:paraId="77669C09">
            <w:pPr>
              <w:spacing w:line="360" w:lineRule="auto"/>
              <w:jc w:val="center"/>
              <w:rPr>
                <w:rFonts w:hint="eastAsia" w:ascii="宋体" w:hAnsi="宋体" w:cs="宋体"/>
                <w:sz w:val="24"/>
              </w:rPr>
            </w:pPr>
            <w:r>
              <w:rPr>
                <w:rFonts w:hint="eastAsia" w:ascii="宋体" w:hAnsi="宋体" w:cs="宋体"/>
                <w:sz w:val="24"/>
              </w:rPr>
              <w:t>总       价</w:t>
            </w:r>
          </w:p>
        </w:tc>
        <w:tc>
          <w:tcPr>
            <w:tcW w:w="1667"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57AB6A00">
            <w:pPr>
              <w:spacing w:line="360" w:lineRule="auto"/>
              <w:jc w:val="left"/>
              <w:rPr>
                <w:rFonts w:hint="eastAsia" w:ascii="宋体" w:hAnsi="宋体" w:cs="宋体"/>
                <w:sz w:val="24"/>
              </w:rPr>
            </w:pPr>
          </w:p>
        </w:tc>
        <w:tc>
          <w:tcPr>
            <w:tcW w:w="1265"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6E3714D6">
            <w:pPr>
              <w:spacing w:line="360" w:lineRule="auto"/>
              <w:jc w:val="left"/>
              <w:rPr>
                <w:rFonts w:hint="eastAsia" w:ascii="宋体" w:hAnsi="宋体" w:cs="宋体"/>
                <w:sz w:val="24"/>
              </w:rPr>
            </w:pPr>
          </w:p>
        </w:tc>
      </w:tr>
    </w:tbl>
    <w:p w14:paraId="003566E7">
      <w:pPr>
        <w:spacing w:before="120" w:beforeLines="50" w:line="360" w:lineRule="auto"/>
        <w:ind w:firstLine="562" w:firstLineChars="200"/>
        <w:jc w:val="left"/>
        <w:outlineLvl w:val="0"/>
        <w:rPr>
          <w:rFonts w:ascii="宋体" w:hAnsi="宋体" w:cs="宋体"/>
          <w:b/>
          <w:sz w:val="28"/>
          <w:szCs w:val="28"/>
        </w:rPr>
      </w:pPr>
      <w:r>
        <w:rPr>
          <w:rFonts w:hint="eastAsia" w:ascii="宋体" w:hAnsi="宋体" w:cs="宋体"/>
          <w:b/>
          <w:sz w:val="28"/>
          <w:szCs w:val="28"/>
        </w:rPr>
        <w:t>四、政府采购合同金额</w:t>
      </w:r>
    </w:p>
    <w:p w14:paraId="53EAE547">
      <w:pPr>
        <w:spacing w:line="360" w:lineRule="auto"/>
        <w:jc w:val="left"/>
        <w:rPr>
          <w:rFonts w:hint="eastAsia" w:ascii="宋体" w:hAnsi="宋体" w:cs="宋体"/>
          <w:b/>
          <w:sz w:val="28"/>
          <w:szCs w:val="28"/>
        </w:rPr>
      </w:pPr>
      <w:r>
        <w:rPr>
          <w:rFonts w:hint="eastAsia" w:ascii="宋体" w:hAnsi="宋体" w:cs="宋体"/>
          <w:sz w:val="28"/>
          <w:szCs w:val="28"/>
        </w:rPr>
        <w:t xml:space="preserve">    根据上述政府采购合同文件要求，政府采购合同的总金额为人民币</w:t>
      </w:r>
      <w:r>
        <w:rPr>
          <w:rFonts w:hint="eastAsia" w:ascii="宋体" w:hAnsi="宋体" w:cs="宋体"/>
          <w:sz w:val="28"/>
          <w:szCs w:val="28"/>
          <w:u w:val="single"/>
        </w:rPr>
        <w:t xml:space="preserve">(大写)             </w:t>
      </w:r>
      <w:r>
        <w:rPr>
          <w:rFonts w:hint="eastAsia" w:ascii="宋体" w:hAnsi="宋体" w:cs="宋体"/>
          <w:sz w:val="28"/>
          <w:szCs w:val="28"/>
        </w:rPr>
        <w:t>，小写：</w:t>
      </w:r>
      <w:r>
        <w:rPr>
          <w:rFonts w:hint="eastAsia" w:ascii="宋体" w:hAnsi="宋体" w:cs="宋体"/>
          <w:sz w:val="28"/>
          <w:szCs w:val="28"/>
          <w:u w:val="single"/>
        </w:rPr>
        <w:t xml:space="preserve">       </w:t>
      </w:r>
      <w:r>
        <w:rPr>
          <w:rFonts w:hint="eastAsia" w:ascii="宋体" w:hAnsi="宋体" w:cs="宋体"/>
          <w:sz w:val="28"/>
          <w:szCs w:val="28"/>
        </w:rPr>
        <w:t>元。 （此合同价指验收合格并将货物送到交货地点的全部货款）</w:t>
      </w:r>
    </w:p>
    <w:p w14:paraId="1B232832">
      <w:pPr>
        <w:spacing w:line="360" w:lineRule="auto"/>
        <w:ind w:firstLine="562" w:firstLineChars="200"/>
        <w:rPr>
          <w:rFonts w:ascii="宋体" w:hAnsi="宋体" w:cs="宋体"/>
          <w:b/>
          <w:sz w:val="28"/>
          <w:szCs w:val="28"/>
        </w:rPr>
      </w:pPr>
      <w:r>
        <w:rPr>
          <w:rFonts w:hint="eastAsia" w:ascii="宋体" w:hAnsi="宋体" w:cs="宋体"/>
          <w:b/>
          <w:sz w:val="28"/>
          <w:szCs w:val="28"/>
        </w:rPr>
        <w:t>五、付款方式</w:t>
      </w:r>
    </w:p>
    <w:p w14:paraId="5F01AA01">
      <w:p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详见各</w:t>
      </w:r>
      <w:r>
        <w:rPr>
          <w:rFonts w:ascii="宋体" w:hAnsi="宋体" w:cs="宋体"/>
          <w:sz w:val="28"/>
          <w:szCs w:val="28"/>
        </w:rPr>
        <w:t>包采购需求中“</w:t>
      </w:r>
      <w:r>
        <w:rPr>
          <w:rFonts w:hint="eastAsia" w:ascii="宋体" w:hAnsi="宋体" w:cs="宋体"/>
          <w:sz w:val="28"/>
          <w:szCs w:val="28"/>
        </w:rPr>
        <w:t>采购资金的支付方式、时间、条件</w:t>
      </w:r>
      <w:r>
        <w:rPr>
          <w:rFonts w:ascii="宋体" w:hAnsi="宋体" w:cs="宋体"/>
          <w:sz w:val="28"/>
          <w:szCs w:val="28"/>
        </w:rPr>
        <w:t>”</w:t>
      </w:r>
      <w:r>
        <w:rPr>
          <w:rFonts w:hint="eastAsia" w:ascii="宋体" w:hAnsi="宋体" w:cs="宋体"/>
          <w:sz w:val="28"/>
          <w:szCs w:val="28"/>
        </w:rPr>
        <w:t>。</w:t>
      </w:r>
    </w:p>
    <w:p w14:paraId="603D4C1C">
      <w:pPr>
        <w:spacing w:before="100" w:beforeAutospacing="1" w:line="360" w:lineRule="auto"/>
        <w:ind w:firstLine="562" w:firstLineChars="200"/>
        <w:jc w:val="left"/>
        <w:outlineLvl w:val="0"/>
        <w:rPr>
          <w:rFonts w:ascii="宋体" w:hAnsi="宋体" w:cs="宋体"/>
          <w:b/>
          <w:sz w:val="28"/>
          <w:szCs w:val="28"/>
        </w:rPr>
      </w:pPr>
      <w:r>
        <w:rPr>
          <w:rFonts w:hint="eastAsia" w:ascii="宋体" w:hAnsi="宋体" w:cs="宋体"/>
          <w:b/>
          <w:sz w:val="28"/>
          <w:szCs w:val="28"/>
        </w:rPr>
        <w:t>六、服务期、服务地点</w:t>
      </w:r>
    </w:p>
    <w:p w14:paraId="3B41C14F">
      <w:pPr>
        <w:spacing w:line="360" w:lineRule="auto"/>
        <w:ind w:right="40" w:firstLine="560" w:firstLineChars="200"/>
        <w:jc w:val="left"/>
        <w:rPr>
          <w:rFonts w:hint="eastAsia" w:ascii="宋体" w:hAnsi="宋体" w:cs="宋体"/>
          <w:bCs/>
          <w:sz w:val="28"/>
          <w:szCs w:val="28"/>
        </w:rPr>
      </w:pPr>
      <w:r>
        <w:rPr>
          <w:rFonts w:hint="eastAsia" w:ascii="宋体" w:hAnsi="宋体" w:cs="宋体"/>
          <w:bCs/>
          <w:sz w:val="28"/>
          <w:szCs w:val="28"/>
        </w:rPr>
        <w:t>详</w:t>
      </w:r>
      <w:r>
        <w:rPr>
          <w:rFonts w:ascii="宋体" w:hAnsi="宋体" w:cs="宋体"/>
          <w:bCs/>
          <w:sz w:val="28"/>
          <w:szCs w:val="28"/>
        </w:rPr>
        <w:t>见各包采购</w:t>
      </w:r>
      <w:r>
        <w:rPr>
          <w:rFonts w:hint="eastAsia" w:ascii="宋体" w:hAnsi="宋体" w:cs="宋体"/>
          <w:bCs/>
          <w:sz w:val="28"/>
          <w:szCs w:val="28"/>
        </w:rPr>
        <w:t>需</w:t>
      </w:r>
      <w:r>
        <w:rPr>
          <w:rFonts w:ascii="宋体" w:hAnsi="宋体" w:cs="宋体"/>
          <w:bCs/>
          <w:sz w:val="28"/>
          <w:szCs w:val="28"/>
        </w:rPr>
        <w:t>求“</w:t>
      </w:r>
      <w:r>
        <w:rPr>
          <w:rFonts w:hint="eastAsia" w:ascii="宋体" w:hAnsi="宋体" w:cs="宋体"/>
          <w:bCs/>
          <w:sz w:val="28"/>
          <w:szCs w:val="28"/>
        </w:rPr>
        <w:t>服</w:t>
      </w:r>
      <w:r>
        <w:rPr>
          <w:rFonts w:ascii="宋体" w:hAnsi="宋体" w:cs="宋体"/>
          <w:bCs/>
          <w:sz w:val="28"/>
          <w:szCs w:val="28"/>
        </w:rPr>
        <w:t>务</w:t>
      </w:r>
      <w:r>
        <w:rPr>
          <w:rFonts w:hint="eastAsia" w:ascii="宋体" w:hAnsi="宋体" w:cs="宋体"/>
          <w:bCs/>
          <w:sz w:val="28"/>
          <w:szCs w:val="28"/>
        </w:rPr>
        <w:t>期</w:t>
      </w:r>
      <w:r>
        <w:rPr>
          <w:rFonts w:ascii="宋体" w:hAnsi="宋体" w:cs="宋体"/>
          <w:bCs/>
          <w:sz w:val="28"/>
          <w:szCs w:val="28"/>
        </w:rPr>
        <w:t>”</w:t>
      </w:r>
      <w:r>
        <w:rPr>
          <w:rFonts w:hint="eastAsia" w:ascii="宋体" w:hAnsi="宋体" w:cs="宋体"/>
          <w:bCs/>
          <w:sz w:val="28"/>
          <w:szCs w:val="28"/>
        </w:rPr>
        <w:t>、</w:t>
      </w:r>
      <w:r>
        <w:rPr>
          <w:rFonts w:ascii="宋体" w:hAnsi="宋体" w:cs="宋体"/>
          <w:bCs/>
          <w:sz w:val="28"/>
          <w:szCs w:val="28"/>
        </w:rPr>
        <w:t>“</w:t>
      </w:r>
      <w:r>
        <w:rPr>
          <w:rFonts w:hint="eastAsia" w:ascii="宋体" w:hAnsi="宋体" w:cs="宋体"/>
          <w:bCs/>
          <w:sz w:val="28"/>
          <w:szCs w:val="28"/>
        </w:rPr>
        <w:t>服</w:t>
      </w:r>
      <w:r>
        <w:rPr>
          <w:rFonts w:ascii="宋体" w:hAnsi="宋体" w:cs="宋体"/>
          <w:bCs/>
          <w:sz w:val="28"/>
          <w:szCs w:val="28"/>
        </w:rPr>
        <w:t>务</w:t>
      </w:r>
      <w:r>
        <w:rPr>
          <w:rFonts w:hint="eastAsia" w:ascii="宋体" w:hAnsi="宋体" w:cs="宋体"/>
          <w:bCs/>
          <w:sz w:val="28"/>
          <w:szCs w:val="28"/>
        </w:rPr>
        <w:t>地点</w:t>
      </w:r>
      <w:r>
        <w:rPr>
          <w:rFonts w:ascii="宋体" w:hAnsi="宋体" w:cs="宋体"/>
          <w:bCs/>
          <w:sz w:val="28"/>
          <w:szCs w:val="28"/>
        </w:rPr>
        <w:t>”</w:t>
      </w:r>
      <w:r>
        <w:rPr>
          <w:rFonts w:hint="eastAsia" w:ascii="宋体" w:hAnsi="宋体" w:cs="宋体"/>
          <w:bCs/>
          <w:sz w:val="28"/>
          <w:szCs w:val="28"/>
        </w:rPr>
        <w:t>。</w:t>
      </w:r>
    </w:p>
    <w:p w14:paraId="4D1904B3">
      <w:pPr>
        <w:numPr>
          <w:ilvl w:val="0"/>
          <w:numId w:val="1"/>
        </w:numPr>
        <w:spacing w:before="120" w:beforeLines="50" w:line="360" w:lineRule="auto"/>
        <w:ind w:firstLine="562" w:firstLineChars="200"/>
        <w:jc w:val="left"/>
        <w:outlineLvl w:val="0"/>
        <w:rPr>
          <w:rFonts w:hint="eastAsia" w:ascii="宋体" w:hAnsi="宋体" w:cs="宋体"/>
          <w:b/>
          <w:sz w:val="28"/>
          <w:szCs w:val="28"/>
        </w:rPr>
      </w:pPr>
      <w:r>
        <w:rPr>
          <w:rFonts w:hint="eastAsia" w:ascii="宋体" w:hAnsi="宋体" w:cs="宋体"/>
          <w:b/>
          <w:sz w:val="28"/>
          <w:szCs w:val="28"/>
        </w:rPr>
        <w:t>售后服务</w:t>
      </w:r>
    </w:p>
    <w:p w14:paraId="7F179FFE">
      <w:pPr>
        <w:spacing w:line="360" w:lineRule="auto"/>
        <w:ind w:right="40" w:firstLine="560" w:firstLineChars="200"/>
        <w:jc w:val="left"/>
        <w:rPr>
          <w:rFonts w:hint="eastAsia" w:ascii="宋体" w:hAnsi="宋体" w:cs="宋体"/>
          <w:bCs/>
          <w:sz w:val="28"/>
          <w:szCs w:val="28"/>
        </w:rPr>
      </w:pPr>
      <w:r>
        <w:rPr>
          <w:rFonts w:ascii="宋体" w:hAnsi="宋体" w:cs="宋体"/>
          <w:bCs/>
          <w:sz w:val="28"/>
          <w:szCs w:val="28"/>
        </w:rPr>
        <w:t xml:space="preserve">    以中标人实际响应内容为准。</w:t>
      </w:r>
    </w:p>
    <w:p w14:paraId="2B432A07">
      <w:pPr>
        <w:spacing w:before="120" w:beforeLines="50" w:line="360" w:lineRule="auto"/>
        <w:ind w:firstLine="562" w:firstLineChars="200"/>
        <w:jc w:val="left"/>
        <w:outlineLvl w:val="0"/>
        <w:rPr>
          <w:rFonts w:ascii="宋体" w:hAnsi="宋体" w:cs="宋体"/>
          <w:b/>
          <w:sz w:val="28"/>
          <w:szCs w:val="28"/>
        </w:rPr>
      </w:pPr>
      <w:r>
        <w:rPr>
          <w:rFonts w:hint="eastAsia" w:ascii="宋体" w:hAnsi="宋体" w:cs="宋体"/>
          <w:b/>
          <w:sz w:val="28"/>
          <w:szCs w:val="28"/>
        </w:rPr>
        <w:t>八、验收要求</w:t>
      </w:r>
    </w:p>
    <w:p w14:paraId="0E104539">
      <w:pPr>
        <w:spacing w:before="120" w:beforeLines="50" w:line="360" w:lineRule="auto"/>
        <w:ind w:firstLine="560" w:firstLineChars="200"/>
        <w:jc w:val="left"/>
        <w:outlineLvl w:val="0"/>
        <w:rPr>
          <w:rFonts w:hint="eastAsia" w:ascii="宋体" w:hAnsi="宋体" w:cs="宋体"/>
          <w:sz w:val="28"/>
          <w:szCs w:val="28"/>
        </w:rPr>
      </w:pPr>
      <w:r>
        <w:rPr>
          <w:rFonts w:hint="eastAsia" w:ascii="宋体" w:hAnsi="宋体" w:cs="宋体"/>
          <w:sz w:val="28"/>
          <w:szCs w:val="28"/>
        </w:rPr>
        <w:t>根据</w:t>
      </w:r>
      <w:r>
        <w:rPr>
          <w:rFonts w:ascii="宋体" w:hAnsi="宋体" w:cs="宋体"/>
          <w:sz w:val="28"/>
          <w:szCs w:val="28"/>
        </w:rPr>
        <w:t>采购</w:t>
      </w:r>
      <w:r>
        <w:rPr>
          <w:rFonts w:hint="eastAsia" w:ascii="宋体" w:hAnsi="宋体" w:cs="宋体"/>
          <w:sz w:val="28"/>
          <w:szCs w:val="28"/>
        </w:rPr>
        <w:t>需求中</w:t>
      </w:r>
      <w:r>
        <w:rPr>
          <w:rFonts w:ascii="宋体" w:hAnsi="宋体" w:cs="宋体"/>
          <w:sz w:val="28"/>
          <w:szCs w:val="28"/>
        </w:rPr>
        <w:t>相关要求进行验收。</w:t>
      </w:r>
    </w:p>
    <w:p w14:paraId="4BC95E68">
      <w:pPr>
        <w:tabs>
          <w:tab w:val="left" w:pos="1980"/>
        </w:tabs>
        <w:snapToGrid w:val="0"/>
        <w:spacing w:before="19" w:line="500" w:lineRule="exact"/>
        <w:ind w:firstLine="551" w:firstLineChars="196"/>
        <w:rPr>
          <w:rFonts w:ascii="宋体" w:hAnsi="宋体" w:cs="宋体"/>
          <w:b/>
          <w:sz w:val="28"/>
          <w:szCs w:val="28"/>
        </w:rPr>
      </w:pPr>
      <w:r>
        <w:rPr>
          <w:rFonts w:hint="eastAsia" w:ascii="宋体" w:hAnsi="宋体" w:cs="宋体"/>
          <w:b/>
          <w:sz w:val="28"/>
          <w:szCs w:val="28"/>
        </w:rPr>
        <w:t>九、合同纠纷处理</w:t>
      </w:r>
    </w:p>
    <w:p w14:paraId="269154DE">
      <w:pPr>
        <w:tabs>
          <w:tab w:val="left" w:pos="1980"/>
        </w:tabs>
        <w:snapToGrid w:val="0"/>
        <w:spacing w:before="19" w:line="500" w:lineRule="exact"/>
        <w:ind w:firstLine="548" w:firstLineChars="196"/>
        <w:rPr>
          <w:rFonts w:hint="eastAsia" w:ascii="宋体" w:hAnsi="宋体" w:cs="宋体"/>
          <w:sz w:val="28"/>
          <w:szCs w:val="28"/>
        </w:rPr>
      </w:pPr>
      <w:r>
        <w:rPr>
          <w:rFonts w:hint="eastAsia" w:ascii="宋体" w:hAnsi="宋体" w:cs="宋体"/>
          <w:sz w:val="28"/>
          <w:szCs w:val="28"/>
        </w:rPr>
        <w:t>本合同履行过程中发生的任何争议，甲乙双方当事人均可通过和解或者调解解决；不愿和解、调解或者和解、调解不成的，可以选择下列第</w:t>
      </w:r>
      <w:r>
        <w:rPr>
          <w:rFonts w:hint="eastAsia" w:ascii="宋体" w:hAnsi="宋体" w:cs="宋体"/>
          <w:sz w:val="28"/>
          <w:szCs w:val="28"/>
          <w:u w:val="single"/>
        </w:rPr>
        <w:t xml:space="preserve">    </w:t>
      </w:r>
      <w:r>
        <w:rPr>
          <w:rFonts w:hint="eastAsia" w:ascii="宋体" w:hAnsi="宋体" w:cs="宋体"/>
          <w:sz w:val="28"/>
          <w:szCs w:val="28"/>
        </w:rPr>
        <w:t>种方式解决：</w:t>
      </w:r>
    </w:p>
    <w:p w14:paraId="640DAED5">
      <w:pPr>
        <w:numPr>
          <w:ilvl w:val="0"/>
          <w:numId w:val="2"/>
        </w:numPr>
        <w:spacing w:line="360" w:lineRule="auto"/>
        <w:ind w:firstLine="560" w:firstLineChars="200"/>
        <w:jc w:val="left"/>
        <w:rPr>
          <w:rFonts w:hint="eastAsia" w:ascii="宋体" w:hAnsi="宋体" w:cs="宋体"/>
          <w:sz w:val="28"/>
          <w:szCs w:val="28"/>
        </w:rPr>
      </w:pPr>
      <w:r>
        <w:rPr>
          <w:rFonts w:hint="eastAsia" w:ascii="宋体" w:hAnsi="宋体" w:cs="宋体"/>
          <w:sz w:val="28"/>
          <w:szCs w:val="28"/>
        </w:rPr>
        <w:t>将争议提交</w:t>
      </w:r>
      <w:r>
        <w:rPr>
          <w:rFonts w:hint="eastAsia" w:ascii="宋体" w:hAnsi="宋体" w:cs="宋体"/>
          <w:sz w:val="28"/>
          <w:szCs w:val="28"/>
          <w:u w:val="single"/>
        </w:rPr>
        <w:t xml:space="preserve">              </w:t>
      </w:r>
      <w:r>
        <w:rPr>
          <w:rFonts w:hint="eastAsia" w:ascii="宋体" w:hAnsi="宋体" w:cs="宋体"/>
          <w:sz w:val="28"/>
          <w:szCs w:val="28"/>
        </w:rPr>
        <w:t>仲裁委员会依申请仲裁时其现行有效的仲裁规则裁决；</w:t>
      </w:r>
    </w:p>
    <w:p w14:paraId="14C8E22E">
      <w:pPr>
        <w:tabs>
          <w:tab w:val="left" w:pos="1980"/>
        </w:tabs>
        <w:snapToGrid w:val="0"/>
        <w:spacing w:before="19" w:line="500" w:lineRule="exact"/>
        <w:ind w:firstLine="548" w:firstLineChars="196"/>
        <w:rPr>
          <w:rFonts w:ascii="宋体" w:hAnsi="宋体" w:cs="宋体"/>
          <w:sz w:val="28"/>
          <w:szCs w:val="28"/>
          <w:shd w:val="clear" w:color="auto" w:fill="FFFFFF"/>
        </w:rPr>
      </w:pPr>
      <w:r>
        <w:rPr>
          <w:rFonts w:hint="eastAsia" w:ascii="宋体" w:hAnsi="宋体" w:cs="宋体"/>
          <w:sz w:val="28"/>
          <w:szCs w:val="28"/>
        </w:rPr>
        <w:t>（2） 向</w:t>
      </w:r>
      <w:r>
        <w:rPr>
          <w:rFonts w:hint="eastAsia" w:ascii="宋体" w:hAnsi="宋体" w:cs="宋体"/>
          <w:sz w:val="28"/>
          <w:szCs w:val="28"/>
          <w:u w:val="single"/>
        </w:rPr>
        <w:t xml:space="preserve">   （被告住所地、合同履行地、合同签订地、原告住所地、标的物所在地等与争议有实际联系的地点中选出的人民法院名称）    </w:t>
      </w:r>
      <w:r>
        <w:rPr>
          <w:rFonts w:hint="eastAsia" w:ascii="宋体" w:hAnsi="宋体" w:cs="宋体"/>
          <w:sz w:val="28"/>
          <w:szCs w:val="28"/>
        </w:rPr>
        <w:t>人民法院起诉</w:t>
      </w:r>
      <w:r>
        <w:rPr>
          <w:rFonts w:hint="eastAsia" w:ascii="宋体" w:hAnsi="宋体" w:cs="宋体"/>
          <w:sz w:val="28"/>
          <w:szCs w:val="28"/>
          <w:shd w:val="clear" w:color="auto" w:fill="FFFFFF"/>
        </w:rPr>
        <w:t>。</w:t>
      </w:r>
    </w:p>
    <w:p w14:paraId="3197E585">
      <w:pPr>
        <w:spacing w:before="120" w:beforeLines="50" w:line="360" w:lineRule="auto"/>
        <w:ind w:firstLine="562" w:firstLineChars="200"/>
        <w:jc w:val="left"/>
        <w:outlineLvl w:val="0"/>
        <w:rPr>
          <w:rFonts w:ascii="宋体" w:hAnsi="宋体" w:cs="宋体"/>
          <w:b/>
          <w:sz w:val="28"/>
          <w:szCs w:val="28"/>
        </w:rPr>
      </w:pPr>
      <w:r>
        <w:rPr>
          <w:rFonts w:hint="eastAsia" w:ascii="宋体" w:hAnsi="宋体" w:cs="宋体"/>
          <w:b/>
          <w:sz w:val="28"/>
          <w:szCs w:val="28"/>
        </w:rPr>
        <w:t>十、政府采购合同生效</w:t>
      </w:r>
    </w:p>
    <w:p w14:paraId="4C9A7D9E">
      <w:pPr>
        <w:spacing w:before="120" w:beforeLines="50" w:line="360" w:lineRule="auto"/>
        <w:ind w:firstLine="560" w:firstLineChars="200"/>
        <w:jc w:val="left"/>
        <w:outlineLvl w:val="0"/>
        <w:rPr>
          <w:rFonts w:ascii="宋体" w:hAnsi="宋体" w:cs="宋体"/>
          <w:sz w:val="28"/>
          <w:szCs w:val="28"/>
        </w:rPr>
      </w:pPr>
      <w:r>
        <w:rPr>
          <w:rFonts w:hint="eastAsia" w:ascii="宋体" w:hAnsi="宋体" w:cs="宋体"/>
          <w:sz w:val="28"/>
          <w:szCs w:val="28"/>
        </w:rPr>
        <w:t>本政府采购合同经甲乙双方授权代表签字盖章后生效。</w:t>
      </w:r>
    </w:p>
    <w:p w14:paraId="7E4EB949">
      <w:pPr>
        <w:spacing w:before="120" w:beforeLines="50" w:line="360" w:lineRule="auto"/>
        <w:ind w:firstLine="560" w:firstLineChars="200"/>
        <w:jc w:val="left"/>
        <w:outlineLvl w:val="0"/>
        <w:rPr>
          <w:rFonts w:ascii="宋体" w:hAnsi="宋体" w:cs="宋体"/>
          <w:sz w:val="28"/>
          <w:szCs w:val="28"/>
        </w:rPr>
      </w:pPr>
      <w:r>
        <w:rPr>
          <w:rFonts w:hint="eastAsia" w:ascii="宋体" w:hAnsi="宋体" w:cs="宋体"/>
          <w:sz w:val="28"/>
          <w:szCs w:val="28"/>
        </w:rPr>
        <w:t>本合同共三份：甲方一份、乙方一份、海南省政府采购中心一份。</w:t>
      </w:r>
    </w:p>
    <w:p w14:paraId="37BE6A04">
      <w:pPr>
        <w:tabs>
          <w:tab w:val="left" w:pos="1980"/>
        </w:tabs>
        <w:snapToGrid w:val="0"/>
        <w:spacing w:before="19" w:line="500" w:lineRule="exact"/>
        <w:ind w:firstLine="551" w:firstLineChars="196"/>
        <w:rPr>
          <w:rFonts w:ascii="宋体" w:hAnsi="宋体" w:cs="宋体"/>
          <w:b/>
          <w:sz w:val="28"/>
          <w:szCs w:val="28"/>
        </w:rPr>
      </w:pPr>
      <w:r>
        <w:rPr>
          <w:rFonts w:hint="eastAsia" w:ascii="宋体" w:hAnsi="宋体" w:cs="宋体"/>
          <w:b/>
          <w:sz w:val="28"/>
          <w:szCs w:val="28"/>
        </w:rPr>
        <w:t>十一、其他</w:t>
      </w:r>
    </w:p>
    <w:p w14:paraId="144F1084">
      <w:pPr>
        <w:spacing w:before="120" w:beforeLines="50" w:line="360" w:lineRule="auto"/>
        <w:ind w:firstLine="560" w:firstLineChars="200"/>
        <w:jc w:val="left"/>
        <w:outlineLvl w:val="0"/>
        <w:rPr>
          <w:rFonts w:ascii="宋体" w:hAnsi="宋体" w:cs="宋体"/>
          <w:sz w:val="28"/>
          <w:szCs w:val="28"/>
        </w:rPr>
      </w:pPr>
      <w:r>
        <w:rPr>
          <w:rFonts w:hint="eastAsia" w:ascii="宋体" w:hAnsi="宋体" w:cs="宋体"/>
          <w:sz w:val="28"/>
          <w:szCs w:val="28"/>
        </w:rPr>
        <w:t>本合同未尽事宜，双方可以增加条款或补充协议的形式加以补充，但增加或补充协议的条款不得对招标文件和投标文件约定的内容作实质性修改。补充协议与本合同具有相同的法律效力。</w:t>
      </w:r>
    </w:p>
    <w:p w14:paraId="21556B34">
      <w:pPr>
        <w:autoSpaceDE w:val="0"/>
        <w:autoSpaceDN w:val="0"/>
        <w:adjustRightInd w:val="0"/>
        <w:spacing w:line="360" w:lineRule="auto"/>
        <w:ind w:firstLine="140" w:firstLineChars="50"/>
        <w:jc w:val="left"/>
        <w:rPr>
          <w:rFonts w:hint="eastAsia" w:ascii="宋体" w:hAnsi="宋体" w:cs="宋体"/>
          <w:sz w:val="28"/>
          <w:szCs w:val="28"/>
        </w:rPr>
      </w:pPr>
    </w:p>
    <w:p w14:paraId="5CB27A41">
      <w:pPr>
        <w:autoSpaceDE w:val="0"/>
        <w:autoSpaceDN w:val="0"/>
        <w:adjustRightInd w:val="0"/>
        <w:spacing w:line="360" w:lineRule="auto"/>
        <w:ind w:firstLine="560" w:firstLineChars="200"/>
        <w:jc w:val="left"/>
        <w:rPr>
          <w:rFonts w:ascii="宋体" w:hAnsi="宋体" w:cs="宋体"/>
          <w:sz w:val="28"/>
          <w:szCs w:val="28"/>
        </w:rPr>
      </w:pPr>
      <w:r>
        <w:rPr>
          <w:rFonts w:hint="eastAsia" w:ascii="宋体" w:hAnsi="宋体" w:cs="宋体"/>
          <w:sz w:val="28"/>
          <w:szCs w:val="28"/>
        </w:rPr>
        <w:t>附件：</w:t>
      </w:r>
      <w:r>
        <w:rPr>
          <w:rFonts w:hint="eastAsia" w:hAnsi="宋体" w:cs="宋体"/>
          <w:sz w:val="28"/>
          <w:szCs w:val="28"/>
        </w:rPr>
        <w:t>中标通知书。</w:t>
      </w:r>
    </w:p>
    <w:p w14:paraId="413F5851">
      <w:pPr>
        <w:spacing w:line="360" w:lineRule="auto"/>
        <w:ind w:firstLine="560" w:firstLineChars="200"/>
        <w:rPr>
          <w:rFonts w:ascii="宋体" w:hAnsi="宋体" w:cs="宋体"/>
          <w:sz w:val="28"/>
          <w:szCs w:val="28"/>
        </w:rPr>
      </w:pPr>
    </w:p>
    <w:p w14:paraId="5123A2E4">
      <w:pPr>
        <w:snapToGrid w:val="0"/>
        <w:ind w:firstLine="518" w:firstLineChars="185"/>
        <w:rPr>
          <w:rFonts w:ascii="宋体" w:hAnsi="宋体" w:cs="宋体"/>
          <w:sz w:val="28"/>
          <w:szCs w:val="28"/>
        </w:rPr>
      </w:pPr>
      <w:r>
        <w:rPr>
          <w:rFonts w:hint="eastAsia" w:ascii="宋体" w:hAnsi="宋体" w:cs="宋体"/>
          <w:sz w:val="28"/>
          <w:szCs w:val="28"/>
        </w:rPr>
        <w:t xml:space="preserve">甲方（公章）:                        乙方(公章):  </w:t>
      </w:r>
    </w:p>
    <w:p w14:paraId="529DC1D4">
      <w:pPr>
        <w:snapToGrid w:val="0"/>
        <w:ind w:firstLine="518" w:firstLineChars="185"/>
        <w:rPr>
          <w:rFonts w:ascii="宋体" w:hAnsi="宋体" w:cs="宋体"/>
          <w:sz w:val="28"/>
          <w:szCs w:val="28"/>
        </w:rPr>
      </w:pPr>
      <w:r>
        <w:rPr>
          <w:rFonts w:hint="eastAsia" w:ascii="宋体" w:hAnsi="宋体" w:cs="宋体"/>
          <w:sz w:val="28"/>
          <w:szCs w:val="28"/>
        </w:rPr>
        <w:t>办公地址：                           办公地址：</w:t>
      </w:r>
    </w:p>
    <w:p w14:paraId="0C88CE23">
      <w:pPr>
        <w:snapToGrid w:val="0"/>
        <w:ind w:firstLine="518" w:firstLineChars="185"/>
        <w:rPr>
          <w:rFonts w:hint="eastAsia" w:ascii="宋体" w:hAnsi="宋体" w:cs="宋体"/>
          <w:sz w:val="28"/>
          <w:szCs w:val="28"/>
        </w:rPr>
      </w:pPr>
      <w:r>
        <w:rPr>
          <w:rFonts w:hint="eastAsia" w:ascii="宋体" w:hAnsi="宋体" w:cs="宋体"/>
          <w:sz w:val="28"/>
          <w:szCs w:val="28"/>
        </w:rPr>
        <w:t>法定代表人                           法定代表人</w:t>
      </w:r>
    </w:p>
    <w:p w14:paraId="78025A04">
      <w:pPr>
        <w:snapToGrid w:val="0"/>
        <w:ind w:firstLine="518" w:firstLineChars="185"/>
        <w:rPr>
          <w:rFonts w:ascii="宋体" w:hAnsi="宋体" w:cs="宋体"/>
          <w:sz w:val="28"/>
          <w:szCs w:val="28"/>
        </w:rPr>
      </w:pPr>
      <w:r>
        <w:rPr>
          <w:rFonts w:hint="eastAsia" w:ascii="宋体" w:hAnsi="宋体" w:cs="宋体"/>
          <w:sz w:val="28"/>
          <w:szCs w:val="28"/>
        </w:rPr>
        <w:t>或授权代表(签字):                    或授权代表(签字):</w:t>
      </w:r>
    </w:p>
    <w:p w14:paraId="06C10E30">
      <w:pPr>
        <w:snapToGrid w:val="0"/>
        <w:ind w:firstLine="518" w:firstLineChars="185"/>
        <w:rPr>
          <w:rFonts w:ascii="宋体" w:hAnsi="宋体" w:cs="宋体"/>
          <w:sz w:val="28"/>
          <w:szCs w:val="28"/>
        </w:rPr>
      </w:pPr>
      <w:r>
        <w:rPr>
          <w:rFonts w:hint="eastAsia" w:ascii="宋体" w:hAnsi="宋体" w:cs="宋体"/>
          <w:sz w:val="28"/>
          <w:szCs w:val="28"/>
        </w:rPr>
        <w:t>联系人：                             联系人：</w:t>
      </w:r>
    </w:p>
    <w:p w14:paraId="61901251">
      <w:pPr>
        <w:snapToGrid w:val="0"/>
        <w:ind w:firstLine="518" w:firstLineChars="185"/>
        <w:rPr>
          <w:rFonts w:ascii="宋体" w:hAnsi="宋体" w:cs="宋体"/>
          <w:sz w:val="28"/>
          <w:szCs w:val="28"/>
        </w:rPr>
      </w:pPr>
      <w:r>
        <w:rPr>
          <w:rFonts w:hint="eastAsia" w:ascii="宋体" w:hAnsi="宋体" w:cs="宋体"/>
          <w:sz w:val="28"/>
          <w:szCs w:val="28"/>
        </w:rPr>
        <w:t>电话：                               电话：</w:t>
      </w:r>
    </w:p>
    <w:p w14:paraId="6C375B2A">
      <w:pPr>
        <w:snapToGrid w:val="0"/>
        <w:ind w:firstLine="518" w:firstLineChars="185"/>
        <w:rPr>
          <w:rFonts w:hint="eastAsia" w:ascii="宋体" w:hAnsi="宋体" w:cs="宋体"/>
          <w:sz w:val="28"/>
          <w:szCs w:val="28"/>
          <w:lang w:val="zh-CN"/>
        </w:rPr>
      </w:pPr>
      <w:r>
        <w:rPr>
          <w:rFonts w:hint="eastAsia" w:ascii="宋体" w:hAnsi="宋体" w:cs="宋体"/>
          <w:sz w:val="28"/>
          <w:szCs w:val="28"/>
          <w:lang w:val="zh-CN"/>
        </w:rPr>
        <w:t>传真:                                传真:</w:t>
      </w:r>
    </w:p>
    <w:p w14:paraId="494EB841">
      <w:pPr>
        <w:snapToGrid w:val="0"/>
        <w:ind w:firstLine="518" w:firstLineChars="185"/>
        <w:rPr>
          <w:rFonts w:hint="eastAsia" w:ascii="宋体" w:hAnsi="宋体" w:cs="宋体"/>
          <w:sz w:val="28"/>
          <w:szCs w:val="28"/>
        </w:rPr>
      </w:pPr>
      <w:r>
        <w:rPr>
          <w:rFonts w:hint="eastAsia" w:ascii="宋体" w:hAnsi="宋体" w:cs="宋体"/>
          <w:sz w:val="28"/>
          <w:szCs w:val="28"/>
          <w:lang w:val="zh-CN"/>
        </w:rPr>
        <w:t>电子邮箱：                           电子邮箱：</w:t>
      </w:r>
    </w:p>
    <w:p w14:paraId="1BC1CB2F">
      <w:pPr>
        <w:snapToGrid w:val="0"/>
        <w:ind w:firstLine="518" w:firstLineChars="185"/>
        <w:rPr>
          <w:rFonts w:hint="eastAsia" w:ascii="宋体" w:hAnsi="宋体" w:cs="宋体"/>
          <w:sz w:val="28"/>
          <w:szCs w:val="28"/>
        </w:rPr>
      </w:pPr>
      <w:r>
        <w:rPr>
          <w:rFonts w:hint="eastAsia" w:ascii="宋体" w:hAnsi="宋体" w:cs="宋体"/>
          <w:sz w:val="28"/>
          <w:szCs w:val="28"/>
        </w:rPr>
        <w:t xml:space="preserve">开户银行：                           开户银行： </w:t>
      </w:r>
    </w:p>
    <w:p w14:paraId="5B8684FC">
      <w:pPr>
        <w:snapToGrid w:val="0"/>
        <w:ind w:firstLine="518" w:firstLineChars="185"/>
        <w:rPr>
          <w:rFonts w:hint="eastAsia" w:ascii="宋体" w:hAnsi="宋体" w:cs="宋体"/>
          <w:sz w:val="28"/>
          <w:szCs w:val="28"/>
        </w:rPr>
      </w:pPr>
      <w:r>
        <w:rPr>
          <w:rFonts w:hint="eastAsia" w:ascii="宋体" w:hAnsi="宋体" w:cs="宋体"/>
          <w:sz w:val="28"/>
          <w:szCs w:val="28"/>
        </w:rPr>
        <w:t xml:space="preserve">开户名称：                           开户名称： </w:t>
      </w:r>
    </w:p>
    <w:p w14:paraId="0AB3F540">
      <w:pPr>
        <w:snapToGrid w:val="0"/>
        <w:ind w:firstLine="518" w:firstLineChars="185"/>
        <w:rPr>
          <w:rFonts w:hint="eastAsia" w:ascii="宋体" w:hAnsi="宋体" w:cs="宋体"/>
          <w:sz w:val="28"/>
          <w:szCs w:val="28"/>
        </w:rPr>
      </w:pPr>
      <w:r>
        <w:rPr>
          <w:rFonts w:hint="eastAsia" w:ascii="宋体" w:hAnsi="宋体" w:cs="宋体"/>
          <w:sz w:val="28"/>
          <w:szCs w:val="28"/>
        </w:rPr>
        <w:t>开户账号：</w:t>
      </w:r>
      <w:r>
        <w:rPr>
          <w:rFonts w:hint="eastAsia" w:ascii="宋体" w:hAnsi="宋体" w:cs="宋体"/>
          <w:sz w:val="28"/>
          <w:szCs w:val="28"/>
          <w:lang w:val="zh-CN"/>
        </w:rPr>
        <w:t xml:space="preserve">                           </w:t>
      </w:r>
      <w:r>
        <w:rPr>
          <w:rFonts w:hint="eastAsia" w:ascii="宋体" w:hAnsi="宋体" w:cs="宋体"/>
          <w:sz w:val="28"/>
          <w:szCs w:val="28"/>
        </w:rPr>
        <w:t>开户账号：</w:t>
      </w:r>
    </w:p>
    <w:p w14:paraId="294785B4">
      <w:pPr>
        <w:snapToGrid w:val="0"/>
        <w:spacing w:before="19"/>
        <w:ind w:firstLine="1120" w:firstLineChars="400"/>
        <w:rPr>
          <w:rFonts w:hint="eastAsia" w:ascii="宋体" w:hAnsi="宋体" w:cs="宋体"/>
          <w:sz w:val="28"/>
          <w:szCs w:val="28"/>
        </w:rPr>
      </w:pPr>
    </w:p>
    <w:p w14:paraId="06901AB1">
      <w:pPr>
        <w:snapToGrid w:val="0"/>
        <w:spacing w:before="19"/>
        <w:ind w:firstLine="1120" w:firstLineChars="400"/>
        <w:rPr>
          <w:rFonts w:ascii="宋体" w:hAnsi="宋体" w:cs="宋体"/>
          <w:sz w:val="28"/>
          <w:szCs w:val="28"/>
        </w:rPr>
      </w:pPr>
      <w:r>
        <w:rPr>
          <w:rFonts w:hint="eastAsia" w:ascii="宋体" w:hAnsi="宋体" w:cs="宋体"/>
          <w:sz w:val="28"/>
          <w:szCs w:val="28"/>
        </w:rPr>
        <w:t xml:space="preserve">  </w:t>
      </w:r>
    </w:p>
    <w:p w14:paraId="57CD89C4">
      <w:pPr>
        <w:snapToGrid w:val="0"/>
        <w:spacing w:before="19" w:line="500" w:lineRule="exact"/>
        <w:ind w:firstLine="562" w:firstLineChars="200"/>
        <w:rPr>
          <w:rFonts w:hint="eastAsia" w:ascii="宋体" w:hAnsi="宋体" w:cs="宋体"/>
          <w:sz w:val="28"/>
          <w:szCs w:val="28"/>
        </w:rPr>
      </w:pPr>
      <w:r>
        <w:rPr>
          <w:rFonts w:hint="eastAsia" w:ascii="宋体" w:hAnsi="宋体" w:cs="宋体"/>
          <w:b/>
          <w:sz w:val="28"/>
          <w:szCs w:val="28"/>
        </w:rPr>
        <w:t>合同鉴证：</w:t>
      </w:r>
    </w:p>
    <w:p w14:paraId="778EBA6B">
      <w:pPr>
        <w:snapToGrid w:val="0"/>
        <w:spacing w:before="19" w:line="500" w:lineRule="exact"/>
        <w:ind w:firstLine="560" w:firstLineChars="200"/>
        <w:rPr>
          <w:rFonts w:ascii="宋体" w:hAnsi="宋体" w:cs="宋体"/>
          <w:sz w:val="28"/>
          <w:szCs w:val="28"/>
          <w:u w:val="single"/>
        </w:rPr>
      </w:pPr>
      <w:r>
        <w:rPr>
          <w:rFonts w:hint="eastAsia" w:ascii="宋体" w:hAnsi="宋体" w:cs="宋体"/>
          <w:sz w:val="28"/>
          <w:szCs w:val="28"/>
        </w:rPr>
        <w:t>政府集中采购机构：</w:t>
      </w:r>
      <w:r>
        <w:rPr>
          <w:rFonts w:hint="eastAsia" w:ascii="宋体" w:hAnsi="宋体" w:cs="宋体"/>
          <w:sz w:val="28"/>
          <w:szCs w:val="28"/>
          <w:u w:val="single"/>
        </w:rPr>
        <w:t>海南省政府采购中心（盖章）</w:t>
      </w:r>
    </w:p>
    <w:p w14:paraId="5745B04F">
      <w:pPr>
        <w:snapToGrid w:val="0"/>
        <w:spacing w:before="19" w:line="500" w:lineRule="exact"/>
        <w:ind w:firstLine="560" w:firstLineChars="200"/>
        <w:rPr>
          <w:rFonts w:ascii="宋体" w:hAnsi="宋体" w:cs="宋体"/>
          <w:sz w:val="28"/>
          <w:szCs w:val="28"/>
        </w:rPr>
      </w:pPr>
      <w:r>
        <w:rPr>
          <w:rFonts w:hint="eastAsia" w:ascii="宋体" w:hAnsi="宋体" w:cs="宋体"/>
          <w:sz w:val="28"/>
          <w:szCs w:val="28"/>
        </w:rPr>
        <w:t>地  址：海口市国兴大道9号会展楼2楼</w:t>
      </w:r>
    </w:p>
    <w:p w14:paraId="0AC5C6A2">
      <w:pPr>
        <w:snapToGrid w:val="0"/>
        <w:spacing w:before="19" w:line="500" w:lineRule="exact"/>
        <w:ind w:firstLine="560" w:firstLineChars="200"/>
        <w:rPr>
          <w:rFonts w:ascii="宋体" w:hAnsi="宋体" w:cs="宋体"/>
          <w:sz w:val="28"/>
          <w:szCs w:val="28"/>
        </w:rPr>
      </w:pPr>
      <w:r>
        <w:rPr>
          <w:rFonts w:hint="eastAsia" w:ascii="宋体" w:hAnsi="宋体" w:cs="宋体"/>
          <w:sz w:val="28"/>
          <w:szCs w:val="28"/>
        </w:rPr>
        <w:t xml:space="preserve">经办人：       </w:t>
      </w:r>
    </w:p>
    <w:p w14:paraId="1DF7D640">
      <w:pPr>
        <w:snapToGrid w:val="0"/>
        <w:spacing w:before="19" w:line="500" w:lineRule="exact"/>
        <w:ind w:firstLine="1400" w:firstLineChars="500"/>
        <w:rPr>
          <w:rFonts w:ascii="宋体" w:hAnsi="宋体" w:cs="宋体"/>
          <w:sz w:val="28"/>
          <w:szCs w:val="28"/>
        </w:rPr>
      </w:pPr>
      <w:r>
        <w:rPr>
          <w:rFonts w:hint="eastAsia" w:ascii="宋体" w:hAnsi="宋体" w:cs="宋体"/>
          <w:sz w:val="28"/>
          <w:szCs w:val="28"/>
        </w:rPr>
        <w:t>年   月    日</w:t>
      </w:r>
    </w:p>
    <w:p w14:paraId="0232F0D9">
      <w:pPr>
        <w:spacing w:line="360" w:lineRule="auto"/>
        <w:ind w:firstLine="6720" w:firstLineChars="2400"/>
        <w:rPr>
          <w:rFonts w:ascii="宋体" w:hAnsi="宋体" w:cs="宋体"/>
          <w:sz w:val="28"/>
          <w:szCs w:val="28"/>
        </w:rPr>
      </w:pPr>
    </w:p>
    <w:p w14:paraId="6FF2DEEA">
      <w:pPr>
        <w:spacing w:line="360" w:lineRule="auto"/>
        <w:rPr>
          <w:rFonts w:ascii="宋体" w:hAnsi="宋体" w:cs="宋体"/>
          <w:sz w:val="28"/>
          <w:szCs w:val="28"/>
        </w:rPr>
        <w:sectPr>
          <w:pgSz w:w="11907" w:h="16840"/>
          <w:pgMar w:top="1440" w:right="1077" w:bottom="1440" w:left="1247" w:header="936" w:footer="992" w:gutter="0"/>
          <w:cols w:space="720" w:num="1"/>
          <w:titlePg/>
          <w:docGrid w:linePitch="312" w:charSpace="0"/>
        </w:sectPr>
      </w:pPr>
    </w:p>
    <w:p w14:paraId="7B60D13E">
      <w:pPr>
        <w:pStyle w:val="3"/>
        <w:adjustRightInd w:val="0"/>
        <w:snapToGrid w:val="0"/>
        <w:spacing w:line="360" w:lineRule="auto"/>
        <w:jc w:val="center"/>
        <w:rPr>
          <w:rFonts w:cs="宋体"/>
          <w:sz w:val="32"/>
          <w:szCs w:val="32"/>
        </w:rPr>
      </w:pPr>
      <w:r>
        <w:rPr>
          <w:rFonts w:cs="宋体"/>
          <w:sz w:val="32"/>
          <w:szCs w:val="32"/>
        </w:rPr>
        <w:t>合同通用条款</w:t>
      </w:r>
    </w:p>
    <w:p w14:paraId="40100E7C">
      <w:pPr>
        <w:pStyle w:val="4"/>
        <w:adjustRightInd w:val="0"/>
        <w:snapToGrid w:val="0"/>
        <w:spacing w:line="360" w:lineRule="auto"/>
        <w:rPr>
          <w:rFonts w:cs="宋体"/>
          <w:sz w:val="28"/>
          <w:szCs w:val="28"/>
        </w:rPr>
      </w:pPr>
      <w:r>
        <w:rPr>
          <w:rFonts w:cs="宋体"/>
          <w:sz w:val="28"/>
          <w:szCs w:val="28"/>
        </w:rPr>
        <w:t>1．定义</w:t>
      </w:r>
    </w:p>
    <w:p w14:paraId="60D677B7">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本合同下列术语应解释为：</w:t>
      </w:r>
    </w:p>
    <w:p w14:paraId="7C098043">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（l）“合同”系指甲方和乙方（以下简称合同双方）签署的、合同格式中列明的合同双方所达成的协议，包括所有的附件、附录和构成合同的所有文件。</w:t>
      </w:r>
    </w:p>
    <w:p w14:paraId="6CAFBAEE">
      <w:pPr>
        <w:adjustRightInd w:val="0"/>
        <w:snapToGrid w:val="0"/>
        <w:spacing w:line="360" w:lineRule="auto"/>
        <w:ind w:firstLine="560" w:firstLineChars="200"/>
        <w:rPr>
          <w:rFonts w:hint="eastAsia" w:ascii="宋体" w:hAnsi="宋体" w:cs="宋体"/>
          <w:sz w:val="28"/>
          <w:szCs w:val="28"/>
        </w:rPr>
      </w:pPr>
      <w:r>
        <w:rPr>
          <w:rFonts w:hint="eastAsia" w:ascii="宋体" w:hAnsi="宋体" w:cs="宋体"/>
          <w:sz w:val="28"/>
          <w:szCs w:val="28"/>
        </w:rPr>
        <w:t>（2）“合同价”系指根据合同规定，乙方在完全履行合同义务后甲方应付给乙方的价格。</w:t>
      </w:r>
    </w:p>
    <w:p w14:paraId="4AACB0FC">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（3）“货物（含软件及相关服务）”系指乙方按合同要求，须向甲方提供的一切设备、机械、仪器、备件、工具、技术及手册等有关资料。“工程”系指按合同要求进行施工。</w:t>
      </w:r>
    </w:p>
    <w:p w14:paraId="1337EF44">
      <w:pPr>
        <w:adjustRightInd w:val="0"/>
        <w:snapToGrid w:val="0"/>
        <w:spacing w:line="360" w:lineRule="auto"/>
        <w:rPr>
          <w:rFonts w:ascii="宋体" w:hAnsi="宋体" w:cs="宋体"/>
          <w:sz w:val="28"/>
          <w:szCs w:val="28"/>
        </w:rPr>
      </w:pPr>
      <w:r>
        <w:rPr>
          <w:rFonts w:hint="eastAsia" w:ascii="宋体" w:hAnsi="宋体" w:cs="宋体"/>
          <w:sz w:val="28"/>
          <w:szCs w:val="28"/>
        </w:rPr>
        <w:t xml:space="preserve">    （4）“服务”系指根据合同规定乙方承担与供货有关的所有辅助服务，如运输、保险以及其它的服务，如安装、调试、提供技术援助、培训及其他类似的义务。</w:t>
      </w:r>
    </w:p>
    <w:p w14:paraId="2D6C1B82">
      <w:pPr>
        <w:adjustRightInd w:val="0"/>
        <w:snapToGrid w:val="0"/>
        <w:spacing w:line="360" w:lineRule="auto"/>
        <w:rPr>
          <w:rFonts w:ascii="宋体" w:hAnsi="宋体" w:cs="宋体"/>
          <w:sz w:val="28"/>
          <w:szCs w:val="28"/>
        </w:rPr>
      </w:pPr>
      <w:r>
        <w:rPr>
          <w:rFonts w:hint="eastAsia" w:ascii="宋体" w:hAnsi="宋体" w:cs="宋体"/>
          <w:sz w:val="28"/>
          <w:szCs w:val="28"/>
        </w:rPr>
        <w:t xml:space="preserve">    （5）“甲方”系指购买货物（含软件及相关服务）的单位。</w:t>
      </w:r>
    </w:p>
    <w:p w14:paraId="14DCF528">
      <w:pPr>
        <w:adjustRightInd w:val="0"/>
        <w:snapToGrid w:val="0"/>
        <w:spacing w:line="360" w:lineRule="auto"/>
        <w:rPr>
          <w:rFonts w:ascii="宋体" w:hAnsi="宋体" w:cs="宋体"/>
          <w:sz w:val="28"/>
          <w:szCs w:val="28"/>
        </w:rPr>
      </w:pPr>
      <w:r>
        <w:rPr>
          <w:rFonts w:hint="eastAsia" w:ascii="宋体" w:hAnsi="宋体" w:cs="宋体"/>
          <w:sz w:val="28"/>
          <w:szCs w:val="28"/>
        </w:rPr>
        <w:t xml:space="preserve">    （6）“乙方”系指根据合同规定提供货物（含软件及相关服务）和服务的制造商或代理商。</w:t>
      </w:r>
    </w:p>
    <w:p w14:paraId="2B6C5E24">
      <w:pPr>
        <w:adjustRightInd w:val="0"/>
        <w:snapToGrid w:val="0"/>
        <w:spacing w:line="360" w:lineRule="auto"/>
        <w:rPr>
          <w:rFonts w:ascii="宋体" w:hAnsi="宋体" w:cs="宋体"/>
          <w:sz w:val="28"/>
          <w:szCs w:val="28"/>
        </w:rPr>
      </w:pPr>
      <w:r>
        <w:rPr>
          <w:rFonts w:hint="eastAsia" w:ascii="宋体" w:hAnsi="宋体" w:cs="宋体"/>
          <w:sz w:val="28"/>
          <w:szCs w:val="28"/>
        </w:rPr>
        <w:t xml:space="preserve">    （7）“现场”系指将要进行货物（含软件及相关服务）安装和调试的地点。</w:t>
      </w:r>
    </w:p>
    <w:p w14:paraId="0EBAEB11">
      <w:pPr>
        <w:pStyle w:val="4"/>
        <w:adjustRightInd w:val="0"/>
        <w:snapToGrid w:val="0"/>
        <w:spacing w:line="360" w:lineRule="auto"/>
        <w:rPr>
          <w:rFonts w:cs="宋体"/>
          <w:sz w:val="28"/>
          <w:szCs w:val="28"/>
        </w:rPr>
      </w:pPr>
      <w:r>
        <w:rPr>
          <w:rFonts w:cs="宋体"/>
          <w:sz w:val="28"/>
          <w:szCs w:val="28"/>
        </w:rPr>
        <w:t>2．技术规范</w:t>
      </w:r>
    </w:p>
    <w:p w14:paraId="7F4DDBBF">
      <w:pPr>
        <w:adjustRightInd w:val="0"/>
        <w:snapToGrid w:val="0"/>
        <w:spacing w:line="360" w:lineRule="auto"/>
        <w:ind w:firstLine="548" w:firstLineChars="196"/>
        <w:rPr>
          <w:rFonts w:ascii="宋体" w:hAnsi="宋体" w:cs="宋体"/>
          <w:b/>
          <w:sz w:val="28"/>
          <w:szCs w:val="28"/>
        </w:rPr>
      </w:pPr>
      <w:r>
        <w:rPr>
          <w:rFonts w:hint="eastAsia" w:ascii="宋体" w:hAnsi="宋体" w:cs="宋体"/>
          <w:sz w:val="28"/>
          <w:szCs w:val="28"/>
        </w:rPr>
        <w:t>提交货物（含软件及相关服务）的技术规范应与采购文件的技术规范和技术规范附件（如果有的话）及其投标/响应文件的技术、商务响应表（如果被甲方接受的话）相一致。若技术规范中无相应说明，则以国家有关部门最新颁布的相应标准及规范为准。</w:t>
      </w:r>
    </w:p>
    <w:p w14:paraId="1DC35BAC">
      <w:pPr>
        <w:pStyle w:val="4"/>
        <w:adjustRightInd w:val="0"/>
        <w:snapToGrid w:val="0"/>
        <w:spacing w:line="360" w:lineRule="auto"/>
        <w:rPr>
          <w:rFonts w:cs="宋体"/>
          <w:sz w:val="28"/>
          <w:szCs w:val="28"/>
        </w:rPr>
      </w:pPr>
      <w:r>
        <w:rPr>
          <w:rFonts w:cs="宋体"/>
          <w:sz w:val="28"/>
          <w:szCs w:val="28"/>
        </w:rPr>
        <w:t>3．专利权</w:t>
      </w:r>
    </w:p>
    <w:p w14:paraId="07632069">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乙方须保障甲方在使用该货物（含软件及相关服务）或其任何一部分时不受到第三方关于侵犯专利权、商标权、版权、专有技术等权利的指控。如果任何第三方提出侵权指控，乙方须与第三方交涉并承担可能发生的一切损失和费用。</w:t>
      </w:r>
    </w:p>
    <w:p w14:paraId="1F06D902">
      <w:pPr>
        <w:pStyle w:val="4"/>
        <w:adjustRightInd w:val="0"/>
        <w:snapToGrid w:val="0"/>
        <w:spacing w:line="360" w:lineRule="auto"/>
        <w:rPr>
          <w:rFonts w:cs="宋体"/>
          <w:sz w:val="28"/>
          <w:szCs w:val="28"/>
        </w:rPr>
      </w:pPr>
      <w:r>
        <w:rPr>
          <w:rFonts w:cs="宋体"/>
          <w:sz w:val="28"/>
          <w:szCs w:val="28"/>
        </w:rPr>
        <w:t>4．包装要求</w:t>
      </w:r>
    </w:p>
    <w:p w14:paraId="02A8172C">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4.1 除合同另有规定外，乙方提供的全部货物（含软件及相关服务），均应采用相应的标准保护措施进行包装，使包装适应于远距离运输、防潮、防震、防锈和防粗暴装卸，确保货物（含软件及相关服务）安全无损运抵现场。由于包装不善所引起的货物（含软件及相关服务）锈蚀、损坏和损失均由乙方承担。</w:t>
      </w:r>
    </w:p>
    <w:p w14:paraId="4BE09778">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4.2 每件包装箱内应附一份详细装箱单和质量合格证。</w:t>
      </w:r>
    </w:p>
    <w:p w14:paraId="7BC7570D">
      <w:pPr>
        <w:pStyle w:val="4"/>
        <w:adjustRightInd w:val="0"/>
        <w:snapToGrid w:val="0"/>
        <w:spacing w:line="360" w:lineRule="auto"/>
        <w:rPr>
          <w:rFonts w:cs="宋体"/>
          <w:sz w:val="28"/>
          <w:szCs w:val="28"/>
        </w:rPr>
      </w:pPr>
      <w:r>
        <w:rPr>
          <w:rFonts w:cs="宋体"/>
          <w:sz w:val="28"/>
          <w:szCs w:val="28"/>
        </w:rPr>
        <w:t>5．装运标志</w:t>
      </w:r>
    </w:p>
    <w:p w14:paraId="7CFCD6C1">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5.1 乙方应在每一包装箱邻接的四侧用不褪色的油漆以醒目的中文字样做出下列标记：</w:t>
      </w:r>
    </w:p>
    <w:p w14:paraId="4040B335">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（l）收货人</w:t>
      </w:r>
    </w:p>
    <w:p w14:paraId="7445B467">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（2）合同号</w:t>
      </w:r>
    </w:p>
    <w:p w14:paraId="15477166">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（3）装运标志</w:t>
      </w:r>
    </w:p>
    <w:p w14:paraId="3C304A70">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（4）收货人代号</w:t>
      </w:r>
    </w:p>
    <w:p w14:paraId="4ECBFD61">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（5）目的地</w:t>
      </w:r>
    </w:p>
    <w:p w14:paraId="58578F1D">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（6）货物（含软件及相关服务）名称、品目号和箱号</w:t>
      </w:r>
    </w:p>
    <w:p w14:paraId="18DECA92">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（7）毛重／净重</w:t>
      </w:r>
    </w:p>
    <w:p w14:paraId="4F4DCF3D">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（8）尺寸（长X宽X高，以厘米计）</w:t>
      </w:r>
    </w:p>
    <w:p w14:paraId="50E9BDBF">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5.2 如果货物（含软件及相关服务）单件重量在两吨或两吨以上，乙方应在每件包装箱的两侧用中文和适当的运输标志标明“重心”和“吊装点”，以便装卸和搬运。根据货物（含软件及相关服务）的特点和运输的不同要求，乙方应在包装箱上清楚地标有“小心轻放”、“勿倒置”、“防潮”等字样和其他适当的标记。</w:t>
      </w:r>
    </w:p>
    <w:p w14:paraId="3F1ECEF4">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5.3因缺少装运标志或者装运标志不明确导致货物在运输、装卸过程中产生的损失，乙方应承担相应的过错责任。</w:t>
      </w:r>
    </w:p>
    <w:p w14:paraId="0FE3F984">
      <w:pPr>
        <w:pStyle w:val="4"/>
        <w:adjustRightInd w:val="0"/>
        <w:snapToGrid w:val="0"/>
        <w:spacing w:line="360" w:lineRule="auto"/>
        <w:rPr>
          <w:rFonts w:cs="宋体"/>
          <w:sz w:val="28"/>
          <w:szCs w:val="28"/>
        </w:rPr>
      </w:pPr>
      <w:r>
        <w:rPr>
          <w:rFonts w:cs="宋体"/>
          <w:sz w:val="28"/>
          <w:szCs w:val="28"/>
        </w:rPr>
        <w:t>6．交货方式</w:t>
      </w:r>
    </w:p>
    <w:p w14:paraId="4758090E">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6.1 交货方式一般为下列其中一种，具体在合同专用条款中规定。</w:t>
      </w:r>
    </w:p>
    <w:p w14:paraId="37688023">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6.1.1 现场交货：乙方负责办理运输和保险，将货物（含软件及相关服务）运抵现场。有关运输和保险的一切费用由乙方承担。所有货物（含软件及相关服务）运抵现扬的日期为交货日期。</w:t>
      </w:r>
    </w:p>
    <w:p w14:paraId="14B0A5D6">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6.1.2 工厂交货：由乙方负责办理运输和保险事宜。运输费和保险费由甲方承担。运输部门出具收据的日期为交货日期。</w:t>
      </w:r>
    </w:p>
    <w:p w14:paraId="7F94639F">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6.1.3 甲方自提货物（含软件及相关服务）：由甲方在合同规定地点自行办理提货。提单日期为交货日期。</w:t>
      </w:r>
    </w:p>
    <w:p w14:paraId="27F8D5F7">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6.2 乙方应在合同规定的交货期前30天以电报、传真或电传形式将合同号、货物（含软件及相关服务）名称、数量、包装箱件数、总毛重、总体积（立方米）和备妥交货日期通知甲方。同时乙方应用挂号信将详细交货清单一式六份包括合同号、货物（含软件及相关服务）名称、规格、数量、总毛重、总体积（立方米）、包装箱件数和每个包装箱的尺寸（长X宽X高）、单价、总价和备妥待交日期以及对货物（含软件及相关服务）在运输和仓储的特殊要求和注意事项通知甲方。</w:t>
      </w:r>
    </w:p>
    <w:p w14:paraId="176A883B">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6.3 在现场交货和工厂交货条件下，乙方装运的货物（含软件及相关服务）不应超过合同规定的数量或重量。否则，乙方应对超运部分的数量或重量而引起的一切后果负责。</w:t>
      </w:r>
    </w:p>
    <w:p w14:paraId="5AC2485F">
      <w:pPr>
        <w:pStyle w:val="4"/>
        <w:adjustRightInd w:val="0"/>
        <w:snapToGrid w:val="0"/>
        <w:spacing w:line="360" w:lineRule="auto"/>
        <w:rPr>
          <w:rFonts w:cs="宋体"/>
          <w:sz w:val="28"/>
          <w:szCs w:val="28"/>
        </w:rPr>
      </w:pPr>
      <w:r>
        <w:rPr>
          <w:rFonts w:cs="宋体"/>
          <w:sz w:val="28"/>
          <w:szCs w:val="28"/>
        </w:rPr>
        <w:t>7．装运通知</w:t>
      </w:r>
    </w:p>
    <w:p w14:paraId="495EDDF5">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现场交货或工厂交货条件下的货物（含软件及相关服务），在乙方已通知甲方货物（含软件及相关服务）已备妥待运输后 2 4小时之内，乙方应将合同号、货名、数量、毛重、总体积（立方米）、发票金额、运输工具名称及启运日期，以电报、传真或电传通知甲方，同时乙方应按产品种类做好运输包装，禁止通过产品混包进行运输。如因乙方延误将上述内容用电报、传真或电传通知甲方，由此引起的一切损失应由乙方负担。</w:t>
      </w:r>
    </w:p>
    <w:p w14:paraId="000D984D">
      <w:pPr>
        <w:pStyle w:val="4"/>
        <w:adjustRightInd w:val="0"/>
        <w:snapToGrid w:val="0"/>
        <w:spacing w:line="360" w:lineRule="auto"/>
        <w:rPr>
          <w:rFonts w:cs="宋体"/>
          <w:sz w:val="28"/>
          <w:szCs w:val="28"/>
        </w:rPr>
      </w:pPr>
      <w:r>
        <w:rPr>
          <w:rFonts w:cs="宋体"/>
          <w:sz w:val="28"/>
          <w:szCs w:val="28"/>
        </w:rPr>
        <w:t>8．保险</w:t>
      </w:r>
    </w:p>
    <w:p w14:paraId="277FD9AC">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如果货物（含软件及相关服务）是按现场交货方式报价的，由乙方办理货物（含软件及相关服务）运抵现场这一段的保险，保险以人民币按照发票金额的110％投保“一切险”，保险范围包括乙方承诺装运的货物（含软件及相关服务）；如果货物（含软件及相关服务）是按工厂交货或甲方自提货物（含软件及相关服务）方式报价的，其保险由甲方办理。</w:t>
      </w:r>
    </w:p>
    <w:p w14:paraId="0B525DA5">
      <w:pPr>
        <w:pStyle w:val="4"/>
        <w:adjustRightInd w:val="0"/>
        <w:snapToGrid w:val="0"/>
        <w:spacing w:line="360" w:lineRule="auto"/>
        <w:rPr>
          <w:rFonts w:cs="宋体"/>
          <w:sz w:val="28"/>
          <w:szCs w:val="28"/>
        </w:rPr>
      </w:pPr>
      <w:r>
        <w:rPr>
          <w:rFonts w:cs="宋体"/>
          <w:sz w:val="28"/>
          <w:szCs w:val="28"/>
        </w:rPr>
        <w:t>9．付款方式</w:t>
      </w:r>
    </w:p>
    <w:p w14:paraId="57C4FCE3">
      <w:pPr>
        <w:adjustRightInd w:val="0"/>
        <w:snapToGrid w:val="0"/>
        <w:spacing w:line="360" w:lineRule="auto"/>
        <w:rPr>
          <w:rFonts w:ascii="宋体" w:hAnsi="宋体" w:cs="宋体"/>
          <w:sz w:val="28"/>
          <w:szCs w:val="28"/>
        </w:rPr>
      </w:pPr>
      <w:r>
        <w:rPr>
          <w:rFonts w:hint="eastAsia" w:ascii="宋体" w:hAnsi="宋体" w:cs="宋体"/>
          <w:sz w:val="28"/>
          <w:szCs w:val="28"/>
        </w:rPr>
        <w:t xml:space="preserve">   付款方式见合同专用条款。</w:t>
      </w:r>
    </w:p>
    <w:p w14:paraId="720CF896">
      <w:pPr>
        <w:pStyle w:val="4"/>
        <w:adjustRightInd w:val="0"/>
        <w:snapToGrid w:val="0"/>
        <w:spacing w:line="360" w:lineRule="auto"/>
        <w:rPr>
          <w:rFonts w:cs="宋体"/>
          <w:sz w:val="28"/>
          <w:szCs w:val="28"/>
        </w:rPr>
      </w:pPr>
      <w:r>
        <w:rPr>
          <w:rFonts w:cs="宋体"/>
          <w:sz w:val="28"/>
          <w:szCs w:val="28"/>
        </w:rPr>
        <w:t>10．技术资料</w:t>
      </w:r>
    </w:p>
    <w:p w14:paraId="7816A321">
      <w:pPr>
        <w:adjustRightInd w:val="0"/>
        <w:snapToGrid w:val="0"/>
        <w:spacing w:line="360" w:lineRule="auto"/>
        <w:rPr>
          <w:rFonts w:ascii="宋体" w:hAnsi="宋体" w:cs="宋体"/>
          <w:sz w:val="28"/>
          <w:szCs w:val="28"/>
        </w:rPr>
      </w:pPr>
      <w:r>
        <w:rPr>
          <w:rFonts w:hint="eastAsia" w:ascii="宋体" w:hAnsi="宋体" w:cs="宋体"/>
          <w:sz w:val="28"/>
          <w:szCs w:val="28"/>
        </w:rPr>
        <w:t xml:space="preserve">   合同项下技术资料（除合同专用条款规定外）将以下列方式交付：</w:t>
      </w:r>
    </w:p>
    <w:p w14:paraId="5CDEDE4A">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10.1 合同生效后 60天之内，乙方应将每台设备和仪器的中文技术资料一套，如目录索引、图纸、操作手册、使用指南、维修指南和服务手册等交给甲方。</w:t>
      </w:r>
    </w:p>
    <w:p w14:paraId="4B229472">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10.2 另外一套完整的上述资料应包装好随每批货物（含软件及相关服务）一起发运。</w:t>
      </w:r>
    </w:p>
    <w:p w14:paraId="161D6B7E">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10.3 如果甲方确认乙方提供的技术资料不完整或在运输过程中丢失，乙方将在收到甲方通知后3天内将这些资料免费交给甲方。</w:t>
      </w:r>
    </w:p>
    <w:p w14:paraId="51EC247C">
      <w:pPr>
        <w:pStyle w:val="4"/>
        <w:adjustRightInd w:val="0"/>
        <w:snapToGrid w:val="0"/>
        <w:spacing w:line="360" w:lineRule="auto"/>
        <w:rPr>
          <w:rFonts w:cs="宋体"/>
          <w:sz w:val="28"/>
          <w:szCs w:val="28"/>
        </w:rPr>
      </w:pPr>
      <w:r>
        <w:rPr>
          <w:rFonts w:cs="宋体"/>
          <w:sz w:val="28"/>
          <w:szCs w:val="28"/>
        </w:rPr>
        <w:t>11．质量保证</w:t>
      </w:r>
    </w:p>
    <w:p w14:paraId="752B0DA1">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11.l 乙方应保证货物（含软件及相关服务）是全新的，未使用过的，是用一流的工艺和最佳材料制造而成的，并完全符合合同规定的质量、规格和性能要求。乙方应保证所提供的货物（含软件及相关服务）经正确安装、正常运转和保养在其使用寿命期内应具有满意的性能。在货物（含软件及相关服务）质量保证期内，乙方应对由于设计、工艺或材料的缺陷而造成的任何不足或故障负责。</w:t>
      </w:r>
    </w:p>
    <w:p w14:paraId="4B9E5D89">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11.2 根据甲方按检验标准自己检验的结果或当地商检部门检验结果，或者在质量保证期内，如果货物（含软件及相关服务）的数量、质量或规格与合同不符，或证实货物（含软件及相关服务）是有缺陷的，包括潜在缺陷或使用不符合要求的材料等，甲方应在一个月内以书面形式通知乙方，提出索赔。</w:t>
      </w:r>
    </w:p>
    <w:p w14:paraId="4B46DC46">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11.3 乙方在收到通知后三十天内应免费维修或更换有缺陷的货物（含软件及相关服务）或部件，并无偿为甲方提供替代产品。</w:t>
      </w:r>
    </w:p>
    <w:p w14:paraId="7595429F">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11.4 如果乙方在收到通知后三十天内没有弥补缺陷，甲方可采取必要的补救措施，但风险和费用将由乙方承担。</w:t>
      </w:r>
    </w:p>
    <w:p w14:paraId="7B2672F3">
      <w:pPr>
        <w:adjustRightInd w:val="0"/>
        <w:snapToGrid w:val="0"/>
        <w:spacing w:line="360" w:lineRule="auto"/>
        <w:ind w:firstLine="560" w:firstLineChars="200"/>
        <w:rPr>
          <w:rFonts w:ascii="宋体" w:hAnsi="宋体" w:cs="宋体"/>
          <w:sz w:val="28"/>
          <w:szCs w:val="28"/>
          <w:u w:val="single"/>
        </w:rPr>
      </w:pPr>
      <w:r>
        <w:rPr>
          <w:rFonts w:hint="eastAsia" w:ascii="宋体" w:hAnsi="宋体" w:cs="宋体"/>
          <w:sz w:val="28"/>
          <w:szCs w:val="28"/>
        </w:rPr>
        <w:t>11.5 除合同专用条款规定外，合同项下货物（含软件及相关服务）的质量保证期为自货物（含软件及相关服务）通过最终验收起12个月。</w:t>
      </w:r>
    </w:p>
    <w:p w14:paraId="14B56566">
      <w:pPr>
        <w:pStyle w:val="4"/>
        <w:adjustRightInd w:val="0"/>
        <w:snapToGrid w:val="0"/>
        <w:spacing w:line="360" w:lineRule="auto"/>
        <w:rPr>
          <w:rFonts w:cs="宋体"/>
          <w:sz w:val="28"/>
          <w:szCs w:val="28"/>
        </w:rPr>
      </w:pPr>
      <w:r>
        <w:rPr>
          <w:rFonts w:cs="宋体"/>
          <w:sz w:val="28"/>
          <w:szCs w:val="28"/>
        </w:rPr>
        <w:t>12.检验及安装</w:t>
      </w:r>
    </w:p>
    <w:p w14:paraId="6B63E07E">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12.1 在交货前，制造商应对货物（含软件及相关服务）的质量、规格、性能、数量和重量等进行详细而全面的检验，并出具一份证明货物（含软件及相关服务）符合经国家消防装备质量监督检验中心认证或合同规定的证书。该证书将作为申请付款单据的一部分，但有关质量、规格、性能、数量或重量的检验不应视为最终检验，最终检验由国家消防装备质量检测中心检测或相关机构出具的检验报告为准。制造商检验的结果和细节应在证书中加以说明。</w:t>
      </w:r>
    </w:p>
    <w:p w14:paraId="63505C79">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12.2 货物（含软件及相关服务）运抵现场后，甲方将对货物（含软件及相关服务）的质量、规格、数量和重量进行检验，并出具验收意见。如发现货物（含软件及相关服务）的规格或数量或两者都与合同不符，甲方有权在货物（含软件及相关服务）运抵现场后90天内，根据甲方按检验标准自己检验的结果或当地商检部门出具的检验证书向乙方提出索赔，检测费用由投标人负责，除责任由保险公司或运输部门承担的之外，同时甲方有权单方终止执行合同。</w:t>
      </w:r>
    </w:p>
    <w:p w14:paraId="1F7C033E">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12.3 如果货物（含软件及相关服务）的质量和规格与合同不符，或在第11条规定的质量保证期内证实货物（含软件及相关服务）是有缺陷的，包括潜在的缺陷或使用不符合要求的材料，甲方将有权向乙方提出索赔。</w:t>
      </w:r>
    </w:p>
    <w:p w14:paraId="13900E7D">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12.4 甲方有权提出在货物（含软件及相关服务）制造过程中派人到制造厂进行监造，乙方有义务为甲方监造人员提乙方便。</w:t>
      </w:r>
    </w:p>
    <w:p w14:paraId="5481566D">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12.5 制造厂对所供货物（含软件及相关服务）进行机械运转试验和性能试验时，必须提前通知甲方。</w:t>
      </w:r>
    </w:p>
    <w:p w14:paraId="6CE8D2AB">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12.6 货物（含软件及相关服务）的安装按采购文件的要求进行。</w:t>
      </w:r>
    </w:p>
    <w:p w14:paraId="68998CCA">
      <w:pPr>
        <w:pStyle w:val="4"/>
        <w:adjustRightInd w:val="0"/>
        <w:snapToGrid w:val="0"/>
        <w:spacing w:line="360" w:lineRule="auto"/>
        <w:rPr>
          <w:rFonts w:cs="宋体"/>
          <w:sz w:val="28"/>
          <w:szCs w:val="28"/>
        </w:rPr>
      </w:pPr>
      <w:r>
        <w:rPr>
          <w:rFonts w:cs="宋体"/>
          <w:sz w:val="28"/>
          <w:szCs w:val="28"/>
        </w:rPr>
        <w:t>13．索赔</w:t>
      </w:r>
    </w:p>
    <w:p w14:paraId="7B94554F">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13.1 除责任应由保险公司或运输部门承担的之外，甲方有权根据甲方按检验标准自己检验的结果或当地商检部门出具的商检证书向乙方提出索赔。</w:t>
      </w:r>
    </w:p>
    <w:p w14:paraId="1BA146F2">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13.2 在第 11条和第 12条规定的检验期和质量保证期内，如果乙方对甲方提出的索赔和差异负有责任，乙方应按照甲方同意的下列一种或多种方式解决索赔事宜：</w:t>
      </w:r>
    </w:p>
    <w:p w14:paraId="3EF5A946">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乙方同意退货，并按合同规定的同种货币将货款退还给甲方，并承担由此发生的一切损失和费用，包括利息、银行手续费、运费、保险费、检验费、仓储费、装卸费以及为保护退回货物（含软件及相关服务）所需的其它必要费用。</w:t>
      </w:r>
    </w:p>
    <w:p w14:paraId="4BCF5984">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（2）根据货物（含软件及相关服务）的低劣程度、损坏程度以及甲方遭受损失的数额，经买卖双方商定降低货物（含软件及相关服务）的价格。</w:t>
      </w:r>
    </w:p>
    <w:p w14:paraId="21F6A9CA">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3）用符合规格、质量和性能要求的新零件、部件或货物（含软件及相关服务）来更换有缺陷的部分或修补缺陷部分，乙方应承担一切费用和风险并负担甲方所发生的一切直接费用。同时，乙方应按合同第11条规定，相应延长修补或被更换部件或货物（含软件及相关服务）的质量保证期。</w:t>
      </w:r>
    </w:p>
    <w:p w14:paraId="425D9ABB">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13.3 如果在甲方发出索赔通知后 3 0天内，乙方未能答复，上达索赔应视为已被乙方接受。若乙方未能在甲方提出索赔通知后30天内或甲方同意的更长时间内，按照第13．2条规定的任何一种方法解决索赔事宜，甲方将从已付款或从乙方开具的履约保证金中扣回索赔金颔。如果这些金额不足以补偿索赔金额，甲方有权向乙方提出不足部分的补偿。</w:t>
      </w:r>
    </w:p>
    <w:p w14:paraId="3E7B41EE">
      <w:pPr>
        <w:pStyle w:val="4"/>
        <w:adjustRightInd w:val="0"/>
        <w:snapToGrid w:val="0"/>
        <w:spacing w:line="360" w:lineRule="auto"/>
        <w:rPr>
          <w:rFonts w:cs="宋体"/>
          <w:sz w:val="28"/>
          <w:szCs w:val="28"/>
        </w:rPr>
      </w:pPr>
      <w:r>
        <w:rPr>
          <w:rFonts w:cs="宋体"/>
          <w:sz w:val="28"/>
          <w:szCs w:val="28"/>
        </w:rPr>
        <w:t>14．拖延交货</w:t>
      </w:r>
    </w:p>
    <w:p w14:paraId="5BE0ED66">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14.l 乙方应按照合同专用条款中规定的交货期交货和提供服务。</w:t>
      </w:r>
    </w:p>
    <w:p w14:paraId="37066726">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14.2 如果乙方毫无理由地拖延交货达1个月以上的，将受到以下制裁：没收履约保证金，加收违约损失赔偿和／或终止合同。</w:t>
      </w:r>
    </w:p>
    <w:p w14:paraId="1B0A6734">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14.3 在履行合同过程中，如果乙方遇到不能按时交货和提供服务的情况，应及时以书面形式将不能按时交货的理由、延误时间通知甲方。甲方在收到乙方通知后，应进行分析，可通过修改合同，酌情延长交货时间。</w:t>
      </w:r>
    </w:p>
    <w:p w14:paraId="2557F020">
      <w:pPr>
        <w:pStyle w:val="4"/>
        <w:adjustRightInd w:val="0"/>
        <w:snapToGrid w:val="0"/>
        <w:spacing w:line="360" w:lineRule="auto"/>
        <w:rPr>
          <w:rFonts w:cs="宋体"/>
          <w:sz w:val="28"/>
          <w:szCs w:val="28"/>
        </w:rPr>
      </w:pPr>
      <w:r>
        <w:rPr>
          <w:rFonts w:cs="宋体"/>
          <w:sz w:val="28"/>
          <w:szCs w:val="28"/>
        </w:rPr>
        <w:t>15．违约赔偿</w:t>
      </w:r>
    </w:p>
    <w:p w14:paraId="2D47ADE1">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除第16条规定的不可抗力外，如果乙方没有按照合同规定的时间交货和提供服务，甲方可从货款中扣除违约赔偿费，赔偿费应按每周迟交货物（含软件及相关服务）或未提供服务交货价的1％计收。但违约损失赔偿费的最高限额为迟交货物（含软件及相关服务）或没有提供服务的合同价的5％。一周按7天计算，不足7天按一周计算。甲方有权终止合同，并按合同约定及法律规定追究乙方的违约责任。</w:t>
      </w:r>
    </w:p>
    <w:p w14:paraId="4FFEED70">
      <w:pPr>
        <w:pStyle w:val="4"/>
        <w:adjustRightInd w:val="0"/>
        <w:snapToGrid w:val="0"/>
        <w:spacing w:line="360" w:lineRule="auto"/>
        <w:rPr>
          <w:rFonts w:cs="宋体"/>
          <w:sz w:val="28"/>
          <w:szCs w:val="28"/>
        </w:rPr>
      </w:pPr>
      <w:r>
        <w:rPr>
          <w:rFonts w:cs="宋体"/>
          <w:sz w:val="28"/>
          <w:szCs w:val="28"/>
        </w:rPr>
        <w:t>16．不可抗力</w:t>
      </w:r>
    </w:p>
    <w:p w14:paraId="7DF4AA5F">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16.l 如果双方中任何一方由于战争、严重火灾、水灾、台风和地震以及其它经双方同意属于不可抗力的事故，致使合同履行受阻时，履行合同的期限应予以延长，延长的期限应相当于事故所影响的时间。</w:t>
      </w:r>
    </w:p>
    <w:p w14:paraId="34A7BC40">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16.2 受事故影响的一方应在不可抗力事故发生后尽快以电报、传真或电传通知另一方，并在事故发生后14天内，将有关部门出具的证明文件用特快专递寄给或送给另一方。如果不可抗力影响时间延续120天以上，双方应通过友好协商在合理的时间内达成进一步履行合同的协议。</w:t>
      </w:r>
    </w:p>
    <w:p w14:paraId="70C5114B">
      <w:pPr>
        <w:pStyle w:val="4"/>
        <w:adjustRightInd w:val="0"/>
        <w:snapToGrid w:val="0"/>
        <w:spacing w:line="360" w:lineRule="auto"/>
        <w:rPr>
          <w:rFonts w:cs="宋体"/>
          <w:sz w:val="28"/>
          <w:szCs w:val="28"/>
        </w:rPr>
      </w:pPr>
      <w:r>
        <w:rPr>
          <w:rFonts w:cs="宋体"/>
          <w:sz w:val="28"/>
          <w:szCs w:val="28"/>
        </w:rPr>
        <w:t>17．税费</w:t>
      </w:r>
    </w:p>
    <w:p w14:paraId="41C07142">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17.l 中国政府根据现行税法对甲方征收的与本合同有关的一切税费均由甲方承担。</w:t>
      </w:r>
    </w:p>
    <w:p w14:paraId="6968B9C1">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17.2 中国政府根据现行税法对乙方征收的与本合同有关的一切税费均由乙方承担。</w:t>
      </w:r>
    </w:p>
    <w:p w14:paraId="69F47E39">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17.3 在中国境外发生的与执行本合同有关的一切税费均由乙方承担。</w:t>
      </w:r>
    </w:p>
    <w:p w14:paraId="1FBF2FE3">
      <w:pPr>
        <w:pStyle w:val="4"/>
        <w:adjustRightInd w:val="0"/>
        <w:snapToGrid w:val="0"/>
        <w:spacing w:line="360" w:lineRule="auto"/>
        <w:rPr>
          <w:rFonts w:cs="宋体"/>
          <w:sz w:val="28"/>
          <w:szCs w:val="28"/>
        </w:rPr>
      </w:pPr>
      <w:r>
        <w:rPr>
          <w:rFonts w:cs="宋体"/>
          <w:sz w:val="28"/>
          <w:szCs w:val="28"/>
        </w:rPr>
        <w:t>18．仲裁</w:t>
      </w:r>
    </w:p>
    <w:p w14:paraId="1F29BE82">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18.l 买卖双方应通过友好协商，解决在执行本合同中所发生的或与本合同有关的一切争端，如果协商仍得不到解决，任何一方均可按“中华人民共和国民法典”规定提交调解和仲裁。</w:t>
      </w:r>
    </w:p>
    <w:p w14:paraId="6395593C">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18.2 仲裁裁决应为终局裁决，对双方均具有约束力。</w:t>
      </w:r>
    </w:p>
    <w:p w14:paraId="3CCC51B3">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18.3 仲裁费除仲裁机构另有裁决外应由败诉方负担。</w:t>
      </w:r>
    </w:p>
    <w:p w14:paraId="6755F200">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18.4 在仲裁期间，除正在进行仲裁的部分外，合同其它部分继续执行。</w:t>
      </w:r>
    </w:p>
    <w:p w14:paraId="2C475944">
      <w:pPr>
        <w:pStyle w:val="4"/>
        <w:adjustRightInd w:val="0"/>
        <w:snapToGrid w:val="0"/>
        <w:spacing w:line="360" w:lineRule="auto"/>
        <w:rPr>
          <w:rFonts w:cs="宋体"/>
          <w:sz w:val="28"/>
          <w:szCs w:val="28"/>
        </w:rPr>
      </w:pPr>
      <w:r>
        <w:rPr>
          <w:rFonts w:cs="宋体"/>
          <w:sz w:val="28"/>
          <w:szCs w:val="28"/>
        </w:rPr>
        <w:t>19．违约终止合同</w:t>
      </w:r>
    </w:p>
    <w:p w14:paraId="14FAC0DC">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19.l 乙方有下列违约情况之一，并在收到甲方违约通知后的合理时间内，或经甲方书面认可延长的时间内未能纠正其过失，甲方可向乙方发出书面通知，终止部分或全部合同。在这种情况下，并不影响甲方向乙方提出索赔。</w:t>
      </w:r>
    </w:p>
    <w:p w14:paraId="0AAD00FD">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（l）如果乙方未能在合同规定的期限或甲方同意延期的限期内提供全部或部分货物（含软件及相关服务）；</w:t>
      </w:r>
    </w:p>
    <w:p w14:paraId="108D59C6">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（2）如果乙方未能履行合同规定的其它义务。</w:t>
      </w:r>
    </w:p>
    <w:p w14:paraId="6C134611">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19.2 在甲方根据第20条规定，终止了全部或部分合同，甲方可以依其认为适当的条件和方式购买与未交货物（含软件及相关服务）类似的货物（含软件及相关服务），乙方应对购买类似货物（含软件及相关服务）所超出的费用负责。而且乙方还应继续执行合同中未终止的部分。</w:t>
      </w:r>
    </w:p>
    <w:p w14:paraId="1D88B7A8">
      <w:pPr>
        <w:pStyle w:val="4"/>
        <w:adjustRightInd w:val="0"/>
        <w:snapToGrid w:val="0"/>
        <w:spacing w:line="360" w:lineRule="auto"/>
        <w:rPr>
          <w:rFonts w:cs="宋体"/>
          <w:sz w:val="28"/>
          <w:szCs w:val="28"/>
        </w:rPr>
      </w:pPr>
      <w:r>
        <w:rPr>
          <w:rFonts w:cs="宋体"/>
          <w:sz w:val="28"/>
          <w:szCs w:val="28"/>
        </w:rPr>
        <w:t>20．破产终止合同</w:t>
      </w:r>
    </w:p>
    <w:p w14:paraId="319E9404">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如果乙方破产或无清偿能力，甲方可在任何时候以书面通知乙方终止合同，该终止合同以不损害或影响甲方已经采取或将采取补救措施的权利。</w:t>
      </w:r>
    </w:p>
    <w:p w14:paraId="5E68F0F4">
      <w:pPr>
        <w:pStyle w:val="4"/>
        <w:adjustRightInd w:val="0"/>
        <w:snapToGrid w:val="0"/>
        <w:spacing w:line="360" w:lineRule="auto"/>
        <w:rPr>
          <w:rFonts w:cs="宋体"/>
          <w:sz w:val="28"/>
          <w:szCs w:val="28"/>
        </w:rPr>
      </w:pPr>
      <w:r>
        <w:rPr>
          <w:rFonts w:cs="宋体"/>
          <w:sz w:val="28"/>
          <w:szCs w:val="28"/>
        </w:rPr>
        <w:t>21．转让与分包</w:t>
      </w:r>
    </w:p>
    <w:p w14:paraId="656CC470">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21.1 未经甲方事先书面同意，乙方不得部分转让或全部转让其应履行的合同义务。</w:t>
      </w:r>
    </w:p>
    <w:p w14:paraId="645C9463">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21.2 对投标中没有明确分包的合同，乙方应书面通知甲方本合同中将分包的全部分包合同，在原投标/响应文件中或后来发出的分包通知均不能解除乙方履行本合同的义务。</w:t>
      </w:r>
    </w:p>
    <w:p w14:paraId="687FD8B7">
      <w:pPr>
        <w:pStyle w:val="4"/>
        <w:adjustRightInd w:val="0"/>
        <w:snapToGrid w:val="0"/>
        <w:spacing w:line="360" w:lineRule="auto"/>
        <w:rPr>
          <w:rFonts w:cs="宋体"/>
          <w:sz w:val="28"/>
          <w:szCs w:val="28"/>
        </w:rPr>
      </w:pPr>
      <w:r>
        <w:rPr>
          <w:rFonts w:cs="宋体"/>
          <w:sz w:val="28"/>
          <w:szCs w:val="28"/>
        </w:rPr>
        <w:t>22．适用法律</w:t>
      </w:r>
    </w:p>
    <w:p w14:paraId="3A7B8DC3">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本合同应按中华人民共和国的法律进行解释。</w:t>
      </w:r>
    </w:p>
    <w:p w14:paraId="59142F14">
      <w:pPr>
        <w:pStyle w:val="4"/>
        <w:adjustRightInd w:val="0"/>
        <w:snapToGrid w:val="0"/>
        <w:spacing w:line="360" w:lineRule="auto"/>
        <w:rPr>
          <w:rFonts w:cs="宋体"/>
          <w:sz w:val="28"/>
          <w:szCs w:val="28"/>
        </w:rPr>
      </w:pPr>
      <w:r>
        <w:rPr>
          <w:rFonts w:cs="宋体"/>
          <w:sz w:val="28"/>
          <w:szCs w:val="28"/>
        </w:rPr>
        <w:t>23．合同生效及其它</w:t>
      </w:r>
    </w:p>
    <w:p w14:paraId="75047716">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23.1 合同在双方签字盖章后生效。</w:t>
      </w:r>
    </w:p>
    <w:p w14:paraId="3E8C6CD0">
      <w:pPr>
        <w:adjustRightInd w:val="0"/>
        <w:snapToGrid w:val="0"/>
        <w:spacing w:line="360" w:lineRule="auto"/>
        <w:ind w:firstLine="560" w:firstLineChars="200"/>
        <w:rPr>
          <w:rFonts w:ascii="宋体" w:hAnsi="宋体" w:cs="宋体"/>
          <w:sz w:val="28"/>
          <w:szCs w:val="28"/>
        </w:rPr>
      </w:pPr>
      <w:r>
        <w:rPr>
          <w:rFonts w:hint="eastAsia" w:ascii="宋体" w:hAnsi="宋体" w:cs="宋体"/>
          <w:sz w:val="28"/>
          <w:szCs w:val="28"/>
        </w:rPr>
        <w:t>23.2 如需修改或补充合同内容，经协商，双方应签署书面修改或补充协议并经招标人鉴证，该协议将作为本合同的一个组成部分。</w:t>
      </w:r>
    </w:p>
    <w:p w14:paraId="0C8153F9">
      <w:pPr>
        <w:adjustRightInd w:val="0"/>
        <w:snapToGrid w:val="0"/>
        <w:spacing w:line="360" w:lineRule="auto"/>
        <w:rPr>
          <w:rFonts w:ascii="宋体" w:hAnsi="宋体" w:cs="宋体"/>
          <w:dstrike/>
          <w:sz w:val="28"/>
          <w:szCs w:val="28"/>
        </w:rPr>
      </w:pPr>
    </w:p>
    <w:p w14:paraId="03C36A7C">
      <w:pPr>
        <w:adjustRightInd w:val="0"/>
        <w:snapToGrid w:val="0"/>
        <w:spacing w:line="360" w:lineRule="auto"/>
        <w:rPr>
          <w:rFonts w:ascii="宋体" w:hAnsi="宋体" w:cs="宋体"/>
          <w:b/>
          <w:sz w:val="28"/>
          <w:szCs w:val="28"/>
        </w:rPr>
      </w:pPr>
      <w:r>
        <w:rPr>
          <w:rFonts w:hint="eastAsia" w:ascii="宋体" w:hAnsi="宋体" w:cs="宋体"/>
          <w:b/>
          <w:sz w:val="28"/>
          <w:szCs w:val="28"/>
        </w:rPr>
        <w:t>备注：合同通用条款与合同专用条款不一致的，以合同专用条款为准。</w:t>
      </w:r>
    </w:p>
    <w:p w14:paraId="7FDB712A">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E85374"/>
    <w:multiLevelType w:val="singleLevel"/>
    <w:tmpl w:val="93E85374"/>
    <w:lvl w:ilvl="0" w:tentative="0">
      <w:start w:val="1"/>
      <w:numFmt w:val="decimal"/>
      <w:suff w:val="nothing"/>
      <w:lvlText w:val="（%1）"/>
      <w:lvlJc w:val="left"/>
    </w:lvl>
  </w:abstractNum>
  <w:abstractNum w:abstractNumId="1">
    <w:nsid w:val="54A268E6"/>
    <w:multiLevelType w:val="singleLevel"/>
    <w:tmpl w:val="54A268E6"/>
    <w:lvl w:ilvl="0" w:tentative="0">
      <w:start w:val="7"/>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26718C"/>
    <w:rsid w:val="2B2671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paragraph" w:styleId="4">
    <w:name w:val="heading 2"/>
    <w:basedOn w:val="1"/>
    <w:next w:val="1"/>
    <w:qFormat/>
    <w:uiPriority w:val="0"/>
    <w:pPr>
      <w:spacing w:before="100" w:beforeAutospacing="1" w:after="100" w:afterAutospacing="1"/>
      <w:jc w:val="left"/>
      <w:outlineLvl w:val="1"/>
    </w:pPr>
    <w:rPr>
      <w:rFonts w:hint="eastAsia" w:ascii="宋体" w:hAnsi="宋体" w:eastAsia="宋体" w:cs="宋体"/>
      <w:b/>
      <w:kern w:val="0"/>
      <w:sz w:val="36"/>
      <w:szCs w:val="36"/>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uiPriority w:val="0"/>
    <w:pPr>
      <w:spacing w:after="120" w:line="360" w:lineRule="auto"/>
    </w:pPr>
    <w:rPr>
      <w:rFonts w:eastAsia="仿宋"/>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2025-04-01T04:24:00Z</dcterms:created>
  <dc:creator>AOC</dc:creator>
  <cp:lastModifiedBy>AOC</cp:lastModifiedBy>
  <dcterms:modified xsi:type="dcterms:W3CDTF">2025-04-01T04:24:24Z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9D08980939944C389D5FFEFA91AA5A23_11</vt:lpwstr>
  </property>
</Properties>
</file>