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海南省体育彩票管理中心即开票高效运营服务项目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[tc2038]20250200001[GK]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海南省体育彩票管理中心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中招国际招标有限公司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海南省体育彩票管理中心</w:t>
      </w:r>
      <w:r>
        <w:rPr>
          <w:rFonts w:ascii="仿宋_GB2312" w:hAnsi="仿宋_GB2312" w:cs="仿宋_GB2312" w:eastAsia="仿宋_GB2312"/>
        </w:rPr>
        <w:t xml:space="preserve"> 委托， </w:t>
      </w:r>
      <w:r>
        <w:rPr>
          <w:rFonts w:ascii="仿宋_GB2312" w:hAnsi="仿宋_GB2312" w:cs="仿宋_GB2312" w:eastAsia="仿宋_GB2312"/>
        </w:rPr>
        <w:t>中招国际招标有限公司</w:t>
      </w:r>
      <w:r>
        <w:rPr>
          <w:rFonts w:ascii="仿宋_GB2312" w:hAnsi="仿宋_GB2312" w:cs="仿宋_GB2312" w:eastAsia="仿宋_GB2312"/>
        </w:rPr>
        <w:t xml:space="preserve"> 对 </w:t>
      </w:r>
      <w:r>
        <w:rPr>
          <w:rFonts w:ascii="仿宋_GB2312" w:hAnsi="仿宋_GB2312" w:cs="仿宋_GB2312" w:eastAsia="仿宋_GB2312"/>
        </w:rPr>
        <w:t>海南省体育彩票管理中心即开票高效运营服务项目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[tc2038]20250200001[GK]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海南省体育彩票管理中心即开票高效运营服务项目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5,230,000.00元</w:t>
      </w:r>
      <w:r>
        <w:rPr>
          <w:rFonts w:ascii="仿宋_GB2312" w:hAnsi="仿宋_GB2312" w:cs="仿宋_GB2312" w:eastAsia="仿宋_GB2312"/>
        </w:rPr>
        <w:t>伍佰贰拾叁万元整</w:t>
      </w:r>
    </w:p>
    <w:p>
      <w:pPr>
        <w:pStyle w:val="null3"/>
        <w:ind w:firstLine="480"/>
        <w:jc w:val="both"/>
      </w:pPr>
      <w:r>
        <w:rPr>
          <w:rFonts w:ascii="仿宋_GB2312" w:hAnsi="仿宋_GB2312" w:cs="仿宋_GB2312" w:eastAsia="仿宋_GB2312"/>
        </w:rPr>
        <w:t xml:space="preserve">4.最高限价（如有）： </w:t>
      </w:r>
      <w:r>
        <w:rPr>
          <w:rFonts w:ascii="仿宋_GB2312" w:hAnsi="仿宋_GB2312" w:cs="仿宋_GB2312" w:eastAsia="仿宋_GB2312"/>
        </w:rPr>
        <w:t>5,230,000.00元</w:t>
      </w:r>
    </w:p>
    <w:p>
      <w:pPr>
        <w:pStyle w:val="null3"/>
        <w:ind w:firstLine="480"/>
        <w:jc w:val="both"/>
      </w:pPr>
      <w:r>
        <w:rPr>
          <w:rFonts w:ascii="仿宋_GB2312" w:hAnsi="仿宋_GB2312" w:cs="仿宋_GB2312" w:eastAsia="仿宋_GB2312"/>
        </w:rPr>
        <w:t>5.采购需求：详见“第三章 采购需求 ”</w:t>
      </w:r>
    </w:p>
    <w:p>
      <w:pPr>
        <w:pStyle w:val="null3"/>
        <w:ind w:firstLine="480"/>
        <w:jc w:val="both"/>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合同签订之日起 ，双方按月进行支付</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1、投标人须在海南政府采购网(https://ccgp-hainan.gov.cn/maincms-web/)中的海南省政府采购智慧云平台进行注册并完善信息，然后下载参与投标项目电子招标文件（数据包）及其他文件； 2、注意事项：电子标采用全程电子化操作，供应商应详细阅读海南政府采购网的通知《海南省财政厅关于进一步推进政府采购全流程电子化的通知》，供应商使用交易系统遇到问题可致电技术支持：0898-66220881/0898-66220882。</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海南省体育彩票管理中心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海南省海口市国兴大道68号歌舞剧院首层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王祖铭</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13379910304</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中招国际招标有限公司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北京市海淀区学院南路62号院1号楼6层（601-615室）、9层（903-915室）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王家宇</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15702331389</w:t>
      </w:r>
    </w:p>
    <w:p>
      <w:pPr>
        <w:pStyle w:val="null3"/>
        <w:jc w:val="left"/>
        <w:outlineLvl w:val="2"/>
      </w:pPr>
      <w:r>
        <w:rPr>
          <w:rFonts w:ascii="仿宋_GB2312" w:hAnsi="仿宋_GB2312" w:cs="仿宋_GB2312" w:eastAsia="仿宋_GB2312"/>
          <w:sz w:val="28"/>
          <w:b/>
        </w:rPr>
        <w:t>八、采购信息发布媒体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采购包1：5,230,000.00元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代理服务费收费标准：根据《海南省物价局关于降低部分招标代理服 务收费标准的通知》（琼价费管[2011]225 号文）、《国家 发展改革委关于进一步放开建设项目专业服务价格的通知》 （发改价格[2015] 299 号）的规定收取。 支付形式： 电汇、支票、银行转账 支付时间： 中标通知书发出之日 收取招标代理服务费的账户信息如下： 收款单位： 中招国际招标有限公司海南分公司 开户银行： 中国工商银行股份有限公司三亚东方支行 银行账号：2201002509200275404</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1.根据《政府采购促进中小企业发展管理办法》 (财库 (2020)46号)第六条“ 符合下列情形之一的，可不专门面向 中小企业预留采购份额： (三)按照本办法规定预留采购份额无法确保充分供应、充分竞争或者存在可能影响政府采 购目标实现的情形 ”的规定，本项 目不专门面向中小企业 , 若专门面向中小企业采购,可能会导致竞争性不足 ，从 而无法满足政府采购目标实现的情形 。因此采取非专门面 向中小企业采购 ，大中型企业均可参与。 2.评审委员会构成人数5人,其中采购人代表1人，专家4人评审专家从海南省综合评标专家库中随机抽取，其中技术、经济等方面的专家（即从海南省综合评标专家库中随机抽取相关专业的专家）不得少于成员总数的2/3。该评标委员会独立工作，负责评审所有投标文件并确定中标侯选人。</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联系人：王家宇</w:t>
      </w:r>
    </w:p>
    <w:p>
      <w:pPr>
        <w:pStyle w:val="null3"/>
        <w:jc w:val="left"/>
      </w:pPr>
      <w:r>
        <w:rPr>
          <w:rFonts w:ascii="仿宋_GB2312" w:hAnsi="仿宋_GB2312" w:cs="仿宋_GB2312" w:eastAsia="仿宋_GB2312"/>
        </w:rPr>
        <w:t>联系电话：15702331389</w:t>
      </w:r>
    </w:p>
    <w:p>
      <w:pPr>
        <w:pStyle w:val="null3"/>
        <w:jc w:val="left"/>
      </w:pPr>
      <w:r>
        <w:rPr>
          <w:rFonts w:ascii="仿宋_GB2312" w:hAnsi="仿宋_GB2312" w:cs="仿宋_GB2312" w:eastAsia="仿宋_GB2312"/>
        </w:rPr>
        <w:t>地址：海南省三亚市吉阳区凤凰路与迎宾路交叉口中环广场1#写字楼2502房</w:t>
      </w:r>
    </w:p>
    <w:p>
      <w:pPr>
        <w:pStyle w:val="null3"/>
        <w:jc w:val="left"/>
      </w:pPr>
      <w:r>
        <w:rPr>
          <w:rFonts w:ascii="仿宋_GB2312" w:hAnsi="仿宋_GB2312" w:cs="仿宋_GB2312" w:eastAsia="仿宋_GB2312"/>
        </w:rPr>
        <w:t>邮编：572099</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color w:val="000000"/>
        </w:rPr>
        <w:t>加强即开型体育彩票（简称：即开票）的集中管理、物流配送，</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为全省彩票网点代销者提供更好的仓储配送服务。本项目为采购即开</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票配送服务及配送运营分析，包含的服务内容为：即开票票务订购系</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统、运营管理、仓储管理、物流配送、库存优化、运营支持等服务。</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5,230,000.00</w:t>
      </w:r>
    </w:p>
    <w:p>
      <w:pPr>
        <w:pStyle w:val="null3"/>
        <w:jc w:val="left"/>
      </w:pPr>
      <w:r>
        <w:rPr>
          <w:rFonts w:ascii="仿宋_GB2312" w:hAnsi="仿宋_GB2312" w:cs="仿宋_GB2312" w:eastAsia="仿宋_GB2312"/>
        </w:rPr>
        <w:t>采购包最高限价（元）: 5,230,000.00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C15990000-其他交通运输、仓储服务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5,230,000.00</w:t>
            </w:r>
          </w:p>
        </w:tc>
        <w:tc>
          <w:tcPr>
            <w:tcW w:type="dxa" w:w="831"/>
          </w:tcPr>
          <w:p>
            <w:pPr>
              <w:pStyle w:val="null3"/>
              <w:jc w:val="left"/>
            </w:pPr>
            <w:r>
              <w:rPr>
                <w:rFonts w:ascii="仿宋_GB2312" w:hAnsi="仿宋_GB2312" w:cs="仿宋_GB2312" w:eastAsia="仿宋_GB2312"/>
              </w:rPr>
              <w:t>元/年</w:t>
            </w:r>
          </w:p>
        </w:tc>
        <w:tc>
          <w:tcPr>
            <w:tcW w:type="dxa" w:w="831"/>
          </w:tcPr>
          <w:p>
            <w:pPr>
              <w:pStyle w:val="null3"/>
              <w:jc w:val="left"/>
            </w:pPr>
            <w:r>
              <w:rPr>
                <w:rFonts w:ascii="仿宋_GB2312" w:hAnsi="仿宋_GB2312" w:cs="仿宋_GB2312" w:eastAsia="仿宋_GB2312"/>
              </w:rPr>
              <w:t>交通运输业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C15990000-其他交通运输、仓储服务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0.85</w:t>
            </w:r>
          </w:p>
        </w:tc>
        <w:tc>
          <w:tcPr>
            <w:tcW w:type="dxa" w:w="1384"/>
          </w:tcPr>
          <w:p>
            <w:pPr>
              <w:pStyle w:val="null3"/>
              <w:jc w:val="left"/>
            </w:pPr>
            <w:r>
              <w:rPr>
                <w:rFonts w:ascii="仿宋_GB2312" w:hAnsi="仿宋_GB2312" w:cs="仿宋_GB2312" w:eastAsia="仿宋_GB2312"/>
              </w:rPr>
              <w:t>百分比</w:t>
            </w:r>
          </w:p>
        </w:tc>
        <w:tc>
          <w:tcPr>
            <w:tcW w:type="dxa" w:w="1038"/>
          </w:tcPr>
          <w:p>
            <w:pPr>
              <w:pStyle w:val="null3"/>
              <w:jc w:val="left"/>
            </w:pPr>
            <w:r>
              <w:rPr>
                <w:rFonts w:ascii="仿宋_GB2312" w:hAnsi="仿宋_GB2312" w:cs="仿宋_GB2312" w:eastAsia="仿宋_GB2312"/>
              </w:rPr>
              <w:t>最高费率报价不得超过0.85%</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标的名称：C15990000-其他交通运输、仓储服务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1、仓储管理：（1）供应商需根据国家体育总局体育彩票管理中心对即开票仓 储管理工作的标准和要求，提供符合防火等级为丙二类的仓库，仓库 面积不小于 200 平米，用于即开票的储存、分拣、发放等工作。按本 项目需求，仓库内须提供 24 小时不间断的安全监控，监控视频至少 存储 30 天。（2）做好仓库即开票存储、出库、入库及日常盘点等工作，根 据实时订单，及时、准确、安全的进行即开票分拣打包工作。确保系 统与实物相符。每月末（最后一天）进行月盘点、月出入库盘点。（3）优化库存：合理优化即开票库存，避免积压，按照市场 6-8 周销量确定每个票种库存预警值，通过高效系统快速铺票，确保低库 存水平和快速流转。（4）仓内安全作业：服务商按照规范及要求及时受理用户订单， 准确、安全地进行即开票分拣打包工作。</w:t>
            </w:r>
          </w:p>
          <w:p>
            <w:pPr>
              <w:pStyle w:val="null3"/>
              <w:jc w:val="left"/>
            </w:pPr>
            <w:r>
              <w:rPr>
                <w:rFonts w:ascii="仿宋_GB2312" w:hAnsi="仿宋_GB2312" w:cs="仿宋_GB2312" w:eastAsia="仿宋_GB2312"/>
              </w:rPr>
              <w:t>2、订票管理：提供高效运营的订票管理系统，该系统须提供可接入国家体育总局体育彩票管理中心即开票分散销售管理系统，获取 相关数据的证明材料或授权许可合作认可或已实现与即开票分散销 售管理系统实施数据交互。实现在网点订购即开票并直接通过系统确 认并扣减网点订票额度后，方可向销售网点配送即开票。供应商不得 通过其它任何形式向网点收取订票款。</w:t>
            </w:r>
          </w:p>
          <w:p>
            <w:pPr>
              <w:pStyle w:val="null3"/>
              <w:jc w:val="left"/>
            </w:pPr>
            <w:r>
              <w:rPr>
                <w:rFonts w:ascii="仿宋_GB2312" w:hAnsi="仿宋_GB2312" w:cs="仿宋_GB2312" w:eastAsia="仿宋_GB2312"/>
              </w:rPr>
              <w:t>3、配送要求：即开票配送全过程的监控与管理，包括取件、出 库、配送、门店签收等全过程跟踪。 根据需求，承担海南省体育彩 票管理中心销售门店即开票配送。对有效订单，海口市区内实现“一 日达 ”（下订单后一 日内送达），对海口市偏远地区及乡镇、海南省除 海口的其他市县区域门店实现“ 两 日达 ”（两日内送达，对个别交通 不便利或较偏远地区在标准送达时效上加 1 日，当 日 16:00 以后的 订单可视为次日 8:30 的订单），采购人要求销售门店单次即开票订 单量不少于 1800 元（可根据当地即开票市场情况调整）。</w:t>
            </w:r>
          </w:p>
          <w:p>
            <w:pPr>
              <w:pStyle w:val="null3"/>
              <w:jc w:val="left"/>
            </w:pPr>
            <w:r>
              <w:rPr>
                <w:rFonts w:ascii="仿宋_GB2312" w:hAnsi="仿宋_GB2312" w:cs="仿宋_GB2312" w:eastAsia="仿宋_GB2312"/>
              </w:rPr>
              <w:t>4、运营支持服务。 建立以大数据分析平台为基础的报表服务体系。对门店订购情况、 销售情况、库存情况、票种情况、即开票销售门店情况进行实时跟踪  并提供数据分析，实时为省市中心、地市专管员呈现销售情况和库存  情况数据报表，形成月、年市场分析报告，为采购人提供决策信息支  持以及优化建议。制定营销管理支持方案，确保在采购人开展营销活动期间，根据采购人需求跟踪营销活动市场反馈情况，对网点的铺票、 库存、销售等情况信息进行统计分析，为采购人他提供改进建议。根 据采购人需求，编写培训课件，提供培训服务。</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一、报价及结算要求。 本项目预算采购金额 523 万元，最高费率报价不得超过 0.85%， 否则投标无效；每月费用标准为每月海南省即开票确认销量总额*投标费率进行计算，具体以每月配送金额据实进行结算，费用支付按投标费率与实际发生数量据实结算，当最终结算金额超过合同最终总金 额时合同终止，当月内并按不超过合同最终金额进行结算，且投标人 需要完成当月所有订单。</w:t>
            </w:r>
          </w:p>
          <w:p>
            <w:pPr>
              <w:pStyle w:val="null3"/>
              <w:jc w:val="left"/>
            </w:pPr>
            <w:r>
              <w:rPr>
                <w:rFonts w:ascii="仿宋_GB2312" w:hAnsi="仿宋_GB2312" w:cs="仿宋_GB2312" w:eastAsia="仿宋_GB2312"/>
              </w:rPr>
              <w:t>二、.其他内容 1、报价要求：应为人民币含税包干价，包含人工费、材料费、 交通费、评审费用、税费等所有相关工作所发生的一切费用，采购人 将不再额外支付任何费用。 2、合同履行期限： 自合同签订生效之日起壹年。 3、合同履行地点：采购人指定地点 4、付款方式：详见结算要求</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除招标文件另有规定外，若出现有关法律、法规和规章有强制性规定但招标文件未列明的情形，则投标人应按照有关法律、法规和规章强制性规定执行。</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封面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投标保证金缴纳证明材料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技术部分35.00分</w:t>
            </w:r>
          </w:p>
          <w:p>
            <w:pPr>
              <w:pStyle w:val="null3"/>
              <w:jc w:val="both"/>
            </w:pPr>
            <w:r>
              <w:rPr>
                <w:rFonts w:ascii="仿宋_GB2312" w:hAnsi="仿宋_GB2312" w:cs="仿宋_GB2312" w:eastAsia="仿宋_GB2312"/>
              </w:rPr>
              <w:t>商务部分45.00分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系统运行方案</w:t>
            </w:r>
          </w:p>
        </w:tc>
        <w:tc>
          <w:tcPr>
            <w:tcW w:type="dxa" w:w="2492"/>
          </w:tcPr>
          <w:p>
            <w:pPr>
              <w:pStyle w:val="null3"/>
              <w:jc w:val="both"/>
            </w:pPr>
            <w:r>
              <w:rPr>
                <w:rFonts w:ascii="仿宋_GB2312" w:hAnsi="仿宋_GB2312" w:cs="仿宋_GB2312" w:eastAsia="仿宋_GB2312"/>
              </w:rPr>
              <w:t>投标人提供系统运行实施方案（包括但不限于平台技术建设方案、系统运行技术方案、系统运维等内容）1、 方案切实、完整、可行 ，系统架构合理、安全性强、性能强、主要功能齐全、实现技术可行 ，完全符合本项目实际情况的得10分； 2、方案比较可行、系统架构基本合理、性能较强、安全性一般，主要功能基本齐全，实现技术基本可行 ，较符合本项目实际情况的得7分：3、系统架构性能、主要功能及方案基本符合本项 目实际情况的得4分； 4、未提供相关内容不得分。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服务机构</w:t>
            </w:r>
          </w:p>
        </w:tc>
        <w:tc>
          <w:tcPr>
            <w:tcW w:type="dxa" w:w="2492"/>
          </w:tcPr>
          <w:p>
            <w:pPr>
              <w:pStyle w:val="null3"/>
              <w:jc w:val="both"/>
            </w:pPr>
            <w:r>
              <w:rPr>
                <w:rFonts w:ascii="仿宋_GB2312" w:hAnsi="仿宋_GB2312" w:cs="仿宋_GB2312" w:eastAsia="仿宋_GB2312"/>
              </w:rPr>
              <w:t>投标人符合下列要求之一的 ，得5分： 承诺合同签订后在项目所在地设立服务场所 （提供相关承诺）。</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安全保密管理</w:t>
            </w:r>
          </w:p>
        </w:tc>
        <w:tc>
          <w:tcPr>
            <w:tcW w:type="dxa" w:w="2492"/>
          </w:tcPr>
          <w:p>
            <w:pPr>
              <w:pStyle w:val="null3"/>
              <w:jc w:val="both"/>
            </w:pPr>
            <w:r>
              <w:rPr>
                <w:rFonts w:ascii="仿宋_GB2312" w:hAnsi="仿宋_GB2312" w:cs="仿宋_GB2312" w:eastAsia="仿宋_GB2312"/>
              </w:rPr>
              <w:t>提供同类产品或服务得安全、保密管理方案、管理制度以及安全管理相关认证资质 ，根据提供资料的专业性权威性，与本项目的关联性进行评分 。 1、管理制度全面，方案科学，与本项目关联高专业性或权威性方面优于项目需求得 ， 能保证项目很好的运行的得10分；2、管理制度合理方案可行，与项目的关联性一般，能较 好的保证项目安全运行得7分；3、 管理制度合理，方案可行，能基本保证项目安全运行得4分；4、未提供相关内容不得分。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服务方案</w:t>
            </w:r>
          </w:p>
        </w:tc>
        <w:tc>
          <w:tcPr>
            <w:tcW w:type="dxa" w:w="2492"/>
          </w:tcPr>
          <w:p>
            <w:pPr>
              <w:pStyle w:val="null3"/>
              <w:jc w:val="both"/>
            </w:pPr>
            <w:r>
              <w:rPr>
                <w:rFonts w:ascii="仿宋_GB2312" w:hAnsi="仿宋_GB2312" w:cs="仿宋_GB2312" w:eastAsia="仿宋_GB2312"/>
              </w:rPr>
              <w:t>根据投标人提供的服务方案进行综合评分，方案内容包括但不限于售后人员合理配置、满意度调查、增值服务、售后服务响应时效、本地服务人员设置等进行评分 。1、方案措施合理 ，切实、完整、可行 ， 响应及时 ，符合本项目实际情况的得10分；2、方案措施较合理、较充 分且可行 ，较符合本项目实际情况的得7分；3、方案措施基本合理 ，基本符合本项目实际情况的得 4分 ；4、未提供相关内容不得分。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投标人资质</w:t>
            </w:r>
          </w:p>
        </w:tc>
        <w:tc>
          <w:tcPr>
            <w:tcW w:type="dxa" w:w="2492"/>
          </w:tcPr>
          <w:p>
            <w:pPr>
              <w:pStyle w:val="null3"/>
              <w:jc w:val="both"/>
            </w:pPr>
            <w:r>
              <w:rPr>
                <w:rFonts w:ascii="仿宋_GB2312" w:hAnsi="仿宋_GB2312" w:cs="仿宋_GB2312" w:eastAsia="仿宋_GB2312"/>
              </w:rPr>
              <w:t>1、投标人通过彩票安全控制标准认证 。 2、投标人具有有效的质量管理体系认证证书； 3、投标人具有有效的信息安全管理体系认证证书； 4、投标人具有环境管理体系认证证书； 5、投标人具有职业健康安全管理体系认证证书： 注 ：未满足一项的扣2分，提供证明材料须加盖公章。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业绩经验</w:t>
            </w:r>
          </w:p>
        </w:tc>
        <w:tc>
          <w:tcPr>
            <w:tcW w:type="dxa" w:w="2492"/>
          </w:tcPr>
          <w:p>
            <w:pPr>
              <w:pStyle w:val="null3"/>
              <w:jc w:val="both"/>
            </w:pPr>
            <w:r>
              <w:rPr>
                <w:rFonts w:ascii="仿宋_GB2312" w:hAnsi="仿宋_GB2312" w:cs="仿宋_GB2312" w:eastAsia="仿宋_GB2312"/>
              </w:rPr>
              <w:t>投标人须提供2023年1月1日至今承接同类项目业绩（仓储及物流配送）， 以合同签订日为准 ，每提供一项得1分 ，最高8分 。 注 ：提供合同复印件加盖公章 。无或未按要求提供证明材料的不得分 。同一用户多个业绩只算一个。</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服务评级</w:t>
            </w:r>
          </w:p>
        </w:tc>
        <w:tc>
          <w:tcPr>
            <w:tcW w:type="dxa" w:w="2492"/>
          </w:tcPr>
          <w:p>
            <w:pPr>
              <w:pStyle w:val="null3"/>
              <w:jc w:val="both"/>
            </w:pPr>
            <w:r>
              <w:rPr>
                <w:rFonts w:ascii="仿宋_GB2312" w:hAnsi="仿宋_GB2312" w:cs="仿宋_GB2312" w:eastAsia="仿宋_GB2312"/>
              </w:rPr>
              <w:t xml:space="preserve"> 1,上述经评审认可的业绩中，履约反馈或满意度评价为良好或满意及以上的服务满意度评价得1分 ，最高8分 ，每个用户只计一次 ，不重复计算 。提供相关证明材料。</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运营需求</w:t>
            </w:r>
          </w:p>
        </w:tc>
        <w:tc>
          <w:tcPr>
            <w:tcW w:type="dxa" w:w="2492"/>
          </w:tcPr>
          <w:p>
            <w:pPr>
              <w:pStyle w:val="null3"/>
              <w:jc w:val="both"/>
            </w:pPr>
            <w:r>
              <w:rPr>
                <w:rFonts w:ascii="仿宋_GB2312" w:hAnsi="仿宋_GB2312" w:cs="仿宋_GB2312" w:eastAsia="仿宋_GB2312"/>
              </w:rPr>
              <w:t>1,投标人须在中标通知书下达后30个日历日内完成项目所有筹备工作 ，实现完成该项目所需票务系统通过国家体彩中心第三代体育彩票全业务统一运营支撑平台（G3系统）接入互联测试 ，投标人须承诺做好技术衔接工作 ， 确保采购人业务连续性及系统安全稳定运行 ，满足全省 即开票高效运营系统服务项目全面上线正式运营的需求 。 本项目所需票务系统已通过国家体彩中心第三代体育彩票全业务统一运营支撑平台（G3系统）接入互联测试得3分 ，提供接入测试报告或相关证明；</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服务响应</w:t>
            </w:r>
          </w:p>
        </w:tc>
        <w:tc>
          <w:tcPr>
            <w:tcW w:type="dxa" w:w="2492"/>
          </w:tcPr>
          <w:p>
            <w:pPr>
              <w:pStyle w:val="null3"/>
              <w:jc w:val="both"/>
            </w:pPr>
            <w:r>
              <w:rPr>
                <w:rFonts w:ascii="仿宋_GB2312" w:hAnsi="仿宋_GB2312" w:cs="仿宋_GB2312" w:eastAsia="仿宋_GB2312"/>
              </w:rPr>
              <w:t>1,筹备工作完成的承诺函 ①承诺提前3个日历日完成所有筹备工作的得1分； ②承诺提前5个日历日完成所有筹备工作的得3分； 承诺提前8个日历日完成所有筹备工作的得5分； 其余不得分 。 注 ：提供承诺函加盖供应商公章。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知识产权</w:t>
            </w:r>
          </w:p>
        </w:tc>
        <w:tc>
          <w:tcPr>
            <w:tcW w:type="dxa" w:w="2492"/>
          </w:tcPr>
          <w:p>
            <w:pPr>
              <w:pStyle w:val="null3"/>
              <w:jc w:val="both"/>
            </w:pPr>
            <w:r>
              <w:rPr>
                <w:rFonts w:ascii="仿宋_GB2312" w:hAnsi="仿宋_GB2312" w:cs="仿宋_GB2312" w:eastAsia="仿宋_GB2312"/>
              </w:rPr>
              <w:t>投标人具有与本项目服务相关的自主软件著作权证书， 每个得2分 ，最高得6分 。（提供有效证明材料） 注 ： 未提供不得分 ，提供证明材料须加盖公章。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系统安全等级</w:t>
            </w:r>
          </w:p>
        </w:tc>
        <w:tc>
          <w:tcPr>
            <w:tcW w:type="dxa" w:w="2492"/>
          </w:tcPr>
          <w:p>
            <w:pPr>
              <w:pStyle w:val="null3"/>
              <w:jc w:val="both"/>
            </w:pPr>
            <w:r>
              <w:rPr>
                <w:rFonts w:ascii="仿宋_GB2312" w:hAnsi="仿宋_GB2312" w:cs="仿宋_GB2312" w:eastAsia="仿宋_GB2312"/>
              </w:rPr>
              <w:t>投标人所提供的票务订购管理系统须通过国家认可的信息系统安全等级（二级及以下）保护备案证明的得2分；通过国家认可的信息系统安全等级（三级及以上）保护备案证明的得5分。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C15990000-其他交通运输、仓储服务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[tc2038]20250200001[GK]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海南省体育彩票管理中心即开票高效运营服务项目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海南省体育彩票管理中心即开票高效运营服务项目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报价类型</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C15990000-其他交通运输、仓储服务</w:t>
            </w:r>
          </w:p>
        </w:tc>
        <w:tc>
          <w:tcPr>
            <w:tcW w:type="dxa" w:w="1038"/>
          </w:tcPr>
          <w:p>
            <w:pPr>
              <w:pStyle w:val="null3"/>
              <w:jc w:val="left"/>
            </w:pPr>
            <w:r>
              <w:rPr>
                <w:rFonts w:ascii="仿宋_GB2312" w:hAnsi="仿宋_GB2312" w:cs="仿宋_GB2312" w:eastAsia="仿宋_GB2312"/>
              </w:rPr>
              <w:t xml:space="preserve"> /年</w:t>
            </w:r>
          </w:p>
        </w:tc>
        <w:tc>
          <w:tcPr>
            <w:tcW w:type="dxa" w:w="1038"/>
          </w:tcPr>
          <w:p>
            <w:pPr>
              <w:pStyle w:val="null3"/>
              <w:jc w:val="left"/>
            </w:pPr>
            <w:r>
              <w:rPr>
                <w:rFonts w:ascii="仿宋_GB2312" w:hAnsi="仿宋_GB2312" w:cs="仿宋_GB2312" w:eastAsia="仿宋_GB2312"/>
              </w:rPr>
              <w:t xml:space="preserve"> 0.85 </w:t>
            </w:r>
            <w:r>
              <w:rPr>
                <w:rFonts w:ascii="仿宋_GB2312" w:hAnsi="仿宋_GB2312" w:cs="仿宋_GB2312" w:eastAsia="仿宋_GB2312"/>
              </w:rPr>
              <w:t xml:space="preserve"> %</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w:t>
            </w:r>
          </w:p>
        </w:tc>
        <w:tc>
          <w:tcPr>
            <w:tcW w:type="dxa" w:w="1038"/>
          </w:tcPr>
          <w:p>
            <w:pPr>
              <w:pStyle w:val="null3"/>
              <w:jc w:val="left"/>
            </w:pPr>
            <w:r>
              <w:rPr>
                <w:rFonts w:ascii="仿宋_GB2312" w:hAnsi="仿宋_GB2312" w:cs="仿宋_GB2312" w:eastAsia="仿宋_GB2312"/>
              </w:rPr>
              <w:t xml:space="preserve"> 百分比</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备注：最高费率报价不得超过0.85%</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