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90350">
      <w:pPr>
        <w:pStyle w:val="5"/>
        <w:numPr>
          <w:ilvl w:val="0"/>
          <w:numId w:val="1"/>
        </w:numPr>
        <w:spacing w:line="540" w:lineRule="exact"/>
        <w:jc w:val="center"/>
        <w:rPr>
          <w:rFonts w:hint="eastAsia" w:ascii="仿宋" w:hAnsi="仿宋" w:eastAsia="仿宋" w:cs="仿宋"/>
          <w:b/>
          <w:sz w:val="44"/>
          <w:szCs w:val="44"/>
        </w:rPr>
      </w:pPr>
      <w:r>
        <w:rPr>
          <w:rFonts w:hint="eastAsia" w:ascii="仿宋" w:hAnsi="仿宋" w:eastAsia="仿宋" w:cs="仿宋"/>
          <w:b/>
          <w:sz w:val="44"/>
          <w:szCs w:val="44"/>
        </w:rPr>
        <w:t>合同文本（格式）</w:t>
      </w:r>
    </w:p>
    <w:p w14:paraId="144D3DDA">
      <w:pPr>
        <w:pStyle w:val="5"/>
        <w:spacing w:line="540" w:lineRule="exact"/>
        <w:rPr>
          <w:rFonts w:hint="eastAsia" w:ascii="仿宋" w:hAnsi="仿宋" w:eastAsia="仿宋" w:cs="仿宋"/>
          <w:b/>
          <w:sz w:val="44"/>
          <w:szCs w:val="44"/>
        </w:rPr>
      </w:pPr>
    </w:p>
    <w:p w14:paraId="4538EABF">
      <w:pPr>
        <w:pStyle w:val="2"/>
        <w:snapToGrid w:val="0"/>
        <w:spacing w:before="156" w:beforeLines="50" w:line="360" w:lineRule="auto"/>
        <w:rPr>
          <w:rFonts w:hint="eastAsia" w:hAnsi="宋体" w:cs="宋体"/>
          <w:color w:val="000000"/>
          <w:sz w:val="24"/>
        </w:rPr>
      </w:pPr>
      <w:r>
        <w:rPr>
          <w:rFonts w:hint="eastAsia" w:hAnsi="宋体" w:cs="宋体"/>
          <w:color w:val="000000"/>
          <w:sz w:val="24"/>
        </w:rPr>
        <w:t>委托人：海南省体育彩票管理中心（以下简称“甲方”）</w:t>
      </w:r>
    </w:p>
    <w:p w14:paraId="4778BF66">
      <w:pPr>
        <w:pStyle w:val="2"/>
        <w:snapToGrid w:val="0"/>
        <w:spacing w:before="156" w:beforeLines="50" w:line="360" w:lineRule="auto"/>
        <w:rPr>
          <w:rFonts w:hint="eastAsia" w:hAnsi="宋体" w:cs="宋体"/>
          <w:color w:val="000000"/>
          <w:sz w:val="24"/>
        </w:rPr>
      </w:pPr>
      <w:r>
        <w:rPr>
          <w:rFonts w:hint="eastAsia" w:hAnsi="宋体" w:cs="宋体"/>
          <w:color w:val="000000"/>
          <w:sz w:val="24"/>
        </w:rPr>
        <w:t>受托人：                      （以下简称“乙方”）</w:t>
      </w:r>
    </w:p>
    <w:p w14:paraId="77778441">
      <w:pPr>
        <w:pStyle w:val="2"/>
        <w:snapToGrid w:val="0"/>
        <w:spacing w:before="156" w:beforeLines="50" w:line="360" w:lineRule="auto"/>
        <w:rPr>
          <w:rFonts w:hint="eastAsia" w:hAnsi="宋体" w:cs="宋体"/>
          <w:color w:val="000000"/>
          <w:sz w:val="24"/>
        </w:rPr>
      </w:pPr>
    </w:p>
    <w:p w14:paraId="210AA034">
      <w:pPr>
        <w:pStyle w:val="2"/>
        <w:snapToGrid w:val="0"/>
        <w:spacing w:before="156" w:beforeLines="50" w:line="360" w:lineRule="auto"/>
        <w:rPr>
          <w:rFonts w:hint="eastAsia" w:hAnsi="宋体" w:cs="宋体"/>
          <w:b/>
          <w:color w:val="000000"/>
          <w:sz w:val="24"/>
        </w:rPr>
      </w:pPr>
      <w:r>
        <w:rPr>
          <w:rFonts w:hint="eastAsia" w:hAnsi="宋体" w:cs="宋体"/>
          <w:b/>
          <w:color w:val="000000"/>
          <w:sz w:val="24"/>
        </w:rPr>
        <w:t xml:space="preserve">    一、签约原则</w:t>
      </w:r>
    </w:p>
    <w:p w14:paraId="197DB32C">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根据《中华人民共和国民法典》及国家关于彩票发行销售的相关规定，本着互惠互利的原则，经平等协商，甲方作为中国体育彩票在海南省的销售管理机构，与乙方就在甲方规定的授权区域内开展“顶呱刮”纸质即开型体育彩票（以下简称“即开票”）配送的相关委托服务事宜达成如下条款，以便共同遵守。</w:t>
      </w:r>
    </w:p>
    <w:p w14:paraId="14B41751">
      <w:pPr>
        <w:pStyle w:val="2"/>
        <w:snapToGrid w:val="0"/>
        <w:spacing w:before="156" w:beforeLines="50" w:line="360" w:lineRule="auto"/>
        <w:rPr>
          <w:rFonts w:hint="eastAsia" w:hAnsi="宋体" w:cs="宋体"/>
          <w:b/>
          <w:color w:val="000000"/>
          <w:sz w:val="24"/>
        </w:rPr>
      </w:pPr>
      <w:r>
        <w:rPr>
          <w:rFonts w:hint="eastAsia" w:hAnsi="宋体" w:cs="宋体"/>
          <w:b/>
          <w:color w:val="000000"/>
          <w:sz w:val="24"/>
        </w:rPr>
        <w:t xml:space="preserve">    二、签约方</w:t>
      </w:r>
    </w:p>
    <w:p w14:paraId="2D97A094">
      <w:pPr>
        <w:pStyle w:val="2"/>
        <w:numPr>
          <w:ilvl w:val="0"/>
          <w:numId w:val="2"/>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甲方即海南省体育彩票管理中心（以下简称省中心）是受国家体育总局体育彩票管理中心业务指导和省级以上财政部门监管，隶属于海南省旅文厅，负责中国体育彩票在海南省行政区域内销售管理的唯一法人机构。</w:t>
      </w:r>
    </w:p>
    <w:p w14:paraId="65BAFB46">
      <w:pPr>
        <w:pStyle w:val="2"/>
        <w:numPr>
          <w:ilvl w:val="0"/>
          <w:numId w:val="2"/>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乙方是通过政府采购中标即开票高效物流服务供应商</w:t>
      </w:r>
      <w:r>
        <w:rPr>
          <w:rFonts w:hint="eastAsia" w:hAnsi="宋体" w:cs="宋体"/>
          <w:color w:val="000000"/>
          <w:sz w:val="24"/>
          <w:u w:val="single"/>
        </w:rPr>
        <w:t xml:space="preserve">              </w:t>
      </w:r>
      <w:r>
        <w:rPr>
          <w:rFonts w:hint="eastAsia" w:hAnsi="宋体" w:cs="宋体"/>
          <w:color w:val="000000"/>
          <w:sz w:val="24"/>
        </w:rPr>
        <w:t>。乙方接受甲方的委托，在授权区域内根据双方约定提供配送服务。在本协议约定的委托权限之外乙方实施的行为和产生的后果，除经甲方书面承认或追认外，均由乙方对外独立承担法律责任。</w:t>
      </w:r>
    </w:p>
    <w:p w14:paraId="30743E35">
      <w:pPr>
        <w:pStyle w:val="2"/>
        <w:snapToGrid w:val="0"/>
        <w:spacing w:before="156" w:beforeLines="50" w:line="360" w:lineRule="auto"/>
        <w:rPr>
          <w:rFonts w:hint="eastAsia" w:hAnsi="宋体" w:cs="宋体"/>
          <w:b/>
          <w:color w:val="000000"/>
          <w:sz w:val="24"/>
        </w:rPr>
      </w:pPr>
      <w:r>
        <w:rPr>
          <w:rFonts w:hint="eastAsia" w:hAnsi="宋体" w:cs="宋体"/>
          <w:b/>
          <w:color w:val="000000"/>
          <w:sz w:val="24"/>
        </w:rPr>
        <w:t xml:space="preserve">    三、服务时间</w:t>
      </w:r>
    </w:p>
    <w:p w14:paraId="5CF75E39">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本合同签订生效之日起至202</w:t>
      </w:r>
      <w:r>
        <w:rPr>
          <w:rFonts w:hint="eastAsia" w:hAnsi="宋体" w:cs="宋体"/>
          <w:color w:val="000000"/>
          <w:sz w:val="24"/>
          <w:u w:val="single"/>
        </w:rPr>
        <w:t xml:space="preserve"> </w:t>
      </w:r>
      <w:r>
        <w:rPr>
          <w:rFonts w:hint="eastAsia" w:hAnsi="宋体" w:cs="宋体"/>
          <w:color w:val="000000"/>
          <w:sz w:val="24"/>
        </w:rPr>
        <w:t xml:space="preserve">年 </w:t>
      </w:r>
      <w:r>
        <w:rPr>
          <w:rFonts w:hint="eastAsia" w:hAnsi="宋体" w:cs="宋体"/>
          <w:color w:val="000000"/>
          <w:sz w:val="24"/>
          <w:u w:val="single"/>
        </w:rPr>
        <w:t xml:space="preserve">  </w:t>
      </w:r>
      <w:r>
        <w:rPr>
          <w:rFonts w:hint="eastAsia" w:hAnsi="宋体" w:cs="宋体"/>
          <w:color w:val="000000"/>
          <w:sz w:val="24"/>
        </w:rPr>
        <w:t xml:space="preserve">月 </w:t>
      </w:r>
      <w:r>
        <w:rPr>
          <w:rFonts w:hint="eastAsia" w:hAnsi="宋体" w:cs="宋体"/>
          <w:color w:val="000000"/>
          <w:sz w:val="24"/>
          <w:u w:val="single"/>
        </w:rPr>
        <w:t xml:space="preserve">  </w:t>
      </w:r>
      <w:r>
        <w:rPr>
          <w:rFonts w:hint="eastAsia" w:hAnsi="宋体" w:cs="宋体"/>
          <w:color w:val="000000"/>
          <w:sz w:val="24"/>
        </w:rPr>
        <w:t>日。</w:t>
      </w:r>
    </w:p>
    <w:p w14:paraId="702DAB19">
      <w:pPr>
        <w:pStyle w:val="2"/>
        <w:snapToGrid w:val="0"/>
        <w:spacing w:before="156" w:beforeLines="50" w:line="360" w:lineRule="auto"/>
        <w:rPr>
          <w:rFonts w:hint="eastAsia" w:hAnsi="宋体" w:cs="宋体"/>
          <w:b/>
          <w:color w:val="000000"/>
          <w:sz w:val="24"/>
        </w:rPr>
      </w:pPr>
      <w:r>
        <w:rPr>
          <w:rFonts w:hint="eastAsia" w:hAnsi="宋体" w:cs="宋体"/>
          <w:b/>
          <w:color w:val="000000"/>
          <w:sz w:val="24"/>
        </w:rPr>
        <w:t xml:space="preserve">    四、服务内容</w:t>
      </w:r>
    </w:p>
    <w:p w14:paraId="6C11AC3B">
      <w:pPr>
        <w:pStyle w:val="2"/>
        <w:numPr>
          <w:ilvl w:val="0"/>
          <w:numId w:val="3"/>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在服务期内，乙方负责为甲方指定区域配送即开型彩票。配送区域暂定渭南市，期间，甲方可自行根据业务要求将其他区域纳入高效物流进行配送即开彩票，乙方需全力配合，相关事宜按照本协议约定执行。</w:t>
      </w:r>
    </w:p>
    <w:p w14:paraId="5EAA5030">
      <w:pPr>
        <w:pStyle w:val="2"/>
        <w:numPr>
          <w:ilvl w:val="0"/>
          <w:numId w:val="3"/>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在合作期内，乙方为甲方搭建即开型体育彩票订购系统，实现通过手机小程序完成库存查询、票务订购、物流查询、包裹签收等功能。具体要求如下：</w:t>
      </w:r>
    </w:p>
    <w:p w14:paraId="7BE63D95">
      <w:pPr>
        <w:pStyle w:val="2"/>
        <w:numPr>
          <w:ilvl w:val="0"/>
          <w:numId w:val="4"/>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通过系统收集授权区域内体育彩票代销实体店（以下简称“实体店”）的订票需求（实体店单次订票金额不低于1800元），转化形成包裹单，在规定期限内安全送达至需求实体店，除接受甲方指令或实体店自身因素（未达最低起订金额或订票额度不足等）、不可抗力外的任何理由，不得进行回绝。</w:t>
      </w:r>
    </w:p>
    <w:p w14:paraId="64F1507B">
      <w:pPr>
        <w:pStyle w:val="2"/>
        <w:numPr>
          <w:ilvl w:val="0"/>
          <w:numId w:val="4"/>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配送即开票时应按箱或按包进行配送，不得拆包，以确保即开票的完整性、有效性，配送过程中的货物丢失、损坏由乙方全权负责。海口市区内实现“一日达”（下订单后一日内送达），对海口市偏远地区及乡镇、海南省除海口的其他市县区域门店实现“两日达”（两日内送达，对个别交通不便利或较偏远地区在标准送达时效上加 1 日，当日 16:00 以后的订单可视为次日8:30 的订单），采购人要求销售门店单次即开票订单量不少于1800元（可根据当地即开票市场情况调整）。。配送时效统计方法为收货开始计时，截至业主签收。</w:t>
      </w:r>
    </w:p>
    <w:p w14:paraId="1F8CE6F7">
      <w:pPr>
        <w:pStyle w:val="2"/>
        <w:numPr>
          <w:ilvl w:val="0"/>
          <w:numId w:val="4"/>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应不断优化业务流程和订票系统，通过系统数据对实体店库存状况进行分析，客服人员在实体店即开票库存不足前及时提供订票提醒服务，根据各类即开票销售情况，为实体店做好票种推荐服务。同时，乙方通过数据分析系统为各级体彩中心管理和决策提供及时有效的信息支撑，建立服务于甲方的即开型体育彩票配送数据报表体系，在每月10日前，提供上月运营报表。</w:t>
      </w:r>
    </w:p>
    <w:p w14:paraId="4A7B218A">
      <w:pPr>
        <w:pStyle w:val="2"/>
        <w:numPr>
          <w:ilvl w:val="0"/>
          <w:numId w:val="4"/>
        </w:numPr>
        <w:autoSpaceDE w:val="0"/>
        <w:autoSpaceDN w:val="0"/>
        <w:snapToGrid w:val="0"/>
        <w:spacing w:before="156" w:beforeLines="50" w:line="360" w:lineRule="auto"/>
        <w:ind w:firstLine="480" w:firstLineChars="200"/>
        <w:jc w:val="left"/>
        <w:rPr>
          <w:rFonts w:hint="eastAsia" w:hAnsi="宋体" w:cs="宋体"/>
          <w:b/>
          <w:color w:val="000000"/>
          <w:sz w:val="24"/>
        </w:rPr>
      </w:pPr>
      <w:r>
        <w:rPr>
          <w:rFonts w:hint="eastAsia" w:hAnsi="宋体" w:cs="宋体"/>
          <w:color w:val="000000"/>
          <w:sz w:val="24"/>
        </w:rPr>
        <w:t>如果甲方要求在同一派送区域内改变送货目的地，乙方有义务无偿提供服务。</w:t>
      </w:r>
    </w:p>
    <w:p w14:paraId="1E6D0583">
      <w:pPr>
        <w:pStyle w:val="2"/>
        <w:snapToGrid w:val="0"/>
        <w:spacing w:before="156" w:beforeLines="50" w:line="360" w:lineRule="auto"/>
        <w:ind w:firstLine="482" w:firstLineChars="200"/>
        <w:rPr>
          <w:rFonts w:hint="eastAsia" w:hAnsi="宋体" w:cs="宋体"/>
          <w:color w:val="000000"/>
          <w:sz w:val="24"/>
        </w:rPr>
      </w:pPr>
      <w:r>
        <w:rPr>
          <w:rFonts w:hint="eastAsia" w:hAnsi="宋体" w:cs="宋体"/>
          <w:b/>
          <w:color w:val="000000"/>
          <w:sz w:val="24"/>
        </w:rPr>
        <w:t>五、甲方责任与义务</w:t>
      </w:r>
    </w:p>
    <w:p w14:paraId="56E24230">
      <w:pPr>
        <w:pStyle w:val="2"/>
        <w:numPr>
          <w:ilvl w:val="0"/>
          <w:numId w:val="5"/>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甲方负责向国家体育总局体育彩票管理中心申请开通二代系统接口，协助乙方完成系统对接；</w:t>
      </w:r>
    </w:p>
    <w:p w14:paraId="08BA65FD">
      <w:pPr>
        <w:pStyle w:val="2"/>
        <w:numPr>
          <w:ilvl w:val="0"/>
          <w:numId w:val="5"/>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甲方负责在二代系统上为乙方创建仓库，并协助完成产品调拨。</w:t>
      </w:r>
    </w:p>
    <w:p w14:paraId="061F03CB">
      <w:pPr>
        <w:pStyle w:val="2"/>
        <w:numPr>
          <w:ilvl w:val="0"/>
          <w:numId w:val="5"/>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甲方负责向乙方提供并及时更新有效的收货人信息（包括业主姓名、电话、实体店地址等）。</w:t>
      </w:r>
    </w:p>
    <w:p w14:paraId="76480DC5">
      <w:pPr>
        <w:pStyle w:val="2"/>
        <w:numPr>
          <w:ilvl w:val="0"/>
          <w:numId w:val="5"/>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甲方有义务协助乙方处理配送过程中出现的收货地址不符、收货人失联等异常情况。</w:t>
      </w:r>
    </w:p>
    <w:p w14:paraId="3F13481B">
      <w:pPr>
        <w:widowControl/>
        <w:ind w:firstLine="482" w:firstLineChars="200"/>
        <w:rPr>
          <w:rFonts w:hint="eastAsia" w:hAnsi="宋体" w:cs="宋体"/>
          <w:b/>
          <w:color w:val="000000"/>
          <w:sz w:val="24"/>
        </w:rPr>
      </w:pPr>
      <w:r>
        <w:rPr>
          <w:rFonts w:hint="eastAsia"/>
          <w:b/>
          <w:color w:val="000000"/>
          <w:sz w:val="24"/>
        </w:rPr>
        <w:t>六、乙方责任与义务</w:t>
      </w:r>
    </w:p>
    <w:p w14:paraId="4EA53A82">
      <w:pPr>
        <w:pStyle w:val="2"/>
        <w:numPr>
          <w:ilvl w:val="0"/>
          <w:numId w:val="6"/>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乙方在受委托的整个业务过程发生期间，造成的货品丢失、损坏，由乙方承担全部责任，并按票面全额赔偿甲方。</w:t>
      </w:r>
    </w:p>
    <w:p w14:paraId="34B11AB2">
      <w:pPr>
        <w:pStyle w:val="2"/>
        <w:numPr>
          <w:ilvl w:val="0"/>
          <w:numId w:val="6"/>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乙方需开发订票与配送系统供甲方使用。甲方以及收货人可通过该系统全程跟踪配送过程及有效的物流轨迹，并实现订单下达、查询、收货以及报表生成等功能。</w:t>
      </w:r>
    </w:p>
    <w:p w14:paraId="00F9160A">
      <w:pPr>
        <w:pStyle w:val="2"/>
        <w:numPr>
          <w:ilvl w:val="0"/>
          <w:numId w:val="6"/>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乙方对甲方交付的即开票种类、数量、票包号、配送地址、收货人信息等内容负有保密责任。</w:t>
      </w:r>
    </w:p>
    <w:p w14:paraId="69EDDB4F">
      <w:pPr>
        <w:pStyle w:val="2"/>
        <w:numPr>
          <w:ilvl w:val="0"/>
          <w:numId w:val="6"/>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为甲方提供高效、专业的配送服务，并保证在履行本协议过程中，严格遵守相关要求以及中国的相关法律、法规，保证以合法方式完成甲方指定的任务，并保证不因其不当或不合法的行为使甲方受到经济和名誉损害。</w:t>
      </w:r>
    </w:p>
    <w:p w14:paraId="74BAEA42">
      <w:pPr>
        <w:pStyle w:val="2"/>
        <w:numPr>
          <w:ilvl w:val="0"/>
          <w:numId w:val="6"/>
        </w:numPr>
        <w:autoSpaceDE w:val="0"/>
        <w:autoSpaceDN w:val="0"/>
        <w:snapToGrid w:val="0"/>
        <w:spacing w:before="156" w:beforeLines="50" w:line="360" w:lineRule="auto"/>
        <w:ind w:firstLine="480" w:firstLineChars="200"/>
        <w:jc w:val="left"/>
        <w:rPr>
          <w:rFonts w:hint="eastAsia" w:hAnsi="宋体" w:cs="宋体"/>
          <w:color w:val="000000"/>
          <w:sz w:val="24"/>
        </w:rPr>
      </w:pPr>
      <w:r>
        <w:rPr>
          <w:rFonts w:hint="eastAsia" w:hAnsi="宋体" w:cs="宋体"/>
          <w:color w:val="000000"/>
          <w:sz w:val="24"/>
        </w:rPr>
        <w:t>乙方根据即开票销售系统业务流程和管理规定，通过即开票销售管理系统确认并扣减实体店订票额度后，方可向实体店配送即开票。乙方不得通过任何形式向实体店收取彩票订购款。</w:t>
      </w:r>
    </w:p>
    <w:p w14:paraId="38E8F5FB">
      <w:pPr>
        <w:pStyle w:val="2"/>
        <w:snapToGrid w:val="0"/>
        <w:spacing w:before="156" w:beforeLines="50" w:line="360" w:lineRule="auto"/>
        <w:rPr>
          <w:rFonts w:hint="eastAsia" w:hAnsi="宋体" w:cs="宋体"/>
          <w:b/>
          <w:color w:val="000000"/>
          <w:sz w:val="24"/>
        </w:rPr>
      </w:pPr>
      <w:r>
        <w:rPr>
          <w:rFonts w:hint="eastAsia" w:hAnsi="宋体" w:cs="宋体"/>
          <w:b/>
          <w:color w:val="000000"/>
          <w:sz w:val="24"/>
        </w:rPr>
        <w:t xml:space="preserve">    七、费用标准和付款方式</w:t>
      </w:r>
    </w:p>
    <w:p w14:paraId="34B47187">
      <w:pPr>
        <w:pStyle w:val="6"/>
        <w:numPr>
          <w:ilvl w:val="0"/>
          <w:numId w:val="7"/>
        </w:numPr>
        <w:autoSpaceDE w:val="0"/>
        <w:autoSpaceDN w:val="0"/>
        <w:spacing w:before="157" w:line="360" w:lineRule="auto"/>
        <w:ind w:left="0" w:firstLine="480" w:firstLineChars="0"/>
        <w:jc w:val="left"/>
        <w:rPr>
          <w:rFonts w:hint="eastAsia"/>
          <w:color w:val="000000"/>
          <w:sz w:val="24"/>
          <w:szCs w:val="24"/>
        </w:rPr>
      </w:pPr>
      <w:r>
        <w:rPr>
          <w:rFonts w:hint="eastAsia"/>
          <w:color w:val="000000"/>
          <w:sz w:val="24"/>
          <w:szCs w:val="24"/>
        </w:rPr>
        <w:t>本合同签订生效之日起，乙方向甲方指定地区开展即开型体育彩票配送业务，甲方向乙方支付的费用标准为每月海南省即开票确认销量总额的</w:t>
      </w:r>
      <w:r>
        <w:rPr>
          <w:color w:val="000000"/>
          <w:sz w:val="24"/>
          <w:szCs w:val="24"/>
          <w:u w:val="single"/>
        </w:rPr>
        <w:t xml:space="preserve">      </w:t>
      </w:r>
      <w:r>
        <w:rPr>
          <w:rFonts w:hint="eastAsia"/>
          <w:color w:val="000000"/>
          <w:sz w:val="24"/>
          <w:szCs w:val="24"/>
        </w:rPr>
        <w:t>进行计算，具体以配送金额的</w:t>
      </w:r>
      <w:r>
        <w:rPr>
          <w:color w:val="000000"/>
          <w:sz w:val="24"/>
          <w:szCs w:val="24"/>
          <w:u w:val="single"/>
        </w:rPr>
        <w:t xml:space="preserve">    %</w:t>
      </w:r>
      <w:r>
        <w:rPr>
          <w:rFonts w:hint="eastAsia"/>
          <w:color w:val="000000"/>
          <w:sz w:val="24"/>
          <w:szCs w:val="24"/>
        </w:rPr>
        <w:t>据实进行结算，服务期内费用总额限定为</w:t>
      </w:r>
      <w:r>
        <w:rPr>
          <w:color w:val="000000"/>
          <w:sz w:val="24"/>
          <w:szCs w:val="24"/>
          <w:u w:val="single"/>
        </w:rPr>
        <w:t xml:space="preserve">    </w:t>
      </w:r>
      <w:r>
        <w:rPr>
          <w:rFonts w:hint="eastAsia"/>
          <w:color w:val="000000"/>
          <w:sz w:val="24"/>
          <w:szCs w:val="24"/>
        </w:rPr>
        <w:t>万元。若按照上述约定，实际应结算金额超过最高限定额时，应以</w:t>
      </w:r>
      <w:r>
        <w:rPr>
          <w:color w:val="000000"/>
          <w:sz w:val="24"/>
          <w:szCs w:val="24"/>
          <w:u w:val="single"/>
        </w:rPr>
        <w:t xml:space="preserve">     </w:t>
      </w:r>
      <w:r>
        <w:rPr>
          <w:rFonts w:hint="eastAsia"/>
          <w:color w:val="000000"/>
          <w:sz w:val="24"/>
          <w:szCs w:val="24"/>
        </w:rPr>
        <w:t>万元为限，甲方无需额外支付其他任何费用，超过最高限定额的月份乙方须继续提供配送业务，当月结束后服务期满，终止合同。</w:t>
      </w:r>
    </w:p>
    <w:p w14:paraId="20C35853">
      <w:pPr>
        <w:pStyle w:val="6"/>
        <w:numPr>
          <w:ilvl w:val="0"/>
          <w:numId w:val="8"/>
        </w:numPr>
        <w:autoSpaceDE w:val="0"/>
        <w:autoSpaceDN w:val="0"/>
        <w:spacing w:before="157" w:line="360" w:lineRule="auto"/>
        <w:ind w:firstLine="480" w:firstLineChars="0"/>
        <w:jc w:val="left"/>
        <w:rPr>
          <w:color w:val="000000"/>
          <w:sz w:val="24"/>
          <w:szCs w:val="24"/>
        </w:rPr>
      </w:pPr>
      <w:r>
        <w:rPr>
          <w:color w:val="000000"/>
          <w:sz w:val="24"/>
          <w:szCs w:val="24"/>
        </w:rPr>
        <w:t>.</w:t>
      </w:r>
      <w:r>
        <w:rPr>
          <w:rFonts w:hint="eastAsia"/>
          <w:color w:val="000000"/>
          <w:sz w:val="24"/>
          <w:szCs w:val="24"/>
        </w:rPr>
        <w:t>在此期间乙方承担协议周期内因本协议服务内容所发生的系统建设、系统维护、数据分析、票务配送、票务存储、培训等相关业务费用。</w:t>
      </w:r>
    </w:p>
    <w:p w14:paraId="3EF99A12">
      <w:pPr>
        <w:pStyle w:val="6"/>
        <w:numPr>
          <w:ilvl w:val="0"/>
          <w:numId w:val="8"/>
        </w:numPr>
        <w:autoSpaceDE w:val="0"/>
        <w:autoSpaceDN w:val="0"/>
        <w:spacing w:before="157" w:line="360" w:lineRule="auto"/>
        <w:ind w:firstLine="480" w:firstLineChars="0"/>
        <w:jc w:val="left"/>
        <w:rPr>
          <w:color w:val="000000"/>
          <w:sz w:val="24"/>
          <w:szCs w:val="24"/>
        </w:rPr>
      </w:pPr>
      <w:r>
        <w:rPr>
          <w:color w:val="000000"/>
          <w:sz w:val="24"/>
          <w:szCs w:val="24"/>
        </w:rPr>
        <w:t>.</w:t>
      </w:r>
      <w:r>
        <w:rPr>
          <w:rFonts w:hint="eastAsia"/>
          <w:color w:val="000000"/>
          <w:sz w:val="24"/>
          <w:szCs w:val="24"/>
        </w:rPr>
        <w:t>付款方式按自然月进行月结，每月</w:t>
      </w:r>
      <w:r>
        <w:rPr>
          <w:color w:val="000000"/>
          <w:sz w:val="24"/>
          <w:szCs w:val="24"/>
        </w:rPr>
        <w:t>10</w:t>
      </w:r>
      <w:r>
        <w:rPr>
          <w:rFonts w:hint="eastAsia"/>
          <w:color w:val="000000"/>
          <w:sz w:val="24"/>
          <w:szCs w:val="24"/>
        </w:rPr>
        <w:t>日前由乙方向甲方提供其上月配送服务费全额增值税普通发票及上月配送明细表</w:t>
      </w:r>
      <w:r>
        <w:rPr>
          <w:rFonts w:hint="eastAsia"/>
          <w:color w:val="000000"/>
          <w:sz w:val="24"/>
          <w:szCs w:val="24"/>
          <w:lang w:val="en-US" w:eastAsia="zh-CN"/>
        </w:rPr>
        <w:t>或上月出库总金额表</w:t>
      </w:r>
      <w:r>
        <w:rPr>
          <w:rFonts w:hint="eastAsia"/>
          <w:color w:val="000000"/>
          <w:sz w:val="24"/>
          <w:szCs w:val="24"/>
        </w:rPr>
        <w:t>。经核对无误后，甲方将在当月</w:t>
      </w:r>
      <w:r>
        <w:rPr>
          <w:color w:val="000000"/>
          <w:sz w:val="24"/>
          <w:szCs w:val="24"/>
        </w:rPr>
        <w:t>25</w:t>
      </w:r>
      <w:r>
        <w:rPr>
          <w:rFonts w:hint="eastAsia"/>
          <w:color w:val="000000"/>
          <w:sz w:val="24"/>
          <w:szCs w:val="24"/>
        </w:rPr>
        <w:t>日前完成结算。乙方未提供符合甲方要求的票据或配送数据存在偏差，甲方有权暂停结算，且不视为甲方违约，由此产生的责任由乙方承担且乙方不得以甲方未付款为由拒绝履行其合同义务。</w:t>
      </w:r>
    </w:p>
    <w:p w14:paraId="00A13FB4">
      <w:pPr>
        <w:pStyle w:val="6"/>
        <w:numPr>
          <w:ilvl w:val="0"/>
          <w:numId w:val="8"/>
        </w:numPr>
        <w:autoSpaceDE w:val="0"/>
        <w:autoSpaceDN w:val="0"/>
        <w:spacing w:before="157" w:line="360" w:lineRule="auto"/>
        <w:ind w:firstLine="480" w:firstLineChars="0"/>
        <w:jc w:val="left"/>
        <w:rPr>
          <w:color w:val="000000"/>
          <w:sz w:val="24"/>
          <w:szCs w:val="24"/>
        </w:rPr>
      </w:pPr>
      <w:r>
        <w:rPr>
          <w:color w:val="000000"/>
          <w:sz w:val="24"/>
          <w:szCs w:val="24"/>
        </w:rPr>
        <w:t>.</w:t>
      </w:r>
      <w:r>
        <w:rPr>
          <w:rFonts w:hint="eastAsia"/>
          <w:color w:val="000000"/>
          <w:sz w:val="24"/>
          <w:szCs w:val="24"/>
        </w:rPr>
        <w:t>甲方发票开具信息</w:t>
      </w:r>
    </w:p>
    <w:p w14:paraId="447C133F">
      <w:pPr>
        <w:pStyle w:val="2"/>
        <w:snapToGrid w:val="0"/>
        <w:spacing w:before="156" w:beforeLines="50" w:line="360" w:lineRule="auto"/>
        <w:ind w:firstLine="480" w:firstLineChars="200"/>
        <w:rPr>
          <w:rFonts w:hAnsi="宋体" w:cs="宋体"/>
          <w:color w:val="000000"/>
          <w:sz w:val="24"/>
        </w:rPr>
      </w:pPr>
      <w:r>
        <w:rPr>
          <w:rFonts w:hint="eastAsia" w:hAnsi="宋体" w:cs="宋体"/>
          <w:color w:val="000000"/>
          <w:sz w:val="24"/>
        </w:rPr>
        <w:t>账户名：海南省体育彩票管理中心</w:t>
      </w:r>
    </w:p>
    <w:p w14:paraId="2A23180F">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 xml:space="preserve">开户行： </w:t>
      </w:r>
    </w:p>
    <w:p w14:paraId="76FE9A74">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 xml:space="preserve">账  号： </w:t>
      </w:r>
    </w:p>
    <w:p w14:paraId="064F3E15">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 xml:space="preserve">税  号： </w:t>
      </w:r>
    </w:p>
    <w:p w14:paraId="4A08269A">
      <w:pPr>
        <w:pStyle w:val="6"/>
        <w:numPr>
          <w:ilvl w:val="0"/>
          <w:numId w:val="8"/>
        </w:numPr>
        <w:autoSpaceDE w:val="0"/>
        <w:autoSpaceDN w:val="0"/>
        <w:spacing w:before="157"/>
        <w:ind w:firstLine="480" w:firstLineChars="0"/>
        <w:jc w:val="left"/>
        <w:rPr>
          <w:rFonts w:hint="eastAsia"/>
          <w:color w:val="000000"/>
          <w:sz w:val="24"/>
          <w:szCs w:val="24"/>
        </w:rPr>
      </w:pPr>
      <w:r>
        <w:rPr>
          <w:color w:val="000000"/>
          <w:sz w:val="24"/>
          <w:szCs w:val="24"/>
        </w:rPr>
        <w:t>.</w:t>
      </w:r>
      <w:r>
        <w:rPr>
          <w:rFonts w:hint="eastAsia"/>
          <w:color w:val="000000"/>
          <w:sz w:val="24"/>
          <w:szCs w:val="24"/>
        </w:rPr>
        <w:t>乙方银行账户信息</w:t>
      </w:r>
    </w:p>
    <w:p w14:paraId="128CC6D1">
      <w:pPr>
        <w:pStyle w:val="2"/>
        <w:snapToGrid w:val="0"/>
        <w:spacing w:before="156" w:beforeLines="50" w:line="360" w:lineRule="auto"/>
        <w:ind w:firstLine="480" w:firstLineChars="200"/>
        <w:rPr>
          <w:rFonts w:hAnsi="宋体" w:cs="宋体"/>
          <w:color w:val="000000"/>
          <w:sz w:val="24"/>
        </w:rPr>
      </w:pPr>
      <w:r>
        <w:rPr>
          <w:rFonts w:hint="eastAsia" w:hAnsi="宋体" w:cs="宋体"/>
          <w:color w:val="000000"/>
          <w:sz w:val="24"/>
        </w:rPr>
        <w:t xml:space="preserve">账户名： </w:t>
      </w:r>
    </w:p>
    <w:p w14:paraId="3AAB8922">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 xml:space="preserve">开户行： </w:t>
      </w:r>
    </w:p>
    <w:p w14:paraId="031DADE6">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 xml:space="preserve">账  号： </w:t>
      </w:r>
    </w:p>
    <w:p w14:paraId="0B1C90A0">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乙方应确保在本合同中指定的收款账户信息正确无误，否则导致甲方无法办理付款转账手续的一切责任均由乙方自行承担。乙方收款帐号若有变更，须提前3日以书面方式通知甲方，由乙方授权代表签字并加盖乙方公章。</w:t>
      </w:r>
    </w:p>
    <w:p w14:paraId="6B058D0E">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6.按规定或约定，乙方应承担的违约金、赔偿金等费用，甲方有权从应付乙方的款项中予以扣除。如不足，乙方应在经甲方通知后5日内补足。</w:t>
      </w:r>
    </w:p>
    <w:p w14:paraId="5D72A977">
      <w:pPr>
        <w:pStyle w:val="2"/>
        <w:snapToGrid w:val="0"/>
        <w:spacing w:before="156" w:beforeLines="50" w:line="360" w:lineRule="auto"/>
        <w:rPr>
          <w:rFonts w:hint="eastAsia" w:hAnsi="宋体" w:cs="宋体"/>
          <w:b/>
          <w:bCs/>
          <w:color w:val="000000"/>
          <w:sz w:val="24"/>
        </w:rPr>
      </w:pPr>
      <w:r>
        <w:rPr>
          <w:rFonts w:hint="eastAsia" w:hAnsi="宋体" w:cs="宋体"/>
          <w:b/>
          <w:color w:val="000000"/>
          <w:sz w:val="24"/>
        </w:rPr>
        <w:t xml:space="preserve">    八、</w:t>
      </w:r>
      <w:r>
        <w:rPr>
          <w:rFonts w:hint="eastAsia" w:hAnsi="宋体" w:cs="宋体"/>
          <w:b/>
          <w:bCs/>
          <w:color w:val="000000"/>
          <w:sz w:val="24"/>
        </w:rPr>
        <w:t>技术标准</w:t>
      </w:r>
    </w:p>
    <w:p w14:paraId="4DBF22F1">
      <w:pPr>
        <w:pStyle w:val="2"/>
        <w:numPr>
          <w:ilvl w:val="0"/>
          <w:numId w:val="9"/>
        </w:numPr>
        <w:autoSpaceDE w:val="0"/>
        <w:autoSpaceDN w:val="0"/>
        <w:snapToGrid w:val="0"/>
        <w:spacing w:before="156" w:beforeLines="50" w:line="360" w:lineRule="auto"/>
        <w:ind w:left="0" w:firstLine="480" w:firstLineChars="200"/>
        <w:jc w:val="left"/>
        <w:rPr>
          <w:rFonts w:hint="eastAsia" w:hAnsi="宋体" w:cs="宋体"/>
          <w:color w:val="000000"/>
          <w:sz w:val="24"/>
        </w:rPr>
      </w:pPr>
      <w:r>
        <w:rPr>
          <w:rFonts w:hint="eastAsia" w:hAnsi="宋体" w:cs="宋体"/>
          <w:color w:val="000000"/>
          <w:sz w:val="24"/>
        </w:rPr>
        <w:t>分拣差错率：不高于0.05%；</w:t>
      </w:r>
    </w:p>
    <w:p w14:paraId="7C4BC919">
      <w:pPr>
        <w:pStyle w:val="2"/>
        <w:numPr>
          <w:ilvl w:val="0"/>
          <w:numId w:val="9"/>
        </w:numPr>
        <w:autoSpaceDE w:val="0"/>
        <w:autoSpaceDN w:val="0"/>
        <w:snapToGrid w:val="0"/>
        <w:spacing w:before="156" w:beforeLines="50" w:line="360" w:lineRule="auto"/>
        <w:ind w:left="0" w:firstLine="480" w:firstLineChars="200"/>
        <w:jc w:val="left"/>
        <w:rPr>
          <w:rFonts w:hint="eastAsia" w:hAnsi="宋体" w:cs="宋体"/>
          <w:color w:val="000000"/>
          <w:sz w:val="24"/>
        </w:rPr>
      </w:pPr>
      <w:r>
        <w:rPr>
          <w:rFonts w:hint="eastAsia" w:hAnsi="宋体" w:cs="宋体"/>
          <w:color w:val="000000"/>
          <w:sz w:val="24"/>
        </w:rPr>
        <w:t>配送时效：平均值不高于48小时；</w:t>
      </w:r>
    </w:p>
    <w:p w14:paraId="6962170E">
      <w:pPr>
        <w:pStyle w:val="2"/>
        <w:numPr>
          <w:ilvl w:val="0"/>
          <w:numId w:val="9"/>
        </w:numPr>
        <w:autoSpaceDE w:val="0"/>
        <w:autoSpaceDN w:val="0"/>
        <w:snapToGrid w:val="0"/>
        <w:spacing w:before="156" w:beforeLines="50" w:line="360" w:lineRule="auto"/>
        <w:ind w:left="0" w:firstLine="480" w:firstLineChars="200"/>
        <w:jc w:val="left"/>
        <w:rPr>
          <w:rFonts w:hint="eastAsia" w:hAnsi="宋体" w:cs="宋体"/>
          <w:color w:val="000000"/>
          <w:sz w:val="24"/>
        </w:rPr>
      </w:pPr>
      <w:r>
        <w:rPr>
          <w:rFonts w:hint="eastAsia" w:hAnsi="宋体" w:cs="宋体"/>
          <w:color w:val="000000"/>
          <w:sz w:val="24"/>
        </w:rPr>
        <w:t>报表提交：乙方每月10日前为甲方提供的数据分报表，并确保报表信息及时、真实、可用；</w:t>
      </w:r>
    </w:p>
    <w:p w14:paraId="76918012">
      <w:pPr>
        <w:pStyle w:val="2"/>
        <w:numPr>
          <w:ilvl w:val="0"/>
          <w:numId w:val="9"/>
        </w:numPr>
        <w:autoSpaceDE w:val="0"/>
        <w:autoSpaceDN w:val="0"/>
        <w:snapToGrid w:val="0"/>
        <w:spacing w:before="156" w:beforeLines="50" w:line="360" w:lineRule="auto"/>
        <w:ind w:left="0" w:firstLine="480" w:firstLineChars="200"/>
        <w:jc w:val="left"/>
        <w:rPr>
          <w:rFonts w:hint="eastAsia" w:hAnsi="宋体" w:cs="宋体"/>
          <w:color w:val="000000"/>
          <w:sz w:val="24"/>
        </w:rPr>
      </w:pPr>
      <w:r>
        <w:rPr>
          <w:rFonts w:hint="eastAsia" w:hAnsi="宋体" w:cs="宋体"/>
          <w:color w:val="000000"/>
          <w:sz w:val="24"/>
        </w:rPr>
        <w:t>业务、系统优化：根据甲方业务需求变化或要求，制定配套完善优化方案，并在双方协商日期前提交。</w:t>
      </w:r>
    </w:p>
    <w:p w14:paraId="0B5060B4">
      <w:pPr>
        <w:pStyle w:val="2"/>
        <w:snapToGrid w:val="0"/>
        <w:spacing w:before="156" w:beforeLines="50" w:line="360" w:lineRule="auto"/>
        <w:rPr>
          <w:rFonts w:hint="eastAsia" w:hAnsi="宋体" w:cs="宋体"/>
          <w:b/>
          <w:bCs/>
          <w:color w:val="000000"/>
          <w:sz w:val="24"/>
        </w:rPr>
      </w:pPr>
      <w:r>
        <w:rPr>
          <w:rFonts w:hint="eastAsia" w:hAnsi="宋体" w:cs="宋体"/>
          <w:b/>
          <w:bCs/>
          <w:color w:val="000000"/>
          <w:sz w:val="24"/>
        </w:rPr>
        <w:t xml:space="preserve">    九、违约责任</w:t>
      </w:r>
    </w:p>
    <w:p w14:paraId="3FE75A17">
      <w:pPr>
        <w:pStyle w:val="6"/>
        <w:numPr>
          <w:ilvl w:val="1"/>
          <w:numId w:val="10"/>
        </w:numPr>
        <w:autoSpaceDE w:val="0"/>
        <w:autoSpaceDN w:val="0"/>
        <w:spacing w:before="156" w:beforeLines="50" w:line="360" w:lineRule="auto"/>
        <w:ind w:left="728" w:firstLine="480" w:firstLineChars="0"/>
        <w:jc w:val="left"/>
        <w:rPr>
          <w:rFonts w:hint="eastAsia"/>
          <w:color w:val="000000"/>
          <w:sz w:val="24"/>
          <w:szCs w:val="24"/>
        </w:rPr>
      </w:pPr>
      <w:r>
        <w:rPr>
          <w:rFonts w:hint="eastAsia"/>
          <w:color w:val="000000"/>
          <w:sz w:val="24"/>
          <w:szCs w:val="24"/>
        </w:rPr>
        <w:t>乙方承诺其对提供的订票与配送系统享有全部的权利，不存在损害其他任何第三方权利的情形，因该订票与配送系统损害他人权利的，由乙方自行承担，与甲方无关，同时，甲方因此遭受索赔或追责的，一切责任及费用（包括按不限于赔偿金、罚款、律师费、差旅费、诉讼费等）均由乙方承担。</w:t>
      </w:r>
    </w:p>
    <w:p w14:paraId="29803869">
      <w:pPr>
        <w:pStyle w:val="6"/>
        <w:numPr>
          <w:ilvl w:val="1"/>
          <w:numId w:val="10"/>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乙方提供的服务不符合甲方要求的，甲方有权要求乙方及时调整，并承担调整所产生的全部费用，经两次调整后仍不符合甲方要求的，甲方有权解除本合同，不予支付费用，同时要求乙方承担违约责任，违约金数额为配送总额的</w:t>
      </w:r>
      <w:r>
        <w:rPr>
          <w:color w:val="000000"/>
          <w:sz w:val="24"/>
          <w:szCs w:val="24"/>
        </w:rPr>
        <w:t>1%</w:t>
      </w:r>
      <w:r>
        <w:rPr>
          <w:rFonts w:hint="eastAsia"/>
          <w:color w:val="000000"/>
          <w:sz w:val="24"/>
          <w:szCs w:val="24"/>
        </w:rPr>
        <w:t>，违约金不足以弥补甲方要求的，乙方应当另行赔偿损失。</w:t>
      </w:r>
    </w:p>
    <w:p w14:paraId="7D75B38F">
      <w:pPr>
        <w:pStyle w:val="6"/>
        <w:numPr>
          <w:ilvl w:val="1"/>
          <w:numId w:val="10"/>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除不可抗力外，乙方应承担由于货物错运等原因造成的延误交付的责任。延误</w:t>
      </w:r>
      <w:r>
        <w:rPr>
          <w:color w:val="000000"/>
          <w:sz w:val="24"/>
          <w:szCs w:val="24"/>
        </w:rPr>
        <w:t>5</w:t>
      </w:r>
      <w:r>
        <w:rPr>
          <w:rFonts w:hint="eastAsia"/>
          <w:color w:val="000000"/>
          <w:sz w:val="24"/>
          <w:szCs w:val="24"/>
        </w:rPr>
        <w:t>日以内，每延误</w:t>
      </w:r>
      <w:r>
        <w:rPr>
          <w:color w:val="000000"/>
          <w:sz w:val="24"/>
          <w:szCs w:val="24"/>
        </w:rPr>
        <w:t>1</w:t>
      </w:r>
      <w:r>
        <w:rPr>
          <w:rFonts w:hint="eastAsia"/>
          <w:color w:val="000000"/>
          <w:sz w:val="24"/>
          <w:szCs w:val="24"/>
        </w:rPr>
        <w:t>日，该票货物运输费用减免五分之一，延误超过</w:t>
      </w:r>
      <w:r>
        <w:rPr>
          <w:color w:val="000000"/>
          <w:sz w:val="24"/>
          <w:szCs w:val="24"/>
        </w:rPr>
        <w:t>5</w:t>
      </w:r>
      <w:r>
        <w:rPr>
          <w:rFonts w:hint="eastAsia"/>
          <w:color w:val="000000"/>
          <w:sz w:val="24"/>
          <w:szCs w:val="24"/>
        </w:rPr>
        <w:t>日，该票货物运输费用全免，且每多延误</w:t>
      </w:r>
      <w:r>
        <w:rPr>
          <w:color w:val="000000"/>
          <w:sz w:val="24"/>
          <w:szCs w:val="24"/>
        </w:rPr>
        <w:t>1</w:t>
      </w:r>
      <w:r>
        <w:rPr>
          <w:rFonts w:hint="eastAsia"/>
          <w:color w:val="000000"/>
          <w:sz w:val="24"/>
          <w:szCs w:val="24"/>
        </w:rPr>
        <w:t>日，按照该票货物运输费用的五分之一向甲方支付违约金。</w:t>
      </w:r>
    </w:p>
    <w:p w14:paraId="7C847A86">
      <w:pPr>
        <w:pStyle w:val="2"/>
        <w:numPr>
          <w:ilvl w:val="0"/>
          <w:numId w:val="11"/>
        </w:numPr>
        <w:autoSpaceDE w:val="0"/>
        <w:autoSpaceDN w:val="0"/>
        <w:snapToGrid w:val="0"/>
        <w:spacing w:before="156" w:beforeLines="50" w:line="360" w:lineRule="auto"/>
        <w:jc w:val="left"/>
        <w:rPr>
          <w:rFonts w:hAnsi="宋体" w:cs="宋体"/>
          <w:b/>
          <w:color w:val="000000"/>
          <w:sz w:val="24"/>
        </w:rPr>
      </w:pPr>
      <w:r>
        <w:rPr>
          <w:rFonts w:hint="eastAsia" w:hAnsi="宋体" w:cs="宋体"/>
          <w:b/>
          <w:color w:val="000000"/>
          <w:sz w:val="24"/>
        </w:rPr>
        <w:t>协议解除</w:t>
      </w:r>
    </w:p>
    <w:p w14:paraId="05DB309A">
      <w:pPr>
        <w:pStyle w:val="6"/>
        <w:spacing w:before="156" w:beforeLines="50" w:line="360" w:lineRule="auto"/>
        <w:ind w:firstLine="480"/>
        <w:rPr>
          <w:rFonts w:hint="eastAsia"/>
          <w:color w:val="000000"/>
          <w:sz w:val="24"/>
          <w:szCs w:val="24"/>
        </w:rPr>
      </w:pPr>
      <w:r>
        <w:rPr>
          <w:color w:val="000000"/>
          <w:sz w:val="24"/>
          <w:szCs w:val="24"/>
        </w:rPr>
        <w:t>1.</w:t>
      </w:r>
      <w:r>
        <w:rPr>
          <w:rFonts w:hint="eastAsia"/>
          <w:color w:val="000000"/>
          <w:sz w:val="24"/>
          <w:szCs w:val="24"/>
        </w:rPr>
        <w:t>甲乙双方书面协商一致，可以解除本协议。</w:t>
      </w:r>
    </w:p>
    <w:p w14:paraId="1EEA207A">
      <w:pPr>
        <w:pStyle w:val="6"/>
        <w:spacing w:before="156" w:beforeLines="50" w:line="360" w:lineRule="auto"/>
        <w:ind w:firstLine="480"/>
        <w:rPr>
          <w:color w:val="000000"/>
          <w:sz w:val="24"/>
          <w:szCs w:val="24"/>
        </w:rPr>
      </w:pPr>
      <w:r>
        <w:rPr>
          <w:color w:val="000000"/>
          <w:sz w:val="24"/>
          <w:szCs w:val="24"/>
        </w:rPr>
        <w:t>2.</w:t>
      </w:r>
      <w:r>
        <w:rPr>
          <w:rFonts w:hint="eastAsia"/>
          <w:color w:val="000000"/>
          <w:sz w:val="24"/>
          <w:szCs w:val="24"/>
        </w:rPr>
        <w:t>有下列情形之一的，协议一方或双方可以解除本协议：</w:t>
      </w:r>
    </w:p>
    <w:p w14:paraId="32ED490D">
      <w:pPr>
        <w:pStyle w:val="6"/>
        <w:numPr>
          <w:ilvl w:val="0"/>
          <w:numId w:val="12"/>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任何一方延迟履行本协议项下的义务超过</w:t>
      </w:r>
      <w:r>
        <w:rPr>
          <w:color w:val="000000"/>
          <w:sz w:val="24"/>
          <w:szCs w:val="24"/>
        </w:rPr>
        <w:t>30</w:t>
      </w:r>
      <w:r>
        <w:rPr>
          <w:rFonts w:hint="eastAsia"/>
          <w:color w:val="000000"/>
          <w:sz w:val="24"/>
          <w:szCs w:val="24"/>
        </w:rPr>
        <w:t>个自然日，另一方有权解除本协议，但不能免除违约方的违约责任；</w:t>
      </w:r>
    </w:p>
    <w:p w14:paraId="0B01F928">
      <w:pPr>
        <w:pStyle w:val="6"/>
        <w:numPr>
          <w:ilvl w:val="0"/>
          <w:numId w:val="12"/>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因一方违约致使本协议无法实际履行或实际履行已无必要，另一方有权解除协议，但不能免除违约方的违约责任；</w:t>
      </w:r>
    </w:p>
    <w:p w14:paraId="54F75B7E">
      <w:pPr>
        <w:pStyle w:val="6"/>
        <w:numPr>
          <w:ilvl w:val="0"/>
          <w:numId w:val="12"/>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因不可抗力持续影响达</w:t>
      </w:r>
      <w:r>
        <w:rPr>
          <w:color w:val="000000"/>
          <w:sz w:val="24"/>
          <w:szCs w:val="24"/>
        </w:rPr>
        <w:t>60</w:t>
      </w:r>
      <w:r>
        <w:rPr>
          <w:rFonts w:hint="eastAsia"/>
          <w:color w:val="000000"/>
          <w:sz w:val="24"/>
          <w:szCs w:val="24"/>
        </w:rPr>
        <w:t>个自然日以上，或即开票业务发生重大变化，致使协议无法履行。</w:t>
      </w:r>
    </w:p>
    <w:p w14:paraId="04B58E0C">
      <w:pPr>
        <w:pStyle w:val="6"/>
        <w:numPr>
          <w:ilvl w:val="0"/>
          <w:numId w:val="12"/>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任何一方因故需解除协议时，应提前书面通知对方。对协议中的遗留问题应取得一致意见并形成书面解除协议。</w:t>
      </w:r>
    </w:p>
    <w:p w14:paraId="4B222617">
      <w:pPr>
        <w:pStyle w:val="6"/>
        <w:numPr>
          <w:ilvl w:val="0"/>
          <w:numId w:val="12"/>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如因不可抗力（地震、洪水、暴风雪、瘟疫等）导致本协议不能执行的，经双方书面协商一致，解除本协议。</w:t>
      </w:r>
    </w:p>
    <w:p w14:paraId="3D507F02">
      <w:pPr>
        <w:pStyle w:val="2"/>
        <w:snapToGrid w:val="0"/>
        <w:spacing w:before="156" w:beforeLines="50" w:line="360" w:lineRule="auto"/>
        <w:ind w:firstLine="482" w:firstLineChars="200"/>
        <w:rPr>
          <w:rFonts w:hAnsi="宋体" w:cs="宋体"/>
          <w:b/>
          <w:color w:val="000000"/>
          <w:sz w:val="24"/>
        </w:rPr>
      </w:pPr>
      <w:r>
        <w:rPr>
          <w:rFonts w:hint="eastAsia" w:hAnsi="宋体" w:cs="宋体"/>
          <w:b/>
          <w:color w:val="000000"/>
          <w:sz w:val="24"/>
        </w:rPr>
        <w:t>十一、不可抗力</w:t>
      </w:r>
    </w:p>
    <w:p w14:paraId="732E5A65">
      <w:pPr>
        <w:pStyle w:val="6"/>
        <w:numPr>
          <w:ilvl w:val="1"/>
          <w:numId w:val="13"/>
        </w:numPr>
        <w:autoSpaceDE w:val="0"/>
        <w:autoSpaceDN w:val="0"/>
        <w:snapToGrid w:val="0"/>
        <w:spacing w:before="156" w:beforeLines="50" w:line="360" w:lineRule="auto"/>
        <w:ind w:left="728" w:firstLine="480" w:firstLineChars="0"/>
        <w:jc w:val="left"/>
        <w:rPr>
          <w:rFonts w:hint="eastAsia"/>
          <w:color w:val="000000"/>
          <w:sz w:val="24"/>
          <w:szCs w:val="24"/>
        </w:rPr>
      </w:pPr>
      <w:r>
        <w:rPr>
          <w:rFonts w:hint="eastAsia"/>
          <w:color w:val="000000"/>
          <w:sz w:val="24"/>
          <w:szCs w:val="24"/>
        </w:rPr>
        <w:t>不可抗力是指不能预见、不能克服的客观事件，包括但不限于自然灾害，如：洪水、地震、火灾、风暴、瘟疫流行等；社会事件，如：战争、民众骚乱、罢工等；法律政策变动和国家法令的变更等。</w:t>
      </w:r>
    </w:p>
    <w:p w14:paraId="1C7E4D00">
      <w:pPr>
        <w:pStyle w:val="6"/>
        <w:numPr>
          <w:ilvl w:val="1"/>
          <w:numId w:val="13"/>
        </w:numPr>
        <w:autoSpaceDE w:val="0"/>
        <w:autoSpaceDN w:val="0"/>
        <w:snapToGrid w:val="0"/>
        <w:spacing w:before="156" w:beforeLines="50" w:line="360" w:lineRule="auto"/>
        <w:ind w:left="728" w:firstLine="480" w:firstLineChars="0"/>
        <w:jc w:val="left"/>
        <w:rPr>
          <w:color w:val="000000"/>
          <w:sz w:val="24"/>
          <w:szCs w:val="24"/>
        </w:rPr>
      </w:pPr>
      <w:r>
        <w:rPr>
          <w:rFonts w:hint="eastAsia"/>
          <w:color w:val="000000"/>
          <w:sz w:val="24"/>
          <w:szCs w:val="24"/>
        </w:rPr>
        <w:t>受影响方因上述不可抗力事件无法按照合同规定履行其在本合同项下的义务，该方应立即以书面形式通知另一方说明受影响方无法按时履行合同，并且应在通知发出后【</w:t>
      </w:r>
      <w:r>
        <w:rPr>
          <w:color w:val="000000"/>
          <w:sz w:val="24"/>
          <w:szCs w:val="24"/>
        </w:rPr>
        <w:t>7</w:t>
      </w:r>
      <w:r>
        <w:rPr>
          <w:rFonts w:hint="eastAsia"/>
          <w:color w:val="000000"/>
          <w:sz w:val="24"/>
          <w:szCs w:val="24"/>
        </w:rPr>
        <w:t>】天内提供相关书面证明。</w:t>
      </w:r>
    </w:p>
    <w:p w14:paraId="274FF5CD">
      <w:pPr>
        <w:pStyle w:val="6"/>
        <w:numPr>
          <w:ilvl w:val="1"/>
          <w:numId w:val="13"/>
        </w:numPr>
        <w:autoSpaceDE w:val="0"/>
        <w:autoSpaceDN w:val="0"/>
        <w:snapToGrid w:val="0"/>
        <w:spacing w:before="156" w:beforeLines="50" w:line="360" w:lineRule="auto"/>
        <w:ind w:left="728" w:firstLine="480" w:firstLineChars="0"/>
        <w:jc w:val="left"/>
        <w:rPr>
          <w:color w:val="000000"/>
          <w:sz w:val="24"/>
          <w:szCs w:val="24"/>
        </w:rPr>
      </w:pPr>
      <w:r>
        <w:rPr>
          <w:rFonts w:hint="eastAsia"/>
          <w:color w:val="000000"/>
          <w:sz w:val="24"/>
          <w:szCs w:val="24"/>
        </w:rPr>
        <w:t>不可抗力事件发生后，受影响方应当及时采取补救措施使另一方因此所受的影响降到最低。如果因受影响方未能或怠于以书面形式通知另一方或未能或怠于采取补救措施而致使另一方所受损失扩大，受影响方应就扩大的损失赔偿另一方。</w:t>
      </w:r>
    </w:p>
    <w:p w14:paraId="20DF2EA7">
      <w:pPr>
        <w:spacing w:line="600" w:lineRule="exact"/>
        <w:rPr>
          <w:b/>
          <w:color w:val="000000"/>
          <w:sz w:val="24"/>
        </w:rPr>
      </w:pPr>
      <w:r>
        <w:rPr>
          <w:rFonts w:hint="eastAsia"/>
          <w:b/>
          <w:color w:val="000000"/>
          <w:sz w:val="24"/>
        </w:rPr>
        <w:t xml:space="preserve">    十二、 保密</w:t>
      </w:r>
    </w:p>
    <w:p w14:paraId="2B16B663">
      <w:pPr>
        <w:pStyle w:val="6"/>
        <w:numPr>
          <w:ilvl w:val="1"/>
          <w:numId w:val="14"/>
        </w:numPr>
        <w:autoSpaceDE w:val="0"/>
        <w:autoSpaceDN w:val="0"/>
        <w:spacing w:before="156" w:beforeLines="50" w:line="360" w:lineRule="auto"/>
        <w:ind w:left="728" w:firstLine="480" w:firstLineChars="0"/>
        <w:jc w:val="left"/>
        <w:rPr>
          <w:rFonts w:hint="eastAsia"/>
          <w:color w:val="000000"/>
          <w:sz w:val="24"/>
          <w:szCs w:val="24"/>
        </w:rPr>
      </w:pPr>
      <w:r>
        <w:rPr>
          <w:rFonts w:hint="eastAsia"/>
          <w:color w:val="000000"/>
          <w:sz w:val="24"/>
          <w:szCs w:val="24"/>
        </w:rPr>
        <w:t>未经对方书面许可，任何一方不得向本合同之外的第三方提供或者披露因本合同的签订和履行而得知的与对方业务有关的资料和信息，法律另有规定或本合同另有约定的除外。</w:t>
      </w:r>
    </w:p>
    <w:p w14:paraId="6D4998FD">
      <w:pPr>
        <w:pStyle w:val="6"/>
        <w:numPr>
          <w:ilvl w:val="1"/>
          <w:numId w:val="14"/>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信息接收方违反本条规定泄露披露方的信息的，由此产生的法律责任由接收方承担，造成披露方损失的，接收方应当依法承担赔偿责任。</w:t>
      </w:r>
    </w:p>
    <w:p w14:paraId="0D44C8FB">
      <w:pPr>
        <w:pStyle w:val="6"/>
        <w:numPr>
          <w:ilvl w:val="1"/>
          <w:numId w:val="14"/>
        </w:numPr>
        <w:autoSpaceDE w:val="0"/>
        <w:autoSpaceDN w:val="0"/>
        <w:spacing w:before="156" w:beforeLines="50" w:line="360" w:lineRule="auto"/>
        <w:ind w:left="728" w:firstLine="480" w:firstLineChars="0"/>
        <w:jc w:val="left"/>
        <w:rPr>
          <w:color w:val="000000"/>
          <w:sz w:val="24"/>
          <w:szCs w:val="24"/>
        </w:rPr>
      </w:pPr>
      <w:r>
        <w:rPr>
          <w:rFonts w:hint="eastAsia"/>
          <w:color w:val="000000"/>
          <w:sz w:val="24"/>
          <w:szCs w:val="24"/>
        </w:rPr>
        <w:t>本保密条款在本合同有效期</w:t>
      </w:r>
      <w:r>
        <w:rPr>
          <w:color w:val="000000"/>
          <w:sz w:val="24"/>
          <w:szCs w:val="24"/>
        </w:rPr>
        <w:t>/</w:t>
      </w:r>
      <w:r>
        <w:rPr>
          <w:rFonts w:hint="eastAsia"/>
          <w:color w:val="000000"/>
          <w:sz w:val="24"/>
          <w:szCs w:val="24"/>
        </w:rPr>
        <w:t>服务期限内及本合同终止后</w:t>
      </w:r>
      <w:r>
        <w:rPr>
          <w:color w:val="000000"/>
          <w:sz w:val="24"/>
          <w:szCs w:val="24"/>
        </w:rPr>
        <w:t>5</w:t>
      </w:r>
      <w:r>
        <w:rPr>
          <w:rFonts w:hint="eastAsia"/>
          <w:color w:val="000000"/>
          <w:sz w:val="24"/>
          <w:szCs w:val="24"/>
        </w:rPr>
        <w:t>年之内持续有效，本合同如有任何部分被视为无效或者不可执行，均不影响保密条款的有效性。</w:t>
      </w:r>
    </w:p>
    <w:p w14:paraId="65F631D9">
      <w:pPr>
        <w:pStyle w:val="2"/>
        <w:snapToGrid w:val="0"/>
        <w:spacing w:before="156" w:beforeLines="50" w:line="360" w:lineRule="auto"/>
        <w:ind w:firstLine="482" w:firstLineChars="200"/>
        <w:rPr>
          <w:rFonts w:hAnsi="宋体" w:cs="宋体"/>
          <w:b/>
          <w:color w:val="000000"/>
          <w:sz w:val="24"/>
        </w:rPr>
      </w:pPr>
      <w:r>
        <w:rPr>
          <w:rFonts w:hint="eastAsia" w:hAnsi="宋体" w:cs="宋体"/>
          <w:b/>
          <w:color w:val="000000"/>
          <w:sz w:val="24"/>
        </w:rPr>
        <w:t>十三、争议解决与适用法律</w:t>
      </w:r>
    </w:p>
    <w:p w14:paraId="7BBEB0B2">
      <w:pPr>
        <w:pStyle w:val="6"/>
        <w:numPr>
          <w:ilvl w:val="1"/>
          <w:numId w:val="15"/>
        </w:numPr>
        <w:autoSpaceDE w:val="0"/>
        <w:autoSpaceDN w:val="0"/>
        <w:snapToGrid w:val="0"/>
        <w:spacing w:before="156" w:beforeLines="50" w:line="360" w:lineRule="auto"/>
        <w:ind w:left="728" w:firstLine="480" w:firstLineChars="0"/>
        <w:jc w:val="left"/>
        <w:rPr>
          <w:rFonts w:hint="eastAsia"/>
          <w:color w:val="000000"/>
          <w:sz w:val="24"/>
          <w:szCs w:val="24"/>
        </w:rPr>
      </w:pPr>
      <w:r>
        <w:rPr>
          <w:rFonts w:hint="eastAsia"/>
          <w:color w:val="000000"/>
          <w:sz w:val="24"/>
          <w:szCs w:val="24"/>
        </w:rPr>
        <w:t>本合同执行过程中如发生纠纷和争议；双方应首先通过友好协商解决；协商不成时，任何一方均可向甲方所在地人民法院提起诉讼解决。本协议的订立、解释、履行和争议的解决均适用中华人民共和国相关法律、法规。</w:t>
      </w:r>
    </w:p>
    <w:p w14:paraId="3E4BB820">
      <w:pPr>
        <w:pStyle w:val="6"/>
        <w:numPr>
          <w:ilvl w:val="1"/>
          <w:numId w:val="15"/>
        </w:numPr>
        <w:autoSpaceDE w:val="0"/>
        <w:autoSpaceDN w:val="0"/>
        <w:snapToGrid w:val="0"/>
        <w:spacing w:before="156" w:beforeLines="50" w:line="360" w:lineRule="auto"/>
        <w:ind w:left="728" w:firstLine="480" w:firstLineChars="0"/>
        <w:jc w:val="left"/>
        <w:rPr>
          <w:color w:val="000000"/>
          <w:sz w:val="24"/>
          <w:szCs w:val="24"/>
        </w:rPr>
      </w:pPr>
      <w:r>
        <w:rPr>
          <w:rFonts w:hint="eastAsia"/>
          <w:color w:val="000000"/>
          <w:sz w:val="24"/>
          <w:szCs w:val="24"/>
        </w:rPr>
        <w:t>一方违约导致另一方与其产生争议的，违约方应该承担另一方维权所产生的全部费用，包括但不限于律师费、诉讼费、保全担保函费、鉴定费、公正费等。</w:t>
      </w:r>
    </w:p>
    <w:p w14:paraId="45267869">
      <w:pPr>
        <w:pStyle w:val="2"/>
        <w:snapToGrid w:val="0"/>
        <w:spacing w:before="156" w:beforeLines="50" w:line="360" w:lineRule="auto"/>
        <w:rPr>
          <w:rFonts w:hAnsi="宋体" w:cs="宋体"/>
          <w:b/>
          <w:color w:val="000000"/>
          <w:sz w:val="24"/>
        </w:rPr>
      </w:pPr>
      <w:r>
        <w:rPr>
          <w:rFonts w:hint="eastAsia" w:hAnsi="宋体" w:cs="宋体"/>
          <w:b/>
          <w:color w:val="000000"/>
          <w:sz w:val="24"/>
        </w:rPr>
        <w:t xml:space="preserve">    十四、其他</w:t>
      </w:r>
    </w:p>
    <w:p w14:paraId="7A280FA5">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1.本协议正本一式四份，甲乙双方各执两份，每一份具有同等效力，自双方法定代表人或授权代表签字并加盖公章之日起生效。</w:t>
      </w:r>
    </w:p>
    <w:p w14:paraId="1F20C2C1">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2.本合同未尽事宜，须经双方共同协商，签订补充协议，补充协议与本合同具有同等效力。如有冲突，以最新约定为准。</w:t>
      </w:r>
    </w:p>
    <w:p w14:paraId="3C4F912B">
      <w:pPr>
        <w:pStyle w:val="2"/>
        <w:snapToGrid w:val="0"/>
        <w:spacing w:before="156" w:beforeLines="50" w:line="360" w:lineRule="auto"/>
        <w:ind w:firstLine="480" w:firstLineChars="200"/>
        <w:rPr>
          <w:rFonts w:hint="eastAsia" w:hAnsi="宋体" w:cs="宋体"/>
          <w:color w:val="000000"/>
          <w:sz w:val="24"/>
        </w:rPr>
      </w:pPr>
      <w:r>
        <w:rPr>
          <w:rFonts w:hint="eastAsia" w:hAnsi="宋体" w:cs="宋体"/>
          <w:color w:val="000000"/>
          <w:sz w:val="24"/>
        </w:rPr>
        <w:t>3.双方均应保证本合同内预留的联系方式的准确性，合同一方按该地址、邮箱向对方发出函件后3个工作日，即视为已送达。如任何一方变更预留的联系方式时，应在变更后的3个工作日内书面告知对方，未及时通知造成对方或争讼管辖法院无法实际送达的，上述期限届满时即视为已送达。</w:t>
      </w:r>
    </w:p>
    <w:p w14:paraId="1E7B29AE">
      <w:pPr>
        <w:pStyle w:val="2"/>
        <w:snapToGrid w:val="0"/>
        <w:spacing w:before="156" w:beforeLines="50" w:line="360" w:lineRule="auto"/>
        <w:ind w:firstLine="480" w:firstLineChars="200"/>
        <w:rPr>
          <w:rFonts w:hint="eastAsia" w:hAnsi="宋体" w:cs="宋体"/>
          <w:color w:val="000000"/>
        </w:rPr>
      </w:pPr>
      <w:r>
        <w:rPr>
          <w:rFonts w:hint="eastAsia" w:hAnsi="宋体" w:cs="宋体"/>
          <w:color w:val="000000"/>
          <w:sz w:val="24"/>
        </w:rPr>
        <w:t>(以下无正文)</w:t>
      </w:r>
      <w:r>
        <w:rPr>
          <w:rFonts w:hint="eastAsia"/>
          <w:color w:val="000000"/>
        </w:rPr>
        <w:br w:type="page"/>
      </w:r>
      <w:r>
        <w:rPr>
          <w:rFonts w:hint="eastAsia"/>
          <w:color w:val="000000"/>
        </w:rPr>
        <w:t>（本页无正文）</w:t>
      </w:r>
    </w:p>
    <w:p w14:paraId="6F8FBCCB">
      <w:pPr>
        <w:pStyle w:val="2"/>
        <w:snapToGrid w:val="0"/>
        <w:spacing w:line="360" w:lineRule="auto"/>
        <w:rPr>
          <w:rFonts w:hint="eastAsia" w:hAnsi="宋体" w:cs="宋体"/>
          <w:color w:val="000000"/>
          <w:sz w:val="24"/>
        </w:rPr>
      </w:pPr>
    </w:p>
    <w:p w14:paraId="7306B683">
      <w:pPr>
        <w:pStyle w:val="2"/>
        <w:snapToGrid w:val="0"/>
        <w:spacing w:line="360" w:lineRule="auto"/>
        <w:rPr>
          <w:rFonts w:hint="eastAsia" w:hAnsi="宋体" w:cs="宋体"/>
          <w:color w:val="000000"/>
          <w:sz w:val="24"/>
        </w:rPr>
      </w:pPr>
    </w:p>
    <w:p w14:paraId="794DCA66">
      <w:pPr>
        <w:pStyle w:val="2"/>
        <w:snapToGrid w:val="0"/>
        <w:spacing w:line="360" w:lineRule="auto"/>
        <w:rPr>
          <w:rFonts w:hint="eastAsia" w:hAnsi="宋体" w:cs="宋体"/>
          <w:color w:val="000000"/>
          <w:sz w:val="24"/>
        </w:rPr>
      </w:pPr>
      <w:r>
        <w:rPr>
          <w:rFonts w:hint="eastAsia" w:hAnsi="宋体" w:cs="宋体"/>
          <w:color w:val="000000"/>
          <w:sz w:val="24"/>
        </w:rPr>
        <w:t xml:space="preserve">甲方：海南省体育彩票管理中心         乙方： </w:t>
      </w:r>
    </w:p>
    <w:p w14:paraId="51BD8881">
      <w:pPr>
        <w:pStyle w:val="2"/>
        <w:snapToGrid w:val="0"/>
        <w:spacing w:line="360" w:lineRule="auto"/>
        <w:rPr>
          <w:rFonts w:hint="eastAsia" w:hAnsi="宋体" w:cs="宋体"/>
          <w:color w:val="000000"/>
          <w:sz w:val="24"/>
        </w:rPr>
      </w:pPr>
      <w:r>
        <w:rPr>
          <w:rFonts w:hint="eastAsia" w:hAnsi="宋体" w:cs="宋体"/>
          <w:color w:val="000000"/>
          <w:sz w:val="24"/>
        </w:rPr>
        <w:t xml:space="preserve">         （盖公章）                             （盖公章）</w:t>
      </w:r>
    </w:p>
    <w:p w14:paraId="155DF656">
      <w:pPr>
        <w:pStyle w:val="2"/>
        <w:snapToGrid w:val="0"/>
        <w:spacing w:line="360" w:lineRule="auto"/>
        <w:rPr>
          <w:rFonts w:hint="eastAsia" w:hAnsi="宋体" w:cs="宋体"/>
          <w:color w:val="000000"/>
          <w:sz w:val="24"/>
        </w:rPr>
      </w:pPr>
      <w:r>
        <w:rPr>
          <w:rFonts w:hint="eastAsia" w:hAnsi="宋体" w:cs="宋体"/>
          <w:color w:val="000000"/>
          <w:sz w:val="24"/>
        </w:rPr>
        <w:t xml:space="preserve"> </w:t>
      </w:r>
    </w:p>
    <w:p w14:paraId="45EEB119">
      <w:pPr>
        <w:pStyle w:val="2"/>
        <w:snapToGrid w:val="0"/>
        <w:spacing w:line="360" w:lineRule="auto"/>
        <w:rPr>
          <w:rFonts w:hint="eastAsia" w:hAnsi="宋体" w:cs="宋体"/>
          <w:color w:val="000000"/>
          <w:sz w:val="24"/>
        </w:rPr>
      </w:pPr>
      <w:r>
        <w:rPr>
          <w:rFonts w:hint="eastAsia" w:hAnsi="宋体" w:cs="宋体"/>
          <w:color w:val="000000"/>
          <w:sz w:val="24"/>
        </w:rPr>
        <w:t xml:space="preserve">法定代表人或授权代表：               法定代表人或授权代表： </w:t>
      </w:r>
    </w:p>
    <w:p w14:paraId="75FF7763">
      <w:pPr>
        <w:pStyle w:val="2"/>
        <w:snapToGrid w:val="0"/>
        <w:spacing w:line="360" w:lineRule="auto"/>
        <w:rPr>
          <w:rFonts w:hint="eastAsia" w:hAnsi="宋体" w:cs="宋体"/>
          <w:color w:val="000000"/>
          <w:sz w:val="24"/>
        </w:rPr>
      </w:pPr>
      <w:r>
        <w:rPr>
          <w:rFonts w:hint="eastAsia" w:hAnsi="宋体" w:cs="宋体"/>
          <w:color w:val="000000"/>
          <w:sz w:val="24"/>
        </w:rPr>
        <w:t>地址：                               地址：</w:t>
      </w:r>
    </w:p>
    <w:p w14:paraId="24C6B8F8">
      <w:pPr>
        <w:pStyle w:val="2"/>
        <w:snapToGrid w:val="0"/>
        <w:spacing w:line="360" w:lineRule="auto"/>
        <w:rPr>
          <w:rFonts w:hint="eastAsia" w:hAnsi="宋体" w:cs="宋体"/>
          <w:color w:val="000000"/>
          <w:sz w:val="24"/>
        </w:rPr>
      </w:pPr>
      <w:r>
        <w:rPr>
          <w:rFonts w:hint="eastAsia" w:hAnsi="宋体" w:cs="宋体"/>
          <w:color w:val="000000"/>
          <w:sz w:val="24"/>
        </w:rPr>
        <w:t>联系人：                             联系人：</w:t>
      </w:r>
    </w:p>
    <w:p w14:paraId="7699F1B0">
      <w:pPr>
        <w:pStyle w:val="2"/>
        <w:snapToGrid w:val="0"/>
        <w:spacing w:line="360" w:lineRule="auto"/>
        <w:rPr>
          <w:rFonts w:hint="eastAsia" w:hAnsi="宋体" w:cs="宋体"/>
          <w:color w:val="000000"/>
          <w:sz w:val="24"/>
        </w:rPr>
      </w:pPr>
      <w:r>
        <w:rPr>
          <w:rFonts w:hint="eastAsia" w:hAnsi="宋体" w:cs="宋体"/>
          <w:color w:val="000000"/>
          <w:sz w:val="24"/>
        </w:rPr>
        <w:t>联系方式：                           联系方式：</w:t>
      </w:r>
    </w:p>
    <w:p w14:paraId="333245F2">
      <w:pPr>
        <w:pStyle w:val="2"/>
        <w:snapToGrid w:val="0"/>
        <w:spacing w:line="360" w:lineRule="auto"/>
        <w:rPr>
          <w:rFonts w:hint="eastAsia" w:hAnsi="宋体" w:cs="宋体"/>
          <w:color w:val="000000"/>
          <w:sz w:val="24"/>
        </w:rPr>
      </w:pPr>
      <w:r>
        <w:rPr>
          <w:rFonts w:hint="eastAsia" w:hAnsi="宋体" w:cs="宋体"/>
          <w:color w:val="000000"/>
          <w:sz w:val="24"/>
        </w:rPr>
        <w:t>签订时间：     年    月    日        签订时间：     年    月    日</w:t>
      </w:r>
    </w:p>
    <w:p w14:paraId="0AFA8BC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B4466"/>
    <w:multiLevelType w:val="multilevel"/>
    <w:tmpl w:val="8F8B4466"/>
    <w:lvl w:ilvl="0" w:tentative="0">
      <w:start w:val="1"/>
      <w:numFmt w:val="chineseCounting"/>
      <w:suff w:val="nothing"/>
      <w:lvlText w:val="（%1）"/>
      <w:lvlJc w:val="left"/>
      <w:pPr>
        <w:ind w:left="0" w:firstLine="0"/>
      </w:pPr>
    </w:lvl>
    <w:lvl w:ilvl="1" w:tentative="0">
      <w:start w:val="1"/>
      <w:numFmt w:val="decimal"/>
      <w:suff w:val="nothing"/>
      <w:lvlText w:val="%2．"/>
      <w:lvlJc w:val="left"/>
      <w:pPr>
        <w:ind w:left="0" w:firstLine="0"/>
      </w:pPr>
    </w:lvl>
    <w:lvl w:ilvl="2" w:tentative="0">
      <w:start w:val="1"/>
      <w:numFmt w:val="decimal"/>
      <w:suff w:val="nothing"/>
      <w:lvlText w:val="（%3）"/>
      <w:lvlJc w:val="left"/>
      <w:pPr>
        <w:ind w:left="0" w:firstLine="0"/>
      </w:pPr>
    </w:lvl>
    <w:lvl w:ilvl="3" w:tentative="0">
      <w:start w:val="1"/>
      <w:numFmt w:val="decimalEnclosedCircleChinese"/>
      <w:suff w:val="nothing"/>
      <w:lvlText w:val="%4"/>
      <w:lvlJc w:val="left"/>
      <w:pPr>
        <w:ind w:left="0" w:firstLine="0"/>
      </w:pPr>
    </w:lvl>
    <w:lvl w:ilvl="4" w:tentative="0">
      <w:start w:val="1"/>
      <w:numFmt w:val="decimal"/>
      <w:suff w:val="nothing"/>
      <w:lvlText w:val="%5）"/>
      <w:lvlJc w:val="left"/>
      <w:pPr>
        <w:ind w:left="0" w:firstLine="0"/>
      </w:pPr>
    </w:lvl>
    <w:lvl w:ilvl="5" w:tentative="0">
      <w:start w:val="1"/>
      <w:numFmt w:val="lowerLetter"/>
      <w:suff w:val="nothing"/>
      <w:lvlText w:val="%6．"/>
      <w:lvlJc w:val="left"/>
      <w:pPr>
        <w:ind w:left="0" w:firstLine="0"/>
      </w:pPr>
    </w:lvl>
    <w:lvl w:ilvl="6" w:tentative="0">
      <w:start w:val="1"/>
      <w:numFmt w:val="lowerLetter"/>
      <w:suff w:val="nothing"/>
      <w:lvlText w:val="%7）"/>
      <w:lvlJc w:val="left"/>
      <w:pPr>
        <w:ind w:left="0" w:firstLine="0"/>
      </w:pPr>
    </w:lvl>
    <w:lvl w:ilvl="7" w:tentative="0">
      <w:start w:val="1"/>
      <w:numFmt w:val="lowerRoman"/>
      <w:suff w:val="nothing"/>
      <w:lvlText w:val="%8．"/>
      <w:lvlJc w:val="left"/>
      <w:pPr>
        <w:ind w:left="0" w:firstLine="0"/>
      </w:pPr>
    </w:lvl>
    <w:lvl w:ilvl="8" w:tentative="0">
      <w:start w:val="1"/>
      <w:numFmt w:val="lowerRoman"/>
      <w:suff w:val="nothing"/>
      <w:lvlText w:val="%9）"/>
      <w:lvlJc w:val="left"/>
      <w:pPr>
        <w:ind w:left="0" w:firstLine="0"/>
      </w:pPr>
    </w:lvl>
  </w:abstractNum>
  <w:abstractNum w:abstractNumId="1">
    <w:nsid w:val="A4AE8C80"/>
    <w:multiLevelType w:val="singleLevel"/>
    <w:tmpl w:val="A4AE8C80"/>
    <w:lvl w:ilvl="0" w:tentative="0">
      <w:start w:val="1"/>
      <w:numFmt w:val="decimal"/>
      <w:suff w:val="nothing"/>
      <w:lvlText w:val="(%1)"/>
      <w:lvlJc w:val="left"/>
      <w:pPr>
        <w:ind w:left="0" w:firstLine="0"/>
      </w:pPr>
    </w:lvl>
  </w:abstractNum>
  <w:abstractNum w:abstractNumId="2">
    <w:nsid w:val="A5F3B0E0"/>
    <w:multiLevelType w:val="singleLevel"/>
    <w:tmpl w:val="A5F3B0E0"/>
    <w:lvl w:ilvl="0" w:tentative="0">
      <w:start w:val="1"/>
      <w:numFmt w:val="decimal"/>
      <w:suff w:val="nothing"/>
      <w:lvlText w:val="%1."/>
      <w:lvlJc w:val="left"/>
      <w:pPr>
        <w:ind w:left="0" w:firstLine="0"/>
      </w:pPr>
    </w:lvl>
  </w:abstractNum>
  <w:abstractNum w:abstractNumId="3">
    <w:nsid w:val="A962604F"/>
    <w:multiLevelType w:val="singleLevel"/>
    <w:tmpl w:val="A962604F"/>
    <w:lvl w:ilvl="0" w:tentative="0">
      <w:start w:val="10"/>
      <w:numFmt w:val="chineseCounting"/>
      <w:suff w:val="nothing"/>
      <w:lvlText w:val="%1、"/>
      <w:lvlJc w:val="left"/>
      <w:pPr>
        <w:ind w:left="481" w:firstLine="0"/>
      </w:pPr>
    </w:lvl>
  </w:abstractNum>
  <w:abstractNum w:abstractNumId="4">
    <w:nsid w:val="B43C3FE9"/>
    <w:multiLevelType w:val="multilevel"/>
    <w:tmpl w:val="B43C3FE9"/>
    <w:lvl w:ilvl="0" w:tentative="0">
      <w:start w:val="1"/>
      <w:numFmt w:val="chineseCounting"/>
      <w:suff w:val="nothing"/>
      <w:lvlText w:val="（%1）"/>
      <w:lvlJc w:val="left"/>
      <w:pPr>
        <w:ind w:left="0" w:firstLine="0"/>
      </w:pPr>
    </w:lvl>
    <w:lvl w:ilvl="1" w:tentative="0">
      <w:start w:val="1"/>
      <w:numFmt w:val="decimal"/>
      <w:suff w:val="nothing"/>
      <w:lvlText w:val="%2．"/>
      <w:lvlJc w:val="left"/>
      <w:pPr>
        <w:ind w:left="0" w:firstLine="0"/>
      </w:pPr>
    </w:lvl>
    <w:lvl w:ilvl="2" w:tentative="0">
      <w:start w:val="1"/>
      <w:numFmt w:val="decimal"/>
      <w:suff w:val="nothing"/>
      <w:lvlText w:val="（%3）"/>
      <w:lvlJc w:val="left"/>
      <w:pPr>
        <w:ind w:left="0" w:firstLine="0"/>
      </w:pPr>
    </w:lvl>
    <w:lvl w:ilvl="3" w:tentative="0">
      <w:start w:val="1"/>
      <w:numFmt w:val="decimalEnclosedCircleChinese"/>
      <w:suff w:val="nothing"/>
      <w:lvlText w:val="%4"/>
      <w:lvlJc w:val="left"/>
      <w:pPr>
        <w:ind w:left="0" w:firstLine="0"/>
      </w:pPr>
    </w:lvl>
    <w:lvl w:ilvl="4" w:tentative="0">
      <w:start w:val="1"/>
      <w:numFmt w:val="decimal"/>
      <w:suff w:val="nothing"/>
      <w:lvlText w:val="%5）"/>
      <w:lvlJc w:val="left"/>
      <w:pPr>
        <w:ind w:left="0" w:firstLine="0"/>
      </w:pPr>
    </w:lvl>
    <w:lvl w:ilvl="5" w:tentative="0">
      <w:start w:val="1"/>
      <w:numFmt w:val="lowerLetter"/>
      <w:suff w:val="nothing"/>
      <w:lvlText w:val="%6．"/>
      <w:lvlJc w:val="left"/>
      <w:pPr>
        <w:ind w:left="0" w:firstLine="0"/>
      </w:pPr>
    </w:lvl>
    <w:lvl w:ilvl="6" w:tentative="0">
      <w:start w:val="1"/>
      <w:numFmt w:val="lowerLetter"/>
      <w:suff w:val="nothing"/>
      <w:lvlText w:val="%7）"/>
      <w:lvlJc w:val="left"/>
      <w:pPr>
        <w:ind w:left="0" w:firstLine="0"/>
      </w:pPr>
    </w:lvl>
    <w:lvl w:ilvl="7" w:tentative="0">
      <w:start w:val="1"/>
      <w:numFmt w:val="lowerRoman"/>
      <w:suff w:val="nothing"/>
      <w:lvlText w:val="%8．"/>
      <w:lvlJc w:val="left"/>
      <w:pPr>
        <w:ind w:left="0" w:firstLine="0"/>
      </w:pPr>
    </w:lvl>
    <w:lvl w:ilvl="8" w:tentative="0">
      <w:start w:val="1"/>
      <w:numFmt w:val="lowerRoman"/>
      <w:suff w:val="nothing"/>
      <w:lvlText w:val="%9）"/>
      <w:lvlJc w:val="left"/>
      <w:pPr>
        <w:ind w:left="0" w:firstLine="0"/>
      </w:pPr>
    </w:lvl>
  </w:abstractNum>
  <w:abstractNum w:abstractNumId="5">
    <w:nsid w:val="C95495BE"/>
    <w:multiLevelType w:val="singleLevel"/>
    <w:tmpl w:val="C95495BE"/>
    <w:lvl w:ilvl="0" w:tentative="0">
      <w:start w:val="1"/>
      <w:numFmt w:val="decimal"/>
      <w:lvlText w:val="%1."/>
      <w:lvlJc w:val="left"/>
      <w:pPr>
        <w:ind w:left="0" w:firstLine="0"/>
      </w:pPr>
    </w:lvl>
  </w:abstractNum>
  <w:abstractNum w:abstractNumId="6">
    <w:nsid w:val="DC1D5513"/>
    <w:multiLevelType w:val="singleLevel"/>
    <w:tmpl w:val="DC1D5513"/>
    <w:lvl w:ilvl="0" w:tentative="0">
      <w:start w:val="5"/>
      <w:numFmt w:val="chineseCounting"/>
      <w:suff w:val="space"/>
      <w:lvlText w:val="第%1章"/>
      <w:lvlJc w:val="left"/>
      <w:rPr>
        <w:rFonts w:hint="eastAsia"/>
      </w:rPr>
    </w:lvl>
  </w:abstractNum>
  <w:abstractNum w:abstractNumId="7">
    <w:nsid w:val="0FFDC71B"/>
    <w:multiLevelType w:val="singleLevel"/>
    <w:tmpl w:val="0FFDC71B"/>
    <w:lvl w:ilvl="0" w:tentative="0">
      <w:start w:val="1"/>
      <w:numFmt w:val="decimal"/>
      <w:suff w:val="nothing"/>
      <w:lvlText w:val="(%1)"/>
      <w:lvlJc w:val="left"/>
      <w:pPr>
        <w:ind w:left="0" w:firstLine="0"/>
      </w:pPr>
    </w:lvl>
  </w:abstractNum>
  <w:abstractNum w:abstractNumId="8">
    <w:nsid w:val="1522F8B8"/>
    <w:multiLevelType w:val="multilevel"/>
    <w:tmpl w:val="1522F8B8"/>
    <w:lvl w:ilvl="0" w:tentative="0">
      <w:start w:val="1"/>
      <w:numFmt w:val="chineseCounting"/>
      <w:suff w:val="nothing"/>
      <w:lvlText w:val="（%1）"/>
      <w:lvlJc w:val="left"/>
      <w:pPr>
        <w:ind w:left="0" w:firstLine="0"/>
      </w:pPr>
    </w:lvl>
    <w:lvl w:ilvl="1" w:tentative="0">
      <w:start w:val="1"/>
      <w:numFmt w:val="decimal"/>
      <w:suff w:val="nothing"/>
      <w:lvlText w:val="%2．"/>
      <w:lvlJc w:val="left"/>
      <w:pPr>
        <w:ind w:left="0" w:firstLine="0"/>
      </w:pPr>
    </w:lvl>
    <w:lvl w:ilvl="2" w:tentative="0">
      <w:start w:val="1"/>
      <w:numFmt w:val="decimal"/>
      <w:suff w:val="nothing"/>
      <w:lvlText w:val="（%3）"/>
      <w:lvlJc w:val="left"/>
      <w:pPr>
        <w:ind w:left="0" w:firstLine="0"/>
      </w:pPr>
    </w:lvl>
    <w:lvl w:ilvl="3" w:tentative="0">
      <w:start w:val="1"/>
      <w:numFmt w:val="decimalEnclosedCircleChinese"/>
      <w:suff w:val="nothing"/>
      <w:lvlText w:val="%4"/>
      <w:lvlJc w:val="left"/>
      <w:pPr>
        <w:ind w:left="0" w:firstLine="0"/>
      </w:pPr>
    </w:lvl>
    <w:lvl w:ilvl="4" w:tentative="0">
      <w:start w:val="1"/>
      <w:numFmt w:val="decimal"/>
      <w:suff w:val="nothing"/>
      <w:lvlText w:val="%5）"/>
      <w:lvlJc w:val="left"/>
      <w:pPr>
        <w:ind w:left="0" w:firstLine="0"/>
      </w:pPr>
    </w:lvl>
    <w:lvl w:ilvl="5" w:tentative="0">
      <w:start w:val="1"/>
      <w:numFmt w:val="lowerLetter"/>
      <w:suff w:val="nothing"/>
      <w:lvlText w:val="%6．"/>
      <w:lvlJc w:val="left"/>
      <w:pPr>
        <w:ind w:left="0" w:firstLine="0"/>
      </w:pPr>
    </w:lvl>
    <w:lvl w:ilvl="6" w:tentative="0">
      <w:start w:val="1"/>
      <w:numFmt w:val="lowerLetter"/>
      <w:suff w:val="nothing"/>
      <w:lvlText w:val="%7）"/>
      <w:lvlJc w:val="left"/>
      <w:pPr>
        <w:ind w:left="0" w:firstLine="0"/>
      </w:pPr>
    </w:lvl>
    <w:lvl w:ilvl="7" w:tentative="0">
      <w:start w:val="1"/>
      <w:numFmt w:val="lowerRoman"/>
      <w:suff w:val="nothing"/>
      <w:lvlText w:val="%8．"/>
      <w:lvlJc w:val="left"/>
      <w:pPr>
        <w:ind w:left="0" w:firstLine="0"/>
      </w:pPr>
    </w:lvl>
    <w:lvl w:ilvl="8" w:tentative="0">
      <w:start w:val="1"/>
      <w:numFmt w:val="lowerRoman"/>
      <w:suff w:val="nothing"/>
      <w:lvlText w:val="%9）"/>
      <w:lvlJc w:val="left"/>
      <w:pPr>
        <w:ind w:left="0" w:firstLine="0"/>
      </w:pPr>
    </w:lvl>
  </w:abstractNum>
  <w:abstractNum w:abstractNumId="9">
    <w:nsid w:val="33FEFEBA"/>
    <w:multiLevelType w:val="singleLevel"/>
    <w:tmpl w:val="33FEFEBA"/>
    <w:lvl w:ilvl="0" w:tentative="0">
      <w:start w:val="1"/>
      <w:numFmt w:val="decimal"/>
      <w:suff w:val="nothing"/>
      <w:lvlText w:val="%1."/>
      <w:lvlJc w:val="left"/>
      <w:pPr>
        <w:ind w:left="425" w:hanging="425"/>
      </w:pPr>
    </w:lvl>
  </w:abstractNum>
  <w:abstractNum w:abstractNumId="10">
    <w:nsid w:val="3494D983"/>
    <w:multiLevelType w:val="singleLevel"/>
    <w:tmpl w:val="3494D983"/>
    <w:lvl w:ilvl="0" w:tentative="0">
      <w:start w:val="1"/>
      <w:numFmt w:val="decimal"/>
      <w:suff w:val="nothing"/>
      <w:lvlText w:val="%1."/>
      <w:lvlJc w:val="left"/>
      <w:pPr>
        <w:ind w:left="0" w:firstLine="0"/>
      </w:pPr>
    </w:lvl>
  </w:abstractNum>
  <w:abstractNum w:abstractNumId="11">
    <w:nsid w:val="53E93209"/>
    <w:multiLevelType w:val="multilevel"/>
    <w:tmpl w:val="53E93209"/>
    <w:lvl w:ilvl="0" w:tentative="0">
      <w:start w:val="1"/>
      <w:numFmt w:val="chineseCounting"/>
      <w:suff w:val="nothing"/>
      <w:lvlText w:val="（%1）"/>
      <w:lvlJc w:val="left"/>
      <w:pPr>
        <w:ind w:left="0" w:firstLine="0"/>
      </w:pPr>
    </w:lvl>
    <w:lvl w:ilvl="1" w:tentative="0">
      <w:start w:val="1"/>
      <w:numFmt w:val="decimal"/>
      <w:suff w:val="nothing"/>
      <w:lvlText w:val="%2．"/>
      <w:lvlJc w:val="left"/>
      <w:pPr>
        <w:ind w:left="0" w:firstLine="0"/>
      </w:pPr>
    </w:lvl>
    <w:lvl w:ilvl="2" w:tentative="0">
      <w:start w:val="1"/>
      <w:numFmt w:val="decimal"/>
      <w:suff w:val="nothing"/>
      <w:lvlText w:val="（%3）"/>
      <w:lvlJc w:val="left"/>
      <w:pPr>
        <w:ind w:left="0" w:firstLine="0"/>
      </w:pPr>
    </w:lvl>
    <w:lvl w:ilvl="3" w:tentative="0">
      <w:start w:val="1"/>
      <w:numFmt w:val="decimalEnclosedCircleChinese"/>
      <w:suff w:val="nothing"/>
      <w:lvlText w:val="%4"/>
      <w:lvlJc w:val="left"/>
      <w:pPr>
        <w:ind w:left="0" w:firstLine="0"/>
      </w:pPr>
    </w:lvl>
    <w:lvl w:ilvl="4" w:tentative="0">
      <w:start w:val="1"/>
      <w:numFmt w:val="decimal"/>
      <w:suff w:val="nothing"/>
      <w:lvlText w:val="%5）"/>
      <w:lvlJc w:val="left"/>
      <w:pPr>
        <w:ind w:left="0" w:firstLine="0"/>
      </w:pPr>
    </w:lvl>
    <w:lvl w:ilvl="5" w:tentative="0">
      <w:start w:val="1"/>
      <w:numFmt w:val="lowerLetter"/>
      <w:suff w:val="nothing"/>
      <w:lvlText w:val="%6．"/>
      <w:lvlJc w:val="left"/>
      <w:pPr>
        <w:ind w:left="0" w:firstLine="0"/>
      </w:pPr>
    </w:lvl>
    <w:lvl w:ilvl="6" w:tentative="0">
      <w:start w:val="1"/>
      <w:numFmt w:val="lowerLetter"/>
      <w:suff w:val="nothing"/>
      <w:lvlText w:val="%7）"/>
      <w:lvlJc w:val="left"/>
      <w:pPr>
        <w:ind w:left="0" w:firstLine="0"/>
      </w:pPr>
    </w:lvl>
    <w:lvl w:ilvl="7" w:tentative="0">
      <w:start w:val="1"/>
      <w:numFmt w:val="lowerRoman"/>
      <w:suff w:val="nothing"/>
      <w:lvlText w:val="%8．"/>
      <w:lvlJc w:val="left"/>
      <w:pPr>
        <w:ind w:left="0" w:firstLine="0"/>
      </w:pPr>
    </w:lvl>
    <w:lvl w:ilvl="8" w:tentative="0">
      <w:start w:val="1"/>
      <w:numFmt w:val="lowerRoman"/>
      <w:suff w:val="nothing"/>
      <w:lvlText w:val="%9）"/>
      <w:lvlJc w:val="left"/>
      <w:pPr>
        <w:ind w:left="0" w:firstLine="0"/>
      </w:pPr>
    </w:lvl>
  </w:abstractNum>
  <w:abstractNum w:abstractNumId="12">
    <w:nsid w:val="55C1CFBD"/>
    <w:multiLevelType w:val="singleLevel"/>
    <w:tmpl w:val="55C1CFBD"/>
    <w:lvl w:ilvl="0" w:tentative="0">
      <w:start w:val="1"/>
      <w:numFmt w:val="decimal"/>
      <w:suff w:val="nothing"/>
      <w:lvlText w:val="%1."/>
      <w:lvlJc w:val="left"/>
      <w:pPr>
        <w:ind w:left="425" w:hanging="425"/>
      </w:pPr>
    </w:lvl>
  </w:abstractNum>
  <w:abstractNum w:abstractNumId="13">
    <w:nsid w:val="6CC768AA"/>
    <w:multiLevelType w:val="multilevel"/>
    <w:tmpl w:val="6CC768AA"/>
    <w:lvl w:ilvl="0" w:tentative="0">
      <w:start w:val="2"/>
      <w:numFmt w:val="decimal"/>
      <w:suff w:val="nothing"/>
      <w:lvlText w:val="%1"/>
      <w:lvlJc w:val="left"/>
      <w:pPr>
        <w:ind w:left="0" w:firstLine="0"/>
      </w:pPr>
    </w:lvl>
    <w:lvl w:ilvl="1" w:tentative="0">
      <w:start w:val="1"/>
      <w:numFmt w:val="japaneseCounting"/>
      <w:lvlText w:val="（%2）"/>
      <w:lvlJc w:val="left"/>
      <w:pPr>
        <w:ind w:left="720" w:hanging="720"/>
      </w:pPr>
    </w:lvl>
    <w:lvl w:ilvl="2" w:tentative="0">
      <w:start w:val="1"/>
      <w:numFmt w:val="decimal"/>
      <w:lvlText w:val="%1.%2.%3"/>
      <w:lvlJc w:val="left"/>
      <w:pPr>
        <w:ind w:left="720" w:hanging="720"/>
      </w:pPr>
    </w:lvl>
    <w:lvl w:ilvl="3" w:tentative="0">
      <w:start w:val="1"/>
      <w:numFmt w:val="decimal"/>
      <w:lvlText w:val="%1.%2.%3.%4"/>
      <w:lvlJc w:val="left"/>
      <w:pPr>
        <w:ind w:left="1080" w:hanging="1080"/>
      </w:pPr>
    </w:lvl>
    <w:lvl w:ilvl="4" w:tentative="0">
      <w:start w:val="1"/>
      <w:numFmt w:val="decimal"/>
      <w:lvlText w:val="%1.%2.%3.%4.%5"/>
      <w:lvlJc w:val="left"/>
      <w:pPr>
        <w:ind w:left="1080" w:hanging="1080"/>
      </w:pPr>
    </w:lvl>
    <w:lvl w:ilvl="5" w:tentative="0">
      <w:start w:val="1"/>
      <w:numFmt w:val="decimal"/>
      <w:lvlText w:val="%1.%2.%3.%4.%5.%6"/>
      <w:lvlJc w:val="left"/>
      <w:pPr>
        <w:ind w:left="1440" w:hanging="1440"/>
      </w:pPr>
    </w:lvl>
    <w:lvl w:ilvl="6" w:tentative="0">
      <w:start w:val="1"/>
      <w:numFmt w:val="decimal"/>
      <w:lvlText w:val="%1.%2.%3.%4.%5.%6.%7"/>
      <w:lvlJc w:val="left"/>
      <w:pPr>
        <w:ind w:left="1800" w:hanging="1800"/>
      </w:pPr>
    </w:lvl>
    <w:lvl w:ilvl="7" w:tentative="0">
      <w:start w:val="1"/>
      <w:numFmt w:val="decimal"/>
      <w:lvlText w:val="%1.%2.%3.%4.%5.%6.%7.%8"/>
      <w:lvlJc w:val="left"/>
      <w:pPr>
        <w:ind w:left="1800" w:hanging="1800"/>
      </w:pPr>
    </w:lvl>
    <w:lvl w:ilvl="8" w:tentative="0">
      <w:start w:val="1"/>
      <w:numFmt w:val="decimal"/>
      <w:lvlText w:val="%1.%2.%3.%4.%5.%6.%7.%8.%9"/>
      <w:lvlJc w:val="left"/>
      <w:pPr>
        <w:ind w:left="2160" w:hanging="2160"/>
      </w:pPr>
    </w:lvl>
  </w:abstractNum>
  <w:abstractNum w:abstractNumId="14">
    <w:nsid w:val="7A9B903C"/>
    <w:multiLevelType w:val="singleLevel"/>
    <w:tmpl w:val="7A9B903C"/>
    <w:lvl w:ilvl="0" w:tentative="0">
      <w:start w:val="1"/>
      <w:numFmt w:val="decimal"/>
      <w:lvlText w:val="%1."/>
      <w:lvlJc w:val="left"/>
      <w:pPr>
        <w:ind w:left="0" w:firstLine="0"/>
      </w:pPr>
    </w:lvl>
  </w:abstractNum>
  <w:num w:numId="1">
    <w:abstractNumId w:val="6"/>
    <w:lvlOverride w:ilvl="0">
      <w:startOverride w:val="5"/>
    </w:lvlOverride>
  </w:num>
  <w:num w:numId="2">
    <w:abstractNumId w:val="5"/>
    <w:lvlOverride w:ilvl="0">
      <w:startOverride w:val="1"/>
    </w:lvlOverride>
  </w:num>
  <w:num w:numId="3">
    <w:abstractNumId w:val="14"/>
    <w:lvlOverride w:ilvl="0">
      <w:startOverride w:val="1"/>
    </w:lvlOverride>
  </w:num>
  <w:num w:numId="4">
    <w:abstractNumId w:val="1"/>
    <w:lvlOverride w:ilvl="0">
      <w:startOverride w:val="1"/>
    </w:lvlOverride>
  </w:num>
  <w:num w:numId="5">
    <w:abstractNumId w:val="10"/>
    <w:lvlOverride w:ilvl="0">
      <w:startOverride w:val="1"/>
    </w:lvlOverride>
  </w:num>
  <w:num w:numId="6">
    <w:abstractNumId w:val="2"/>
    <w:lvlOverride w:ilvl="0">
      <w:startOverride w:val="1"/>
    </w:lvlOverride>
  </w:num>
  <w:num w:numId="7">
    <w:abstractNumId w:val="9"/>
    <w:lvlOverride w:ilvl="0">
      <w:startOverride w:val="1"/>
    </w:lvlOverride>
  </w:num>
  <w:num w:numId="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0"/>
    </w:lvlOverride>
  </w:num>
  <w:num w:numId="12">
    <w:abstractNumId w:val="7"/>
    <w:lvlOverride w:ilvl="0">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9451B5"/>
    <w:rsid w:val="03E20703"/>
    <w:rsid w:val="04442A83"/>
    <w:rsid w:val="06724765"/>
    <w:rsid w:val="134F6BBF"/>
    <w:rsid w:val="17ED1BB0"/>
    <w:rsid w:val="20831ACC"/>
    <w:rsid w:val="229451B5"/>
    <w:rsid w:val="28EC214E"/>
    <w:rsid w:val="29110082"/>
    <w:rsid w:val="3D600348"/>
    <w:rsid w:val="3E174232"/>
    <w:rsid w:val="46C27F22"/>
    <w:rsid w:val="4B4C3E96"/>
    <w:rsid w:val="4D6B7E25"/>
    <w:rsid w:val="5BE87893"/>
    <w:rsid w:val="6032786F"/>
    <w:rsid w:val="66FD068D"/>
    <w:rsid w:val="6A434C9D"/>
    <w:rsid w:val="6C8F178E"/>
    <w:rsid w:val="6E637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rPr>
  </w:style>
  <w:style w:type="paragraph" w:customStyle="1" w:styleId="5">
    <w:name w:val="正文 A"/>
    <w:qFormat/>
    <w:uiPriority w:val="0"/>
    <w:pPr>
      <w:widowControl w:val="0"/>
      <w:jc w:val="both"/>
    </w:pPr>
    <w:rPr>
      <w:rFonts w:ascii="Times New Roman" w:hAnsi="Times New Roman" w:eastAsia="Arial Unicode MS" w:cs="Arial Unicode MS"/>
      <w:color w:val="000000"/>
      <w:sz w:val="21"/>
      <w:szCs w:val="21"/>
      <w:lang w:val="en-US" w:eastAsia="zh-CN" w:bidi="ar-SA"/>
    </w:rPr>
  </w:style>
  <w:style w:type="paragraph" w:customStyle="1" w:styleId="6">
    <w:name w:val="列出段落1"/>
    <w:basedOn w:val="1"/>
    <w:qFormat/>
    <w:uiPriority w:val="1"/>
    <w:pPr>
      <w:ind w:firstLine="420" w:firstLineChars="200"/>
    </w:pPr>
    <w:rPr>
      <w:rFonts w:ascii="Calibri" w:hAnsi="Calibri"/>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2025-02-27T03:41:00Z</dcterms:created>
  <dc:creator>Kyrie罗</dc:creator>
  <cp:lastModifiedBy>Kyrie罗</cp:lastModifiedBy>
  <dcterms:modified xsi:type="dcterms:W3CDTF">2025-02-27T03:43:09Z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8AEFCD61FA744871B8DDD70DFA5A3F41_11</vt:lpwstr>
  </property>
  <property fmtid="{D5CDD505-2E9C-101B-9397-08002B2CF9AE}" pid="4" name="KSOTemplateDocerSaveRecord">
    <vt:lpwstr>eyJoZGlkIjoiODViY2JkMjU3NGYzZTEwMzZmMGFkZWViYmNkYWU3NDIiLCJ1c2VySWQiOiI1NTczMTkyNjMifQ==</vt:lpwstr>
  </property>
</Properties>
</file>