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竞争性谈判文件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2025年第五届中国国际消费品博览会海南馆设计搭建服务项目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HNGP2025-07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海南省商务厅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2.3供应商完成响应文件编制后，应按照谈判文件第六章明确的签章要求，使用互认的证书及签章对响应文件进行电子签章和加密。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谈判文件澄清或者修改的内容可能影响谈判文件编制的，代理机构将重新发布澄清或者修改后的谈判文件，供应商应重新获取澄清或者修改后的谈判文件，按照澄清或者修改后的谈判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供应商使用“投标客户端”编制、签章、生成加密响应文件，同时生成备用响应文件（同一版的备用响应文件），供应商自行留存，涉及“加盖公章”的内容应使用单位电子公章完成。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备用响应文件（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供应商未按谈判文件要求提供备用响应文件的。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政府采购谈判邀请函</w:t>
      </w:r>
    </w:p>
    <w:p>
      <w:pPr>
        <w:pStyle w:val="null3"/>
        <w:ind w:firstLine="480"/>
        <w:jc w:val="left"/>
      </w:pPr>
      <w:r>
        <w:rPr>
          <w:rFonts w:ascii="仿宋_GB2312" w:hAnsi="仿宋_GB2312" w:cs="仿宋_GB2312" w:eastAsia="仿宋_GB2312"/>
        </w:rPr>
        <w:t>受</w:t>
      </w:r>
      <w:r>
        <w:rPr>
          <w:rFonts w:ascii="仿宋_GB2312" w:hAnsi="仿宋_GB2312" w:cs="仿宋_GB2312" w:eastAsia="仿宋_GB2312"/>
        </w:rPr>
        <w:t>海南省商务厅</w:t>
      </w:r>
      <w:r>
        <w:rPr>
          <w:rFonts w:ascii="仿宋_GB2312" w:hAnsi="仿宋_GB2312" w:cs="仿宋_GB2312" w:eastAsia="仿宋_GB2312"/>
        </w:rPr>
        <w:t xml:space="preserve"> 的委托，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2025年第五届中国国际消费品博览会海南馆设计搭建服务项目</w:t>
      </w:r>
      <w:r>
        <w:rPr>
          <w:rFonts w:ascii="仿宋_GB2312" w:hAnsi="仿宋_GB2312" w:cs="仿宋_GB2312" w:eastAsia="仿宋_GB2312"/>
        </w:rPr>
        <w:t xml:space="preserve"> 项目进行竞争性谈判采购。 </w:t>
      </w:r>
      <w:r>
        <w:rPr>
          <w:rFonts w:ascii="仿宋_GB2312" w:hAnsi="仿宋_GB2312" w:cs="仿宋_GB2312" w:eastAsia="仿宋_GB2312"/>
        </w:rPr>
        <w:t>现欢迎国内合格的供应商前来参加。</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HNGP2025-07</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2025年第五届中国国际消费品博览会海南馆设计搭建服务项目</w:t>
      </w:r>
    </w:p>
    <w:p>
      <w:pPr>
        <w:pStyle w:val="null3"/>
        <w:ind w:firstLine="480"/>
        <w:jc w:val="left"/>
      </w:pPr>
      <w:r>
        <w:rPr>
          <w:rFonts w:ascii="仿宋_GB2312" w:hAnsi="仿宋_GB2312" w:cs="仿宋_GB2312" w:eastAsia="仿宋_GB2312"/>
        </w:rPr>
        <w:t>3.采购方式：竞争性谈判</w:t>
      </w:r>
    </w:p>
    <w:p>
      <w:pPr>
        <w:pStyle w:val="null3"/>
        <w:ind w:firstLine="480"/>
        <w:jc w:val="left"/>
      </w:pPr>
      <w:r>
        <w:rPr>
          <w:rFonts w:ascii="仿宋_GB2312" w:hAnsi="仿宋_GB2312" w:cs="仿宋_GB2312" w:eastAsia="仿宋_GB2312"/>
        </w:rPr>
        <w:t>4.预算金额：</w:t>
      </w:r>
    </w:p>
    <w:p>
      <w:pPr>
        <w:pStyle w:val="null3"/>
        <w:jc w:val="left"/>
      </w:pPr>
      <w:r>
        <w:rPr>
          <w:rFonts w:ascii="仿宋_GB2312" w:hAnsi="仿宋_GB2312" w:cs="仿宋_GB2312" w:eastAsia="仿宋_GB2312"/>
        </w:rPr>
        <w:t>采购包1：2,400,000.00元</w:t>
      </w:r>
      <w:r>
        <w:rPr>
          <w:rFonts w:ascii="仿宋_GB2312" w:hAnsi="仿宋_GB2312" w:cs="仿宋_GB2312" w:eastAsia="仿宋_GB2312"/>
        </w:rPr>
        <w:t>贰佰肆拾万元整</w:t>
      </w:r>
    </w:p>
    <w:p>
      <w:pPr>
        <w:pStyle w:val="null3"/>
        <w:ind w:firstLine="480"/>
        <w:jc w:val="left"/>
      </w:pPr>
      <w:r>
        <w:rPr>
          <w:rFonts w:ascii="仿宋_GB2312" w:hAnsi="仿宋_GB2312" w:cs="仿宋_GB2312" w:eastAsia="仿宋_GB2312"/>
        </w:rPr>
        <w:t xml:space="preserve">5.最高限价（如有）： </w:t>
      </w:r>
      <w:r>
        <w:rPr>
          <w:rFonts w:ascii="仿宋_GB2312" w:hAnsi="仿宋_GB2312" w:cs="仿宋_GB2312" w:eastAsia="仿宋_GB2312"/>
        </w:rPr>
        <w:t>2,400,000.00元</w:t>
      </w:r>
    </w:p>
    <w:p>
      <w:pPr>
        <w:pStyle w:val="null3"/>
        <w:ind w:firstLine="480"/>
        <w:jc w:val="left"/>
      </w:pPr>
      <w:r>
        <w:rPr>
          <w:rFonts w:ascii="仿宋_GB2312" w:hAnsi="仿宋_GB2312" w:cs="仿宋_GB2312" w:eastAsia="仿宋_GB2312"/>
        </w:rPr>
        <w:t>6.采购需求：详见“第三章 采购需求 ”</w:t>
      </w:r>
    </w:p>
    <w:p>
      <w:pPr>
        <w:pStyle w:val="null3"/>
        <w:ind w:firstLine="480"/>
        <w:jc w:val="left"/>
      </w:pPr>
      <w:r>
        <w:rPr>
          <w:rFonts w:ascii="仿宋_GB2312" w:hAnsi="仿宋_GB2312" w:cs="仿宋_GB2312" w:eastAsia="仿宋_GB2312"/>
        </w:rPr>
        <w:t>7.合同履行期限：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合同签订后至项目验收工作结束。4月11日前完成布展工作，4月13日至18日正式展览，4月19日前完成撤展。</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1.符合《政府采购法》第二十二条规定的条件；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三、获取谈判文件</w:t>
      </w:r>
    </w:p>
    <w:p>
      <w:pPr>
        <w:pStyle w:val="null3"/>
        <w:ind w:firstLine="480"/>
        <w:jc w:val="left"/>
      </w:pPr>
      <w:r>
        <w:rPr>
          <w:rFonts w:ascii="仿宋_GB2312" w:hAnsi="仿宋_GB2312" w:cs="仿宋_GB2312" w:eastAsia="仿宋_GB2312"/>
        </w:rPr>
        <w:t>1.时间：遵照竞争性谈判公告或更正公告的相关约定（北京时间）。</w:t>
      </w:r>
    </w:p>
    <w:p>
      <w:pPr>
        <w:pStyle w:val="null3"/>
        <w:ind w:firstLine="480"/>
        <w:jc w:val="left"/>
      </w:pPr>
      <w:r>
        <w:rPr>
          <w:rFonts w:ascii="仿宋_GB2312" w:hAnsi="仿宋_GB2312" w:cs="仿宋_GB2312" w:eastAsia="仿宋_GB2312"/>
        </w:rPr>
        <w:t>2.在谈判文件获取期限内，供应商应通过海南省政府采购智慧云平台注册账号（免费注册）并获取谈判文件(登录海南省政府采购智慧云平台进行文件获取)，否则报价响应将被拒绝。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谈判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2.地点：遵照竞争性谈判公告或更正公告的相关约定。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1.时间：遵照竞争性谈判公告或更正公告的相关约定。</w:t>
      </w:r>
    </w:p>
    <w:p>
      <w:pPr>
        <w:pStyle w:val="null3"/>
        <w:ind w:firstLine="480"/>
        <w:jc w:val="left"/>
      </w:pPr>
      <w:r>
        <w:rPr>
          <w:rFonts w:ascii="仿宋_GB2312" w:hAnsi="仿宋_GB2312" w:cs="仿宋_GB2312" w:eastAsia="仿宋_GB2312"/>
        </w:rPr>
        <w:t>2.地点：遵照竞争性谈判公告或更正公告的相关约定。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六、竞争性谈判公告期限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自财政部和海南省财政厅指定的政府采购信息发布媒体最先发布公告之日起3个工作日。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1.请供应商详阅本文件中《政府采购电子招标投标活动须知》，并自行在海南省政府采购智慧云平台-下载专区查看相应的系统操作指南，严格按照操作指南要求进行系统操作。 2.本项目不接受联合体。</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海南省商务厅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海口市美兰区国兴大道9号省政府办公楼2楼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17689850432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海口市美兰区国兴大道9-1号会展中心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089866529848</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left"/>
      </w:pPr>
      <w:r>
        <w:rPr>
          <w:rFonts w:ascii="仿宋_GB2312" w:hAnsi="仿宋_GB2312" w:cs="仿宋_GB2312" w:eastAsia="仿宋_GB2312"/>
        </w:rPr>
        <w:t>2.有关本项目谈判文件的补遗、澄清及变更信息以上述网站公告与下载为准，采购代理机构不再另行通知，谈判文件与更正公告的内容相互矛盾时，以最后发出的更正公告内容为准。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采购包1：2,400,000.00元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谈判保证金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谈判有效期为从递交响应文件的截止之日起60个日历日，有效期短于此规定的响应文件将被视为无效。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1.投供应商如对采购文件中“供应商资格要求”、“采购需求”部分有质疑的，应直接向采购人提出。 2.本项目对小微型企业的投标报价给予10%的扣除（包括成员全部为小微企业的联合体），用扣除后的价格参加评审。</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“采购单位”指谈判文件中所述所有货物及相关服务的甲方。</w:t>
      </w:r>
    </w:p>
    <w:p>
      <w:pPr>
        <w:pStyle w:val="null3"/>
        <w:ind w:firstLine="480"/>
        <w:jc w:val="both"/>
      </w:pPr>
      <w:r>
        <w:rPr>
          <w:rFonts w:ascii="仿宋_GB2312" w:hAnsi="仿宋_GB2312" w:cs="仿宋_GB2312" w:eastAsia="仿宋_GB2312"/>
        </w:rPr>
        <w:t>2.1.3 “货物”是指供应商制造或组织符合谈判文件要求的货物等。谈判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谈判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“供应商”指按谈判文件规定取得谈判文件并参加交易活动谈判的供应商。</w:t>
      </w:r>
    </w:p>
    <w:p>
      <w:pPr>
        <w:pStyle w:val="null3"/>
        <w:ind w:firstLine="480"/>
        <w:jc w:val="both"/>
      </w:pPr>
      <w:r>
        <w:rPr>
          <w:rFonts w:ascii="仿宋_GB2312" w:hAnsi="仿宋_GB2312" w:cs="仿宋_GB2312" w:eastAsia="仿宋_GB2312"/>
        </w:rPr>
        <w:t>2.1.6 “成交人”是指经谈判小组评审，授予合同的供应商。</w:t>
      </w:r>
    </w:p>
    <w:p>
      <w:pPr>
        <w:pStyle w:val="null3"/>
        <w:ind w:firstLine="480"/>
        <w:jc w:val="both"/>
      </w:pPr>
      <w:r>
        <w:rPr>
          <w:rFonts w:ascii="仿宋_GB2312" w:hAnsi="仿宋_GB2312" w:cs="仿宋_GB2312" w:eastAsia="仿宋_GB2312"/>
        </w:rPr>
        <w:t>2.1.7 谈判文件中涉及的时间均为北京时间。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适用于谈判文件载明项目的政府采购活动（以下简称：“本次采购活动”）。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如供应商是银行、保险、石油石化、电力、电信行业的，分支机构可参与本项目的政府采购活动。谈判文件中涉及要求提供“法定代表人”相关证明材料的，提供分支机构“负责人”的相关证明材料。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政府采购谈判邀请函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2.4谈判费用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2.4.2不论谈判结果如何，供应商应自行承担其准备和参加本次采购活动所涉及的一切费用。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现场考察（如有），采购单位应在规定的时间、地点组织已报名的潜在供应商进行现场考察。（组织时间、地点、联系人、联系电话：遵照竞争性谈判公告或更正公告的相关约定。）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答疑会（如有），采购单位应在规定的时间、地点组织已报名的潜在供应商召开答疑会。（组织时间、地点、联系人、联系电话：遵照竞争性谈判公告或更正公告的相关约定。）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三、谈判文件</w:t>
      </w:r>
    </w:p>
    <w:p>
      <w:pPr>
        <w:pStyle w:val="null3"/>
        <w:ind w:firstLine="480"/>
        <w:jc w:val="both"/>
      </w:pPr>
      <w:r>
        <w:rPr>
          <w:rFonts w:ascii="仿宋_GB2312" w:hAnsi="仿宋_GB2312" w:cs="仿宋_GB2312" w:eastAsia="仿宋_GB2312"/>
        </w:rPr>
        <w:t>3.1谈判文件的组成</w:t>
      </w:r>
    </w:p>
    <w:p>
      <w:pPr>
        <w:pStyle w:val="null3"/>
        <w:ind w:firstLine="480"/>
        <w:jc w:val="both"/>
      </w:pPr>
      <w:r>
        <w:rPr>
          <w:rFonts w:ascii="仿宋_GB2312" w:hAnsi="仿宋_GB2312" w:cs="仿宋_GB2312" w:eastAsia="仿宋_GB2312"/>
        </w:rPr>
        <w:t>3.1.1谈判文件由五部分组成，包括：</w:t>
      </w:r>
    </w:p>
    <w:p>
      <w:pPr>
        <w:pStyle w:val="null3"/>
        <w:ind w:firstLine="480"/>
        <w:jc w:val="both"/>
      </w:pPr>
      <w:r>
        <w:rPr>
          <w:rFonts w:ascii="仿宋_GB2312" w:hAnsi="仿宋_GB2312" w:cs="仿宋_GB2312" w:eastAsia="仿宋_GB2312"/>
        </w:rPr>
        <w:t>第一章 政府采购谈判邀请函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3.1.2供应商被视为充分熟悉本采购项目所在地的与履行合同有关的各种情况，包括自然环境、气候条件、劳动力及公用设施等，本谈判文件不再对上述情况进行描述。</w:t>
      </w:r>
    </w:p>
    <w:p>
      <w:pPr>
        <w:pStyle w:val="null3"/>
        <w:ind w:firstLine="480"/>
        <w:jc w:val="both"/>
      </w:pPr>
      <w:r>
        <w:rPr>
          <w:rFonts w:ascii="仿宋_GB2312" w:hAnsi="仿宋_GB2312" w:cs="仿宋_GB2312" w:eastAsia="仿宋_GB2312"/>
        </w:rPr>
        <w:t>3.1.3 供应商必须详阅谈判文件的所有条款、文件及表格格式。供应商若未按谈判文件的要求和规范编制、提交响应文件，将有可能导致响应文件被拒绝接受，所造成的负面后果由供应商负责。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3.2谈判文件的澄清和修改</w:t>
      </w:r>
    </w:p>
    <w:p>
      <w:pPr>
        <w:pStyle w:val="null3"/>
        <w:ind w:firstLine="480"/>
        <w:jc w:val="both"/>
      </w:pPr>
      <w:r>
        <w:rPr>
          <w:rFonts w:ascii="仿宋_GB2312" w:hAnsi="仿宋_GB2312" w:cs="仿宋_GB2312" w:eastAsia="仿宋_GB2312"/>
        </w:rPr>
        <w:t>3.2.1供应商应仔细阅读和检查谈判文件的全部内容。如发现缺项或谈判文件构成要件不全，应及时向采购代理机构提出，以便获得文件补全。</w:t>
      </w:r>
    </w:p>
    <w:p>
      <w:pPr>
        <w:pStyle w:val="null3"/>
        <w:ind w:firstLine="480"/>
        <w:jc w:val="both"/>
      </w:pPr>
      <w:r>
        <w:rPr>
          <w:rFonts w:ascii="仿宋_GB2312" w:hAnsi="仿宋_GB2312" w:cs="仿宋_GB2312" w:eastAsia="仿宋_GB2312"/>
        </w:rPr>
        <w:t>3.2.2谈判文件发出后，采购代理机构和采购单位可以对谈判文件进行澄清和修改。澄清和修改的内容{{采购代理机构名称}}将以法定网站上公告的方式通知。（网址详见政府采购谈判邀请函）</w:t>
      </w:r>
    </w:p>
    <w:p>
      <w:pPr>
        <w:pStyle w:val="null3"/>
        <w:ind w:firstLine="480"/>
        <w:jc w:val="both"/>
      </w:pPr>
      <w:r>
        <w:rPr>
          <w:rFonts w:ascii="仿宋_GB2312" w:hAnsi="仿宋_GB2312" w:cs="仿宋_GB2312" w:eastAsia="仿宋_GB2312"/>
        </w:rPr>
        <w:t>3.2.3当谈判文件、更正公告等内容相互矛盾时，以最后发出的更正公告为准。</w:t>
      </w:r>
    </w:p>
    <w:p>
      <w:pPr>
        <w:pStyle w:val="null3"/>
        <w:ind w:firstLine="480"/>
        <w:jc w:val="both"/>
      </w:pPr>
      <w:r>
        <w:rPr>
          <w:rFonts w:ascii="仿宋_GB2312" w:hAnsi="仿宋_GB2312" w:cs="仿宋_GB2312" w:eastAsia="仿宋_GB2312"/>
        </w:rPr>
        <w:t>3.2.4谈判文件的澄清和更正内容是谈判文件的组成部分，对供应商具有约束力,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 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4.3谈判保证金（如有）</w:t>
      </w:r>
    </w:p>
    <w:p>
      <w:pPr>
        <w:pStyle w:val="null3"/>
        <w:ind w:firstLine="480"/>
        <w:jc w:val="both"/>
      </w:pPr>
      <w:r>
        <w:rPr>
          <w:rFonts w:ascii="仿宋_GB2312" w:hAnsi="仿宋_GB2312" w:cs="仿宋_GB2312" w:eastAsia="仿宋_GB2312"/>
        </w:rPr>
        <w:t>4.3.1谈判保证金是参加本项目谈判的必要条件，保证金到账截止时间即提交响应文件截止时间（具体时间详见“第一章 政府采购谈判邀请函”）。</w:t>
      </w:r>
    </w:p>
    <w:p>
      <w:pPr>
        <w:pStyle w:val="null3"/>
        <w:ind w:firstLine="480"/>
        <w:jc w:val="both"/>
      </w:pPr>
      <w:r>
        <w:rPr>
          <w:rFonts w:ascii="仿宋_GB2312" w:hAnsi="仿宋_GB2312" w:cs="仿宋_GB2312" w:eastAsia="仿宋_GB2312"/>
        </w:rPr>
        <w:t>4.3.2谈判保证金缴纳方式：</w:t>
      </w:r>
    </w:p>
    <w:p>
      <w:pPr>
        <w:pStyle w:val="null3"/>
        <w:ind w:firstLine="480"/>
        <w:jc w:val="both"/>
      </w:pPr>
      <w:r>
        <w:rPr>
          <w:rFonts w:ascii="仿宋_GB2312" w:hAnsi="仿宋_GB2312" w:cs="仿宋_GB2312" w:eastAsia="仿宋_GB2312"/>
        </w:rPr>
        <w:t>4.3.2.1 供应商以汇款形式缴纳谈判保证金的，应从其银行账户（基本存款账户）按照下列方式：公对公转账方式向谈判文件载明的谈判保证金账户提交谈判保证金。</w:t>
      </w:r>
    </w:p>
    <w:p>
      <w:pPr>
        <w:pStyle w:val="null3"/>
        <w:ind w:firstLine="480"/>
        <w:jc w:val="both"/>
      </w:pPr>
      <w:r>
        <w:rPr>
          <w:rFonts w:ascii="仿宋_GB2312" w:hAnsi="仿宋_GB2312" w:cs="仿宋_GB2312" w:eastAsia="仿宋_GB2312"/>
        </w:rPr>
        <w:t>4.3.2.2 供应商以电子保函形式提交谈判保证金的，可在谈判文件载明的响应截止时间前通过海南省政府采购智慧云平台“保函服务”栏目办理电子保函并在电汇或银行转账单上注明（项目编号）；在响应截止时间之前将电子保函文件放入响应文件中，否则视为未提交谈判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若本项目接受联合体参与且供应商为联合体，则联合体中的牵头方应按照本章第4.3.2条第4.3.2.1、4.3.2.2点规定提交谈判保证金。</w:t>
      </w:r>
    </w:p>
    <w:p>
      <w:pPr>
        <w:pStyle w:val="null3"/>
        <w:ind w:firstLine="480"/>
        <w:jc w:val="both"/>
      </w:pPr>
      <w:r>
        <w:rPr>
          <w:rFonts w:ascii="仿宋_GB2312" w:hAnsi="仿宋_GB2312" w:cs="仿宋_GB2312" w:eastAsia="仿宋_GB2312"/>
        </w:rPr>
        <w:t>4.3.3若供应商不按规定提交谈判保证金，其响应文件将被拒绝接收。</w:t>
      </w:r>
    </w:p>
    <w:p>
      <w:pPr>
        <w:pStyle w:val="null3"/>
        <w:ind w:firstLine="480"/>
        <w:jc w:val="both"/>
      </w:pPr>
      <w:r>
        <w:rPr>
          <w:rFonts w:ascii="仿宋_GB2312" w:hAnsi="仿宋_GB2312" w:cs="仿宋_GB2312" w:eastAsia="仿宋_GB2312"/>
        </w:rPr>
        <w:t>4.4谈判保证金的退还</w:t>
      </w:r>
    </w:p>
    <w:p>
      <w:pPr>
        <w:pStyle w:val="null3"/>
        <w:ind w:firstLine="480"/>
        <w:jc w:val="both"/>
      </w:pPr>
      <w:r>
        <w:rPr>
          <w:rFonts w:ascii="仿宋_GB2312" w:hAnsi="仿宋_GB2312" w:cs="仿宋_GB2312" w:eastAsia="仿宋_GB2312"/>
        </w:rPr>
        <w:t>4.4.1成交供应商的谈判保证金在其与采购人签订了采购合同之日起5个工作日内无息退还。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4.4.2未成交的供应商的谈判保证金将在成交通知书发出之日起5个工作日内无息退还。</w:t>
      </w:r>
    </w:p>
    <w:p>
      <w:pPr>
        <w:pStyle w:val="null3"/>
        <w:ind w:firstLine="480"/>
        <w:jc w:val="both"/>
      </w:pPr>
      <w:r>
        <w:rPr>
          <w:rFonts w:ascii="仿宋_GB2312" w:hAnsi="仿宋_GB2312" w:cs="仿宋_GB2312" w:eastAsia="仿宋_GB2312"/>
        </w:rPr>
        <w:t>4.4.3发生下列情况之一，谈判保证金将不予退还：</w:t>
      </w:r>
    </w:p>
    <w:p>
      <w:pPr>
        <w:pStyle w:val="null3"/>
        <w:ind w:firstLine="480"/>
        <w:jc w:val="both"/>
      </w:pPr>
      <w:r>
        <w:rPr>
          <w:rFonts w:ascii="仿宋_GB2312" w:hAnsi="仿宋_GB2312" w:cs="仿宋_GB2312" w:eastAsia="仿宋_GB2312"/>
        </w:rPr>
        <w:t>（1）供应商在规定的谈判有效期内撤销或修改其响应文件的；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（5）向采购人、采购机构、谈判小组成员行贿或者提供其他不正当利益的；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4.5谈判有效期</w:t>
      </w:r>
    </w:p>
    <w:p>
      <w:pPr>
        <w:pStyle w:val="null3"/>
        <w:ind w:firstLine="480"/>
        <w:jc w:val="both"/>
      </w:pPr>
      <w:r>
        <w:rPr>
          <w:rFonts w:ascii="仿宋_GB2312" w:hAnsi="仿宋_GB2312" w:cs="仿宋_GB2312" w:eastAsia="仿宋_GB2312"/>
        </w:rPr>
        <w:t>4.5.l 谈判有效期为从递交响应文件的截止之日起，详见第二章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 采购代理机构可于谈判有效期满之前，征得供应商同意延长谈判有效期，要求与答复均应以书面形式进行。供应商可以拒绝接受这一要求而放弃报价，谈判保证金将在规定期限内无息退还。同意这一要求的供应商，无需也不允许修改其响应文件，但须相应延长谈判有效期。受谈判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供应商应在响应文件中提供证明其所投货物、服务的合格性和符合谈判文件规定的相关证明文件。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谈判文件第六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4.6.4谈判文件中《报价表》、《明细报价表》（若有）、《技术响应表》、《商务响应表》等要求盖章的文件需单位加盖公章。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4.6.5响应文件中的《法定代表人资格证明书》和《法定代表人授权委托书》（若有）除了需加盖单位公章外，还需法定代表人签名或盖章。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政府采购谈判邀请函”。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六、谈判</w:t>
      </w:r>
    </w:p>
    <w:p>
      <w:pPr>
        <w:pStyle w:val="null3"/>
        <w:ind w:firstLine="480"/>
        <w:jc w:val="both"/>
      </w:pPr>
      <w:r>
        <w:rPr>
          <w:rFonts w:ascii="仿宋_GB2312" w:hAnsi="仿宋_GB2312" w:cs="仿宋_GB2312" w:eastAsia="仿宋_GB2312"/>
        </w:rPr>
        <w:t>6.1谈判时间和地点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 推迟了谈判时间（即递交响应文件截止时间），应以公告的形式通知所有供应商。在这种情况下，供应商的权利和义务均应以新的截止时间为准。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 采购代理机构将按照竞争性谈判公告或更正公告约定的谈判形式、谈判时间进行谈判。开启会的主持人、记录人及其他工作人员（若有）均由采购代理机构派出，现场监督人员（若有）可由有关方面派出。谈判小组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6.1.6供应商到现场参加谈判，供应商应派其法定代表人或其授权代表准时参加谈判会，并代表供应商进行签到、文件解密等工作，否则将导致响应无效。</w:t>
      </w:r>
    </w:p>
    <w:p>
      <w:pPr>
        <w:pStyle w:val="null3"/>
        <w:ind w:firstLine="480"/>
        <w:jc w:val="both"/>
      </w:pPr>
      <w:r>
        <w:rPr>
          <w:rFonts w:ascii="仿宋_GB2312" w:hAnsi="仿宋_GB2312" w:cs="仿宋_GB2312" w:eastAsia="仿宋_GB2312"/>
        </w:rPr>
        <w:t>6.1.7出席谈判现场的人员必须携带本人身份证。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6.2谈判程序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根据《政府采购非招标采购方式管理办法》第二十七条第二款规定，经财政部门批准可以与两家供应商进行谈判采购的，从其规定）：</w:t>
      </w:r>
    </w:p>
    <w:p>
      <w:pPr>
        <w:pStyle w:val="null3"/>
        <w:ind w:firstLine="480"/>
        <w:jc w:val="both"/>
      </w:pPr>
      <w:r>
        <w:rPr>
          <w:rFonts w:ascii="仿宋_GB2312" w:hAnsi="仿宋_GB2312" w:cs="仿宋_GB2312" w:eastAsia="仿宋_GB2312"/>
        </w:rPr>
        <w:t>（1）在竞争性谈判公告或更正公告规定的时间进开启，由主持人宣布开启会须知，然后由供应商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（6）谈判小组对供应商递交的响应文件进行初审。</w:t>
      </w:r>
    </w:p>
    <w:p>
      <w:pPr>
        <w:pStyle w:val="null3"/>
        <w:ind w:firstLine="480"/>
        <w:jc w:val="both"/>
      </w:pPr>
      <w:r>
        <w:rPr>
          <w:rFonts w:ascii="仿宋_GB2312" w:hAnsi="仿宋_GB2312" w:cs="仿宋_GB2312" w:eastAsia="仿宋_GB2312"/>
        </w:rPr>
        <w:t>（7）谈判小组与初审合格的供应商进行一对一谈判。</w:t>
      </w:r>
    </w:p>
    <w:p>
      <w:pPr>
        <w:pStyle w:val="null3"/>
        <w:ind w:firstLine="480"/>
        <w:jc w:val="both"/>
      </w:pPr>
      <w:r>
        <w:rPr>
          <w:rFonts w:ascii="仿宋_GB2312" w:hAnsi="仿宋_GB2312" w:cs="仿宋_GB2312" w:eastAsia="仿宋_GB2312"/>
        </w:rPr>
        <w:t>（8）供应商根据每轮谈判要求，修改并递交其响应文件以响应谈判。</w:t>
      </w:r>
    </w:p>
    <w:p>
      <w:pPr>
        <w:pStyle w:val="null3"/>
        <w:ind w:firstLine="480"/>
        <w:jc w:val="both"/>
      </w:pPr>
      <w:r>
        <w:rPr>
          <w:rFonts w:ascii="仿宋_GB2312" w:hAnsi="仿宋_GB2312" w:cs="仿宋_GB2312" w:eastAsia="仿宋_GB2312"/>
        </w:rPr>
        <w:t>（9）谈判小组按照谈判文件中规定的评审要求对供应商进行评审。</w:t>
      </w:r>
    </w:p>
    <w:p>
      <w:pPr>
        <w:pStyle w:val="null3"/>
        <w:ind w:firstLine="480"/>
        <w:jc w:val="both"/>
      </w:pPr>
      <w:r>
        <w:rPr>
          <w:rFonts w:ascii="仿宋_GB2312" w:hAnsi="仿宋_GB2312" w:cs="仿宋_GB2312" w:eastAsia="仿宋_GB2312"/>
        </w:rPr>
        <w:t>（10）谈判小组推荐成交顺序，提交评审报告，评审结束。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6.3出现下列情形之一的，将导致供应商本次谈判无效。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（2）相关人员未按时进行谈判签到的；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（4）未按谈判文件要求提交保证金的；</w:t>
      </w:r>
    </w:p>
    <w:p>
      <w:pPr>
        <w:pStyle w:val="null3"/>
        <w:ind w:firstLine="480"/>
        <w:jc w:val="both"/>
      </w:pPr>
      <w:r>
        <w:rPr>
          <w:rFonts w:ascii="仿宋_GB2312" w:hAnsi="仿宋_GB2312" w:cs="仿宋_GB2312" w:eastAsia="仿宋_GB2312"/>
        </w:rPr>
        <w:t>（5）谈判有效期不足的；</w:t>
      </w:r>
    </w:p>
    <w:p>
      <w:pPr>
        <w:pStyle w:val="null3"/>
        <w:ind w:firstLine="480"/>
        <w:jc w:val="both"/>
      </w:pPr>
      <w:r>
        <w:rPr>
          <w:rFonts w:ascii="仿宋_GB2312" w:hAnsi="仿宋_GB2312" w:cs="仿宋_GB2312" w:eastAsia="仿宋_GB2312"/>
        </w:rPr>
        <w:t>（6）响应文件未按谈判文件规定要求及给定的格式填写、签署及盖章的；</w:t>
      </w:r>
    </w:p>
    <w:p>
      <w:pPr>
        <w:pStyle w:val="null3"/>
        <w:ind w:firstLine="480"/>
        <w:jc w:val="both"/>
      </w:pPr>
      <w:r>
        <w:rPr>
          <w:rFonts w:ascii="仿宋_GB2312" w:hAnsi="仿宋_GB2312" w:cs="仿宋_GB2312" w:eastAsia="仿宋_GB2312"/>
        </w:rPr>
        <w:t>（7）报价超过谈判文件中规定的预算金额或者最高限价的；</w:t>
      </w:r>
    </w:p>
    <w:p>
      <w:pPr>
        <w:pStyle w:val="null3"/>
        <w:ind w:firstLine="480"/>
        <w:jc w:val="both"/>
      </w:pPr>
      <w:r>
        <w:rPr>
          <w:rFonts w:ascii="仿宋_GB2312" w:hAnsi="仿宋_GB2312" w:cs="仿宋_GB2312" w:eastAsia="仿宋_GB2312"/>
        </w:rPr>
        <w:t>（8）谈判小组认为供应商的报价明显低于其他通过符合性审查供应商，有可能影响产品质量或者不能诚信履约的，且供应商不能按谈判小组的要求证明其报价合理性的；</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（10）不满足谈判文件中规定的其他实质性要求和条件的；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（12）属于谈判文件中规定的串通行为的情形的；</w:t>
      </w:r>
    </w:p>
    <w:p>
      <w:pPr>
        <w:pStyle w:val="null3"/>
        <w:ind w:firstLine="480"/>
        <w:jc w:val="both"/>
      </w:pPr>
      <w:r>
        <w:rPr>
          <w:rFonts w:ascii="仿宋_GB2312" w:hAnsi="仿宋_GB2312" w:cs="仿宋_GB2312" w:eastAsia="仿宋_GB2312"/>
        </w:rPr>
        <w:t>（13）法律、法规和谈判文件规定的其他无效情形。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6.4.1谈判小组查询供应商的信用记录。供应商存在不良信用记录的，将被认定为响应无效。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t>
      </w:r>
    </w:p>
    <w:p>
      <w:pPr>
        <w:pStyle w:val="null3"/>
        <w:ind w:firstLine="480"/>
        <w:jc w:val="both"/>
      </w:pPr>
      <w:r>
        <w:rPr>
          <w:rFonts w:ascii="仿宋_GB2312" w:hAnsi="仿宋_GB2312" w:cs="仿宋_GB2312" w:eastAsia="仿宋_GB2312"/>
        </w:rPr>
        <w:t>（www.creditchina.gov.cn）被列入失信被执行人、重大税收违法失信主体，或在中国政府采购网（www.ccgp.gov.cn）被列入政府采购严重违法失信行为记录名单。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以联合体形式参加谈判的，联合体任何成员存在以上不良信用记录的，将被认定为响应无效。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供应商不良信用记录以谈判小组查询结果为准。</w:t>
      </w:r>
    </w:p>
    <w:p>
      <w:pPr>
        <w:pStyle w:val="null3"/>
        <w:ind w:firstLine="480"/>
        <w:jc w:val="both"/>
      </w:pPr>
      <w:r>
        <w:rPr>
          <w:rFonts w:ascii="仿宋_GB2312" w:hAnsi="仿宋_GB2312" w:cs="仿宋_GB2312" w:eastAsia="仿宋_GB2312"/>
        </w:rPr>
        <w:t>在本谈判文件规定的查询时间之后，网站信息发生的任何变更均不再作为评审依据。供应商自行提供的与网站信息不一致的其他证明材料亦不作为资格审查的依据。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7.1谈判小组</w:t>
      </w:r>
    </w:p>
    <w:p>
      <w:pPr>
        <w:pStyle w:val="null3"/>
        <w:ind w:firstLine="480"/>
        <w:jc w:val="both"/>
      </w:pPr>
      <w:r>
        <w:rPr>
          <w:rFonts w:ascii="仿宋_GB2312" w:hAnsi="仿宋_GB2312" w:cs="仿宋_GB2312" w:eastAsia="仿宋_GB2312"/>
        </w:rPr>
        <w:t>谈判小组由采购人代表和有关专家共三人以上的单数组成。谈判小组负责具体评审事务，根据有关法律法规和谈判文件规定独立履行谈判小组职责。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7.2.2评审方法：谈判小组从质量和服务均能满足谈判文件实质性响应要求的供应商中，按照报价由低到高的顺序提出3名以上成交候选人。</w:t>
      </w:r>
    </w:p>
    <w:p>
      <w:pPr>
        <w:pStyle w:val="null3"/>
        <w:ind w:firstLine="480"/>
        <w:jc w:val="both"/>
      </w:pPr>
      <w:r>
        <w:rPr>
          <w:rFonts w:ascii="仿宋_GB2312" w:hAnsi="仿宋_GB2312" w:cs="仿宋_GB2312" w:eastAsia="仿宋_GB2312"/>
        </w:rPr>
        <w:t>7.2.3 评审过程的分为文件初审、澄清（如需）、谈判、推荐成交候选供应商。</w:t>
      </w:r>
    </w:p>
    <w:p>
      <w:pPr>
        <w:pStyle w:val="null3"/>
        <w:ind w:firstLine="480"/>
        <w:jc w:val="both"/>
      </w:pPr>
      <w:r>
        <w:rPr>
          <w:rFonts w:ascii="仿宋_GB2312" w:hAnsi="仿宋_GB2312" w:cs="仿宋_GB2312" w:eastAsia="仿宋_GB2312"/>
        </w:rPr>
        <w:t>7.2.4评审中如有未考虑到的问题，由谈判小组集体研究处理。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谈判小组将根据谈判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7.3.2谈判小组将只根据响应文件本身的内容做出独立判断，而不需寻求其他外部证据。</w:t>
      </w:r>
    </w:p>
    <w:p>
      <w:pPr>
        <w:pStyle w:val="null3"/>
        <w:ind w:firstLine="480"/>
        <w:jc w:val="both"/>
      </w:pPr>
      <w:r>
        <w:rPr>
          <w:rFonts w:ascii="仿宋_GB2312" w:hAnsi="仿宋_GB2312" w:cs="仿宋_GB2312" w:eastAsia="仿宋_GB2312"/>
        </w:rPr>
        <w:t>7.3.3通过初步评审的供应商不足三家的，按废标处理。（根据《政府采购非招标采购方式管理办法》第二十七条第二款规定，经财政部门批准可以与两家供应商进行谈判采购的，从其规定）。</w:t>
      </w:r>
    </w:p>
    <w:p>
      <w:pPr>
        <w:pStyle w:val="null3"/>
        <w:ind w:firstLine="480"/>
        <w:jc w:val="both"/>
      </w:pPr>
      <w:r>
        <w:rPr>
          <w:rFonts w:ascii="仿宋_GB2312" w:hAnsi="仿宋_GB2312" w:cs="仿宋_GB2312" w:eastAsia="仿宋_GB2312"/>
        </w:rPr>
        <w:t>7.3.4提供相同品牌产品的不同供应商参加同一合同项下谈判的，按一家供应商计算。非单一产品采购项目，多家供应商提供的核心产品品牌相同的，按一家供应商计算。核心产品详见“采购需求”。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7.3.5在评审过程中，谈判小组发现供应商有下列表现形式之一的，可以认定属于串通行为，其响应无效，具体表现形式如下：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（1）不同供应商的响应文件相互混装；</w:t>
      </w:r>
    </w:p>
    <w:p>
      <w:pPr>
        <w:pStyle w:val="null3"/>
        <w:ind w:firstLine="480"/>
        <w:jc w:val="both"/>
      </w:pPr>
      <w:r>
        <w:rPr>
          <w:rFonts w:ascii="仿宋_GB2312" w:hAnsi="仿宋_GB2312" w:cs="仿宋_GB2312" w:eastAsia="仿宋_GB2312"/>
        </w:rPr>
        <w:t>（2）不同供应商的保证金从同一单位或者个人的账户转出；</w:t>
      </w:r>
    </w:p>
    <w:p>
      <w:pPr>
        <w:pStyle w:val="null3"/>
        <w:ind w:firstLine="480"/>
        <w:jc w:val="both"/>
      </w:pPr>
      <w:r>
        <w:rPr>
          <w:rFonts w:ascii="仿宋_GB2312" w:hAnsi="仿宋_GB2312" w:cs="仿宋_GB2312" w:eastAsia="仿宋_GB2312"/>
        </w:rPr>
        <w:t>（3）不同供应商的响应文件由同一单位或者个人编制；</w:t>
      </w:r>
    </w:p>
    <w:p>
      <w:pPr>
        <w:pStyle w:val="null3"/>
        <w:ind w:firstLine="480"/>
        <w:jc w:val="both"/>
      </w:pPr>
      <w:r>
        <w:rPr>
          <w:rFonts w:ascii="仿宋_GB2312" w:hAnsi="仿宋_GB2312" w:cs="仿宋_GB2312" w:eastAsia="仿宋_GB2312"/>
        </w:rPr>
        <w:t>（4）不同供应商委托同一单位或者个人办理谈判事宜；</w:t>
      </w:r>
    </w:p>
    <w:p>
      <w:pPr>
        <w:pStyle w:val="null3"/>
        <w:ind w:firstLine="480"/>
        <w:jc w:val="both"/>
      </w:pPr>
      <w:r>
        <w:rPr>
          <w:rFonts w:ascii="仿宋_GB2312" w:hAnsi="仿宋_GB2312" w:cs="仿宋_GB2312" w:eastAsia="仿宋_GB2312"/>
        </w:rPr>
        <w:t>（5）不同供应商的响应文件载明的项目管理成员或者联系人员为同一人；</w:t>
      </w:r>
    </w:p>
    <w:p>
      <w:pPr>
        <w:pStyle w:val="null3"/>
        <w:ind w:firstLine="480"/>
        <w:jc w:val="both"/>
      </w:pPr>
      <w:r>
        <w:rPr>
          <w:rFonts w:ascii="仿宋_GB2312" w:hAnsi="仿宋_GB2312" w:cs="仿宋_GB2312" w:eastAsia="仿宋_GB2312"/>
        </w:rPr>
        <w:t>（6）不同供应商的响应文件异常一致或者报价呈规律性差异；</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谈判小组对于响应文件中含义不明确、同类问题表述不一致或者有明显文字和计算错误的内容或数据，可要求供应商在规定的时限内做出必要的澄清、说明或者补正。</w:t>
      </w:r>
    </w:p>
    <w:p>
      <w:pPr>
        <w:pStyle w:val="null3"/>
        <w:ind w:firstLine="480"/>
        <w:jc w:val="both"/>
      </w:pPr>
      <w:r>
        <w:rPr>
          <w:rFonts w:ascii="仿宋_GB2312" w:hAnsi="仿宋_GB2312" w:cs="仿宋_GB2312" w:eastAsia="仿宋_GB2312"/>
        </w:rPr>
        <w:t>7.4.2报价有计算上或累加上的算术错误，修正错误的原则如下：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 供应商的澄清文件是其响应文件的有效组成部分，是合同签署和履约的依据,须对其进行法律签署。</w:t>
      </w:r>
    </w:p>
    <w:p>
      <w:pPr>
        <w:pStyle w:val="null3"/>
        <w:ind w:firstLine="480"/>
        <w:jc w:val="both"/>
      </w:pPr>
      <w:r>
        <w:rPr>
          <w:rFonts w:ascii="仿宋_GB2312" w:hAnsi="仿宋_GB2312" w:cs="仿宋_GB2312" w:eastAsia="仿宋_GB2312"/>
        </w:rPr>
        <w:t>7.4.4 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7.4.5澄清、说明或补正的内容不得超出响应文件的范围或者改变响应文件的实质性内容。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7.4.6 未按7.4.4条及7.4.5条要求或未在规定时间内进行澄清、说明、补正的，其响应文件按无效处理。</w:t>
      </w:r>
    </w:p>
    <w:p>
      <w:pPr>
        <w:pStyle w:val="null3"/>
        <w:ind w:firstLine="480"/>
        <w:jc w:val="both"/>
      </w:pPr>
      <w:r>
        <w:rPr>
          <w:rFonts w:ascii="仿宋_GB2312" w:hAnsi="仿宋_GB2312" w:cs="仿宋_GB2312" w:eastAsia="仿宋_GB2312"/>
        </w:rPr>
        <w:t>7.5 谈判</w:t>
      </w:r>
    </w:p>
    <w:p>
      <w:pPr>
        <w:pStyle w:val="null3"/>
        <w:ind w:firstLine="480"/>
        <w:jc w:val="both"/>
      </w:pPr>
      <w:r>
        <w:rPr>
          <w:rFonts w:ascii="仿宋_GB2312" w:hAnsi="仿宋_GB2312" w:cs="仿宋_GB2312" w:eastAsia="仿宋_GB2312"/>
        </w:rPr>
        <w:t>7.5.1在谈判过程中谈判的任何一方不得向他人透露与谈判有关的技术资料、价格或其他信息。</w:t>
      </w:r>
    </w:p>
    <w:p>
      <w:pPr>
        <w:pStyle w:val="null3"/>
        <w:ind w:firstLine="480"/>
        <w:jc w:val="both"/>
      </w:pPr>
      <w:r>
        <w:rPr>
          <w:rFonts w:ascii="仿宋_GB2312" w:hAnsi="仿宋_GB2312" w:cs="仿宋_GB2312" w:eastAsia="仿宋_GB2312"/>
        </w:rPr>
        <w:t>7.5.2在谈判过程中，谈判小组可以根据谈判文件和谈判情况实质性变动采购需求中的技术、服务要求以及合同文本条款，但不得变动谈判文件中的其他内容。实质性变动的内容，须经采购人代表确认，谈判小组须以书面形式同时通知所有参加谈判的供应商。供应商按照谈判文件的变动情况和谈判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7.5.3谈判文件能够详细列明采购标的的技术、服务要求的，谈判结束后，谈判小组要求所有继续参加谈判的供应商在规定的时间内书面提出最后报价。</w:t>
      </w:r>
    </w:p>
    <w:p>
      <w:pPr>
        <w:pStyle w:val="null3"/>
        <w:ind w:firstLine="480"/>
        <w:jc w:val="both"/>
      </w:pPr>
      <w:r>
        <w:rPr>
          <w:rFonts w:ascii="仿宋_GB2312" w:hAnsi="仿宋_GB2312" w:cs="仿宋_GB2312" w:eastAsia="仿宋_GB2312"/>
        </w:rPr>
        <w:t>谈判文件不能详细列明采购标的的技术、服务要求，需经谈判由供应商提供最终设计方案或解决方案的，谈判结束后，谈判小组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超出规定时间没有提交最后报价的供应商，视为放弃最后报价。</w:t>
      </w:r>
    </w:p>
    <w:p>
      <w:pPr>
        <w:pStyle w:val="null3"/>
        <w:ind w:firstLine="480"/>
        <w:jc w:val="both"/>
      </w:pPr>
      <w:r>
        <w:rPr>
          <w:rFonts w:ascii="仿宋_GB2312" w:hAnsi="仿宋_GB2312" w:cs="仿宋_GB2312" w:eastAsia="仿宋_GB2312"/>
        </w:rPr>
        <w:t>7.5.4对小型或微型企业的扶持（监狱企业、残疾人福利性单位视同小型、微型企业）：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7.5.5节能产品、环境标志产品的落实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7.5.6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7.6推荐成交候选供应商</w:t>
      </w:r>
    </w:p>
    <w:p>
      <w:pPr>
        <w:pStyle w:val="null3"/>
        <w:ind w:firstLine="480"/>
        <w:jc w:val="both"/>
      </w:pPr>
      <w:r>
        <w:rPr>
          <w:rFonts w:ascii="仿宋_GB2312" w:hAnsi="仿宋_GB2312" w:cs="仿宋_GB2312" w:eastAsia="仿宋_GB2312"/>
        </w:rPr>
        <w:t>采用最低价评标法，谈判小组依据评审情况及谈判结果，按各供应商报价（小型或微型企业、节能或环保产品用扣除后的报价参与评审）由低到高的顺序向采购单位推荐三名以上成交候选供应商及成交顺序，报价相同则按技术指标优劣顺序排列，并形成书面的评审报告。</w:t>
      </w:r>
    </w:p>
    <w:p>
      <w:pPr>
        <w:pStyle w:val="null3"/>
        <w:ind w:firstLine="480"/>
        <w:jc w:val="both"/>
      </w:pPr>
      <w:r>
        <w:rPr>
          <w:rFonts w:ascii="仿宋_GB2312" w:hAnsi="仿宋_GB2312" w:cs="仿宋_GB2312" w:eastAsia="仿宋_GB2312"/>
        </w:rPr>
        <w:t>7.7成交供应商的确定</w:t>
      </w:r>
    </w:p>
    <w:p>
      <w:pPr>
        <w:pStyle w:val="null3"/>
        <w:ind w:firstLine="480"/>
        <w:jc w:val="both"/>
      </w:pPr>
      <w:r>
        <w:rPr>
          <w:rFonts w:ascii="仿宋_GB2312" w:hAnsi="仿宋_GB2312" w:cs="仿宋_GB2312" w:eastAsia="仿宋_GB2312"/>
        </w:rPr>
        <w:t>7.7.1 成交供应商的确定方式：详见第二章须知前附表。</w:t>
      </w:r>
    </w:p>
    <w:p>
      <w:pPr>
        <w:pStyle w:val="null3"/>
        <w:ind w:firstLine="480"/>
        <w:jc w:val="both"/>
      </w:pPr>
      <w:r>
        <w:rPr>
          <w:rFonts w:ascii="仿宋_GB2312" w:hAnsi="仿宋_GB2312" w:cs="仿宋_GB2312" w:eastAsia="仿宋_GB2312"/>
        </w:rPr>
        <w:t>7.7.2 采购代理机构依据确认结果，在“第一章 政府采购谈判邀请函”中规定的信息发布媒体上发布成交公告。</w:t>
      </w:r>
    </w:p>
    <w:p>
      <w:pPr>
        <w:pStyle w:val="null3"/>
        <w:ind w:firstLine="480"/>
        <w:jc w:val="both"/>
      </w:pPr>
      <w:r>
        <w:rPr>
          <w:rFonts w:ascii="仿宋_GB2312" w:hAnsi="仿宋_GB2312" w:cs="仿宋_GB2312" w:eastAsia="仿宋_GB2312"/>
        </w:rPr>
        <w:t>7.7.3对成交结果提出质疑的，若所公告的成交供应商确实存在问题的，采购单位将按照成交候选供应商的推荐排序重新公告成交结果，或按相关规定依法重新组织采购，确保公正性。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both"/>
      </w:pPr>
      <w:r>
        <w:rPr>
          <w:rFonts w:ascii="仿宋_GB2312" w:hAnsi="仿宋_GB2312" w:cs="仿宋_GB2312" w:eastAsia="仿宋_GB2312"/>
        </w:rPr>
        <w:t>7.7.4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both"/>
      </w:pPr>
      <w:r>
        <w:rPr>
          <w:rFonts w:ascii="仿宋_GB2312" w:hAnsi="仿宋_GB2312" w:cs="仿宋_GB2312" w:eastAsia="仿宋_GB2312"/>
        </w:rPr>
        <w:t>8.1成交通知</w:t>
      </w:r>
    </w:p>
    <w:p>
      <w:pPr>
        <w:pStyle w:val="null3"/>
        <w:ind w:firstLine="480"/>
        <w:jc w:val="both"/>
      </w:pPr>
      <w:r>
        <w:rPr>
          <w:rFonts w:ascii="仿宋_GB2312" w:hAnsi="仿宋_GB2312" w:cs="仿宋_GB2312" w:eastAsia="仿宋_GB2312"/>
        </w:rPr>
        <w:t>8.1.l 根据确定的成交结果，采购代理机构 将向成交供应商发出成交通知书。</w:t>
      </w:r>
    </w:p>
    <w:p>
      <w:pPr>
        <w:pStyle w:val="null3"/>
        <w:ind w:firstLine="480"/>
        <w:jc w:val="both"/>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8.1.3成交通知书是政府采购合同的组成部分。</w:t>
      </w:r>
    </w:p>
    <w:p>
      <w:pPr>
        <w:pStyle w:val="null3"/>
        <w:ind w:firstLine="480"/>
        <w:jc w:val="both"/>
      </w:pPr>
      <w:r>
        <w:rPr>
          <w:rFonts w:ascii="仿宋_GB2312" w:hAnsi="仿宋_GB2312" w:cs="仿宋_GB2312" w:eastAsia="仿宋_GB2312"/>
        </w:rPr>
        <w:t>8.2履约保证</w:t>
      </w:r>
    </w:p>
    <w:p>
      <w:pPr>
        <w:pStyle w:val="null3"/>
        <w:ind w:firstLine="480"/>
        <w:jc w:val="both"/>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8.2.2 成交供应商不能在成交通知书发出后、8.3.1条规定的签订合同时间前缴纳履约保证金的，视为放弃成交，其谈判保证金不予退还，给采购单位造成的损失超过谈判保证金数额的，成交供应商还应当对超过部分予以赔偿。</w:t>
      </w:r>
    </w:p>
    <w:p>
      <w:pPr>
        <w:pStyle w:val="null3"/>
        <w:ind w:firstLine="480"/>
        <w:jc w:val="both"/>
      </w:pPr>
      <w:r>
        <w:rPr>
          <w:rFonts w:ascii="仿宋_GB2312" w:hAnsi="仿宋_GB2312" w:cs="仿宋_GB2312" w:eastAsia="仿宋_GB2312"/>
        </w:rPr>
        <w:t>8.2.3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8.3签订合同</w:t>
      </w:r>
    </w:p>
    <w:p>
      <w:pPr>
        <w:pStyle w:val="null3"/>
        <w:ind w:firstLine="480"/>
        <w:jc w:val="both"/>
      </w:pPr>
      <w:r>
        <w:rPr>
          <w:rFonts w:ascii="仿宋_GB2312" w:hAnsi="仿宋_GB2312" w:cs="仿宋_GB2312" w:eastAsia="仿宋_GB2312"/>
        </w:rPr>
        <w:t>8.3.1 合同签订周期：成交结果公告后5个工作日。</w:t>
      </w:r>
    </w:p>
    <w:p>
      <w:pPr>
        <w:pStyle w:val="null3"/>
        <w:ind w:firstLine="480"/>
        <w:jc w:val="both"/>
      </w:pPr>
      <w:r>
        <w:rPr>
          <w:rFonts w:ascii="仿宋_GB2312" w:hAnsi="仿宋_GB2312" w:cs="仿宋_GB2312" w:eastAsia="仿宋_GB2312"/>
        </w:rPr>
        <w:t>8.3.2 采购单位应当自成交通知书发出后规定的时间内，按照谈判文件和成交供应商响应文件的约定，与成交供应商签订政府采购合同。所签政府采购合同不得对谈判文件和成交供应商的响应文件作实质性修改。</w:t>
      </w:r>
    </w:p>
    <w:p>
      <w:pPr>
        <w:pStyle w:val="null3"/>
        <w:ind w:firstLine="480"/>
        <w:jc w:val="both"/>
      </w:pPr>
      <w:r>
        <w:rPr>
          <w:rFonts w:ascii="仿宋_GB2312" w:hAnsi="仿宋_GB2312" w:cs="仿宋_GB2312" w:eastAsia="仿宋_GB2312"/>
        </w:rPr>
        <w:t>8.3.3 成交供应商应按成交通知书规定的时间、地点与采购单位签订成交合同,否则谈判保证金将不予退还，给采购人和采购代理机构造成损失的，供应商还应承担赔偿责任。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both"/>
      </w:pPr>
      <w:r>
        <w:rPr>
          <w:rFonts w:ascii="仿宋_GB2312" w:hAnsi="仿宋_GB2312" w:cs="仿宋_GB2312" w:eastAsia="仿宋_GB2312"/>
        </w:rPr>
        <w:t>9.1适用法规</w:t>
      </w:r>
    </w:p>
    <w:p>
      <w:pPr>
        <w:pStyle w:val="null3"/>
        <w:ind w:firstLine="480"/>
        <w:jc w:val="both"/>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9.2 信息发布</w:t>
      </w:r>
    </w:p>
    <w:p>
      <w:pPr>
        <w:pStyle w:val="null3"/>
        <w:ind w:firstLine="480"/>
        <w:jc w:val="both"/>
      </w:pPr>
      <w:r>
        <w:rPr>
          <w:rFonts w:ascii="仿宋_GB2312" w:hAnsi="仿宋_GB2312" w:cs="仿宋_GB2312" w:eastAsia="仿宋_GB2312"/>
        </w:rPr>
        <w:t>9.2.1 政府采购活动过程中需对外发布的信息均统一发布在指定的信息发布媒体上，供应商可从本谈判文件“第一章 政府采购谈判邀请函”中指定的信息发布媒体获取信息。</w:t>
      </w:r>
    </w:p>
    <w:p>
      <w:pPr>
        <w:pStyle w:val="null3"/>
        <w:ind w:firstLine="480"/>
        <w:jc w:val="both"/>
      </w:pPr>
      <w:r>
        <w:rPr>
          <w:rFonts w:ascii="仿宋_GB2312" w:hAnsi="仿宋_GB2312" w:cs="仿宋_GB2312" w:eastAsia="仿宋_GB2312"/>
        </w:rPr>
        <w:t>9.3纪律要求</w:t>
      </w:r>
    </w:p>
    <w:p>
      <w:pPr>
        <w:pStyle w:val="null3"/>
        <w:ind w:firstLine="480"/>
        <w:jc w:val="both"/>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9.3.2 供应商不得相互串通报价或者与采购单位串通报价，不得向采购单位或者谈判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both"/>
      </w:pPr>
      <w:r>
        <w:rPr>
          <w:rFonts w:ascii="仿宋_GB2312" w:hAnsi="仿宋_GB2312" w:cs="仿宋_GB2312" w:eastAsia="仿宋_GB2312"/>
        </w:rPr>
        <w:t>9.3.3 谈判小组成员不得收受他人的财物或者其他好处，不得向他人透漏对响应文件的评审和比较、成交候选人的推荐情况以及评审有关的其他情况；在评审活动中，谈判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both"/>
      </w:pPr>
      <w:r>
        <w:rPr>
          <w:rFonts w:ascii="仿宋_GB2312" w:hAnsi="仿宋_GB2312" w:cs="仿宋_GB2312" w:eastAsia="仿宋_GB2312"/>
        </w:rPr>
        <w:t>9.4质疑处理</w:t>
      </w:r>
    </w:p>
    <w:p>
      <w:pPr>
        <w:pStyle w:val="null3"/>
        <w:ind w:firstLine="480"/>
        <w:jc w:val="both"/>
      </w:pPr>
      <w:r>
        <w:rPr>
          <w:rFonts w:ascii="仿宋_GB2312" w:hAnsi="仿宋_GB2312" w:cs="仿宋_GB2312" w:eastAsia="仿宋_GB2312"/>
        </w:rPr>
        <w:t>9.4.1供应商认为谈判文件、谈判过程和成交结果使自己的权益受到损害的，可以在知道或者应知其权益受到损害之日起7个工作日内，以书面形式向采购代理机构提出质疑。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9.4.3质疑函的递交</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联系电话：17689850432</w:t>
      </w:r>
    </w:p>
    <w:p>
      <w:pPr>
        <w:pStyle w:val="null3"/>
        <w:jc w:val="left"/>
      </w:pPr>
      <w:r>
        <w:rPr>
          <w:rFonts w:ascii="仿宋_GB2312" w:hAnsi="仿宋_GB2312" w:cs="仿宋_GB2312" w:eastAsia="仿宋_GB2312"/>
        </w:rPr>
        <w:t>地址：海口市国兴大道9号省政府办公楼2楼</w:t>
      </w:r>
    </w:p>
    <w:p>
      <w:pPr>
        <w:pStyle w:val="null3"/>
        <w:jc w:val="left"/>
      </w:pPr>
      <w:r>
        <w:rPr>
          <w:rFonts w:ascii="仿宋_GB2312" w:hAnsi="仿宋_GB2312" w:cs="仿宋_GB2312" w:eastAsia="仿宋_GB2312"/>
        </w:rPr>
        <w:t>邮编：570100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联系人：刘女士</w:t>
      </w:r>
    </w:p>
    <w:p>
      <w:pPr>
        <w:pStyle w:val="null3"/>
        <w:jc w:val="left"/>
      </w:pPr>
      <w:r>
        <w:rPr>
          <w:rFonts w:ascii="仿宋_GB2312" w:hAnsi="仿宋_GB2312" w:cs="仿宋_GB2312" w:eastAsia="仿宋_GB2312"/>
        </w:rPr>
        <w:t>联系电话：089866529848</w:t>
      </w:r>
    </w:p>
    <w:p>
      <w:pPr>
        <w:pStyle w:val="null3"/>
        <w:jc w:val="left"/>
      </w:pPr>
      <w:r>
        <w:rPr>
          <w:rFonts w:ascii="仿宋_GB2312" w:hAnsi="仿宋_GB2312" w:cs="仿宋_GB2312" w:eastAsia="仿宋_GB2312"/>
        </w:rPr>
        <w:t>地址：海口市美兰区国兴大道9号会展楼206</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ind w:firstLine="480"/>
        <w:jc w:val="both"/>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both"/>
      </w:pPr>
      <w:r>
        <w:rPr>
          <w:rFonts w:ascii="仿宋_GB2312" w:hAnsi="仿宋_GB2312" w:cs="仿宋_GB2312" w:eastAsia="仿宋_GB2312"/>
        </w:rPr>
        <w:t>9.5投诉</w:t>
      </w:r>
    </w:p>
    <w:p>
      <w:pPr>
        <w:pStyle w:val="null3"/>
        <w:ind w:firstLine="480"/>
        <w:jc w:val="both"/>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both"/>
      </w:pPr>
      <w:r>
        <w:rPr>
          <w:rFonts w:ascii="仿宋_GB2312" w:hAnsi="仿宋_GB2312" w:cs="仿宋_GB2312" w:eastAsia="仿宋_GB2312"/>
        </w:rPr>
        <w:t>10.1 不良行为</w:t>
      </w:r>
    </w:p>
    <w:p>
      <w:pPr>
        <w:pStyle w:val="null3"/>
        <w:ind w:firstLine="480"/>
        <w:jc w:val="both"/>
      </w:pPr>
      <w:r>
        <w:rPr>
          <w:rFonts w:ascii="仿宋_GB2312" w:hAnsi="仿宋_GB2312" w:cs="仿宋_GB2312" w:eastAsia="仿宋_GB2312"/>
        </w:rPr>
        <w:t>10.1.1供应商存在的以下情况，将被认定为不良行为：</w:t>
      </w:r>
    </w:p>
    <w:p>
      <w:pPr>
        <w:pStyle w:val="null3"/>
        <w:ind w:firstLine="480"/>
        <w:jc w:val="both"/>
      </w:pPr>
      <w:r>
        <w:rPr>
          <w:rFonts w:ascii="仿宋_GB2312" w:hAnsi="仿宋_GB2312" w:cs="仿宋_GB2312" w:eastAsia="仿宋_GB2312"/>
        </w:rPr>
        <w:t>(1)供应商在政府采购活动中存在违反规定提供虚假、无效证件等行为的；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(3)供应商在参加政府采购活动时，有围标、串标、陪标等行为的；</w:t>
      </w:r>
    </w:p>
    <w:p>
      <w:pPr>
        <w:pStyle w:val="null3"/>
        <w:ind w:firstLine="480"/>
        <w:jc w:val="both"/>
      </w:pPr>
      <w:r>
        <w:rPr>
          <w:rFonts w:ascii="仿宋_GB2312" w:hAnsi="仿宋_GB2312" w:cs="仿宋_GB2312" w:eastAsia="仿宋_GB2312"/>
        </w:rPr>
        <w:t>(4)供应商不遵守谈判会场纪律,扰乱政府采购秩序的;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10.2 谈判控制价</w:t>
      </w:r>
    </w:p>
    <w:p>
      <w:pPr>
        <w:pStyle w:val="null3"/>
        <w:ind w:firstLine="480"/>
        <w:jc w:val="both"/>
      </w:pPr>
      <w:r>
        <w:rPr>
          <w:rFonts w:ascii="仿宋_GB2312" w:hAnsi="仿宋_GB2312" w:cs="仿宋_GB2312" w:eastAsia="仿宋_GB2312"/>
        </w:rPr>
        <w:t>谈判文件中规定的最高限价为谈判控制价；如未规定最高限价的，则项目预算金额为谈判控制价。</w:t>
      </w:r>
    </w:p>
    <w:p>
      <w:pPr>
        <w:pStyle w:val="null3"/>
        <w:ind w:firstLine="480"/>
        <w:jc w:val="both"/>
      </w:pPr>
      <w:r>
        <w:rPr>
          <w:rFonts w:ascii="仿宋_GB2312" w:hAnsi="仿宋_GB2312" w:cs="仿宋_GB2312" w:eastAsia="仿宋_GB2312"/>
        </w:rPr>
        <w:t>10.3 知识产权</w:t>
      </w:r>
    </w:p>
    <w:p>
      <w:pPr>
        <w:pStyle w:val="null3"/>
        <w:ind w:firstLine="480"/>
        <w:jc w:val="both"/>
      </w:pPr>
      <w:r>
        <w:rPr>
          <w:rFonts w:ascii="仿宋_GB2312" w:hAnsi="仿宋_GB2312" w:cs="仿宋_GB2312" w:eastAsia="仿宋_GB2312"/>
        </w:rPr>
        <w:t>构成本谈判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10.4 解释权</w:t>
      </w:r>
    </w:p>
    <w:p>
      <w:pPr>
        <w:pStyle w:val="null3"/>
        <w:ind w:firstLine="480"/>
        <w:jc w:val="both"/>
      </w:pPr>
      <w:r>
        <w:rPr>
          <w:rFonts w:ascii="仿宋_GB2312" w:hAnsi="仿宋_GB2312" w:cs="仿宋_GB2312" w:eastAsia="仿宋_GB2312"/>
        </w:rPr>
        <w:t>构成本谈判文件的各个组成文件应互为解释，互为说明；如有不明确或不一致，构成合同文件组成内容的，以合同文件约定内容为准；除谈判文件中有特别规定外，仅适用于谈判阶段的规定，按竞争性谈判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展馆设在海口市滨海大道</w:t>
      </w:r>
      <w:r>
        <w:rPr>
          <w:rFonts w:ascii="仿宋_GB2312" w:hAnsi="仿宋_GB2312" w:cs="仿宋_GB2312" w:eastAsia="仿宋_GB2312"/>
          <w:sz w:val="24"/>
        </w:rPr>
        <w:t>256号海南国际会展中心</w:t>
      </w:r>
      <w:r>
        <w:rPr>
          <w:rFonts w:ascii="仿宋_GB2312" w:hAnsi="仿宋_GB2312" w:cs="仿宋_GB2312" w:eastAsia="仿宋_GB2312"/>
          <w:sz w:val="24"/>
        </w:rPr>
        <w:t>8</w:t>
      </w:r>
      <w:r>
        <w:rPr>
          <w:rFonts w:ascii="仿宋_GB2312" w:hAnsi="仿宋_GB2312" w:cs="仿宋_GB2312" w:eastAsia="仿宋_GB2312"/>
          <w:sz w:val="24"/>
        </w:rPr>
        <w:t>号馆内，面积共</w:t>
      </w:r>
      <w:r>
        <w:rPr>
          <w:rFonts w:ascii="仿宋_GB2312" w:hAnsi="仿宋_GB2312" w:cs="仿宋_GB2312" w:eastAsia="仿宋_GB2312"/>
          <w:sz w:val="24"/>
        </w:rPr>
        <w:t>9</w:t>
      </w:r>
      <w:r>
        <w:rPr>
          <w:rFonts w:ascii="仿宋_GB2312" w:hAnsi="仿宋_GB2312" w:cs="仿宋_GB2312" w:eastAsia="仿宋_GB2312"/>
          <w:sz w:val="24"/>
        </w:rPr>
        <w:t>00平方米</w:t>
      </w:r>
      <w:r>
        <w:rPr>
          <w:rFonts w:ascii="仿宋_GB2312" w:hAnsi="仿宋_GB2312" w:cs="仿宋_GB2312" w:eastAsia="仿宋_GB2312"/>
          <w:sz w:val="24"/>
          <w:color w:val="000000"/>
        </w:rPr>
        <w:t>，长</w:t>
      </w:r>
      <w:r>
        <w:rPr>
          <w:rFonts w:ascii="仿宋_GB2312" w:hAnsi="仿宋_GB2312" w:cs="仿宋_GB2312" w:eastAsia="仿宋_GB2312"/>
          <w:sz w:val="24"/>
          <w:color w:val="000000"/>
        </w:rPr>
        <w:t>45</w:t>
      </w:r>
      <w:r>
        <w:rPr>
          <w:rFonts w:ascii="仿宋_GB2312" w:hAnsi="仿宋_GB2312" w:cs="仿宋_GB2312" w:eastAsia="仿宋_GB2312"/>
          <w:sz w:val="24"/>
          <w:color w:val="000000"/>
        </w:rPr>
        <w:t>米，宽</w:t>
      </w:r>
      <w:r>
        <w:rPr>
          <w:rFonts w:ascii="仿宋_GB2312" w:hAnsi="仿宋_GB2312" w:cs="仿宋_GB2312" w:eastAsia="仿宋_GB2312"/>
          <w:sz w:val="24"/>
          <w:color w:val="000000"/>
        </w:rPr>
        <w:t>20米。通过</w:t>
      </w:r>
      <w:r>
        <w:rPr>
          <w:rFonts w:ascii="仿宋_GB2312" w:hAnsi="仿宋_GB2312" w:cs="仿宋_GB2312" w:eastAsia="仿宋_GB2312"/>
          <w:sz w:val="24"/>
          <w:color w:val="000000"/>
        </w:rPr>
        <w:t>展示我省</w:t>
      </w:r>
      <w:r>
        <w:rPr>
          <w:rFonts w:ascii="仿宋_GB2312" w:hAnsi="仿宋_GB2312" w:cs="仿宋_GB2312" w:eastAsia="仿宋_GB2312"/>
          <w:sz w:val="24"/>
          <w:color w:val="000000"/>
        </w:rPr>
        <w:t>“高、新、优、特”的名品、优品、新品、爆品、礼品、免税品等特色消费品</w:t>
      </w:r>
      <w:r>
        <w:rPr>
          <w:rFonts w:ascii="仿宋_GB2312" w:hAnsi="仿宋_GB2312" w:cs="仿宋_GB2312" w:eastAsia="仿宋_GB2312"/>
          <w:sz w:val="24"/>
          <w:color w:val="000000"/>
        </w:rPr>
        <w:t>，积极把海南产品推向</w:t>
      </w:r>
      <w:r>
        <w:rPr>
          <w:rFonts w:ascii="仿宋_GB2312" w:hAnsi="仿宋_GB2312" w:cs="仿宋_GB2312" w:eastAsia="仿宋_GB2312"/>
          <w:sz w:val="24"/>
          <w:color w:val="000000"/>
        </w:rPr>
        <w:t>全国和</w:t>
      </w:r>
      <w:r>
        <w:rPr>
          <w:rFonts w:ascii="仿宋_GB2312" w:hAnsi="仿宋_GB2312" w:cs="仿宋_GB2312" w:eastAsia="仿宋_GB2312"/>
          <w:sz w:val="24"/>
          <w:color w:val="000000"/>
        </w:rPr>
        <w:t>全</w:t>
      </w:r>
      <w:r>
        <w:rPr>
          <w:rFonts w:ascii="仿宋_GB2312" w:hAnsi="仿宋_GB2312" w:cs="仿宋_GB2312" w:eastAsia="仿宋_GB2312"/>
          <w:sz w:val="24"/>
          <w:color w:val="000000"/>
        </w:rPr>
        <w:t>球</w:t>
      </w:r>
      <w:r>
        <w:rPr>
          <w:rFonts w:ascii="仿宋_GB2312" w:hAnsi="仿宋_GB2312" w:cs="仿宋_GB2312" w:eastAsia="仿宋_GB2312"/>
          <w:sz w:val="24"/>
          <w:color w:val="000000"/>
        </w:rPr>
        <w:t>市</w:t>
      </w:r>
      <w:r>
        <w:rPr>
          <w:rFonts w:ascii="仿宋_GB2312" w:hAnsi="仿宋_GB2312" w:cs="仿宋_GB2312" w:eastAsia="仿宋_GB2312"/>
          <w:sz w:val="24"/>
        </w:rPr>
        <w:t>场。</w:t>
      </w:r>
    </w:p>
    <w:p>
      <w:pPr>
        <w:pStyle w:val="null3"/>
        <w:jc w:val="both"/>
      </w:pPr>
      <w:r>
        <w:rPr>
          <w:rFonts w:ascii="仿宋_GB2312" w:hAnsi="仿宋_GB2312" w:cs="仿宋_GB2312" w:eastAsia="仿宋_GB2312"/>
          <w:sz w:val="24"/>
        </w:rPr>
        <w:t>本</w:t>
      </w:r>
      <w:r>
        <w:rPr>
          <w:rFonts w:ascii="仿宋_GB2312" w:hAnsi="仿宋_GB2312" w:cs="仿宋_GB2312" w:eastAsia="仿宋_GB2312"/>
          <w:sz w:val="24"/>
        </w:rPr>
        <w:t>项目通过</w:t>
      </w:r>
      <w:r>
        <w:rPr>
          <w:rFonts w:ascii="仿宋_GB2312" w:hAnsi="仿宋_GB2312" w:cs="仿宋_GB2312" w:eastAsia="仿宋_GB2312"/>
          <w:sz w:val="24"/>
        </w:rPr>
        <w:t>竞争性谈判</w:t>
      </w:r>
      <w:r>
        <w:rPr>
          <w:rFonts w:ascii="仿宋_GB2312" w:hAnsi="仿宋_GB2312" w:cs="仿宋_GB2312" w:eastAsia="仿宋_GB2312"/>
          <w:sz w:val="24"/>
        </w:rPr>
        <w:t>方</w:t>
      </w:r>
      <w:r>
        <w:rPr>
          <w:rFonts w:ascii="仿宋_GB2312" w:hAnsi="仿宋_GB2312" w:cs="仿宋_GB2312" w:eastAsia="仿宋_GB2312"/>
          <w:sz w:val="24"/>
        </w:rPr>
        <w:t>式确定一家</w:t>
      </w:r>
      <w:r>
        <w:rPr>
          <w:rFonts w:ascii="仿宋_GB2312" w:hAnsi="仿宋_GB2312" w:cs="仿宋_GB2312" w:eastAsia="仿宋_GB2312"/>
          <w:sz w:val="24"/>
        </w:rPr>
        <w:t>组展服务商</w:t>
      </w:r>
      <w:r>
        <w:rPr>
          <w:rFonts w:ascii="仿宋_GB2312" w:hAnsi="仿宋_GB2312" w:cs="仿宋_GB2312" w:eastAsia="仿宋_GB2312"/>
          <w:sz w:val="24"/>
        </w:rPr>
        <w:t>承</w:t>
      </w:r>
      <w:r>
        <w:rPr>
          <w:rFonts w:ascii="仿宋_GB2312" w:hAnsi="仿宋_GB2312" w:cs="仿宋_GB2312" w:eastAsia="仿宋_GB2312"/>
          <w:sz w:val="24"/>
        </w:rPr>
        <w:t>担</w:t>
      </w:r>
      <w:r>
        <w:rPr>
          <w:rFonts w:ascii="仿宋_GB2312" w:hAnsi="仿宋_GB2312" w:cs="仿宋_GB2312" w:eastAsia="仿宋_GB2312"/>
          <w:sz w:val="24"/>
        </w:rPr>
        <w:t>此</w:t>
      </w:r>
      <w:r>
        <w:rPr>
          <w:rFonts w:ascii="仿宋_GB2312" w:hAnsi="仿宋_GB2312" w:cs="仿宋_GB2312" w:eastAsia="仿宋_GB2312"/>
          <w:sz w:val="24"/>
        </w:rPr>
        <w:t>届</w:t>
      </w:r>
      <w:r>
        <w:rPr>
          <w:rFonts w:ascii="仿宋_GB2312" w:hAnsi="仿宋_GB2312" w:cs="仿宋_GB2312" w:eastAsia="仿宋_GB2312"/>
          <w:sz w:val="24"/>
        </w:rPr>
        <w:t>中国国际消费品博览会</w:t>
      </w:r>
      <w:r>
        <w:rPr>
          <w:rFonts w:ascii="仿宋_GB2312" w:hAnsi="仿宋_GB2312" w:cs="仿宋_GB2312" w:eastAsia="仿宋_GB2312"/>
          <w:sz w:val="24"/>
        </w:rPr>
        <w:t>海南馆</w:t>
      </w:r>
      <w:r>
        <w:rPr>
          <w:rFonts w:ascii="仿宋_GB2312" w:hAnsi="仿宋_GB2312" w:cs="仿宋_GB2312" w:eastAsia="仿宋_GB2312"/>
          <w:sz w:val="24"/>
        </w:rPr>
        <w:t>的</w:t>
      </w:r>
      <w:r>
        <w:rPr>
          <w:rFonts w:ascii="仿宋_GB2312" w:hAnsi="仿宋_GB2312" w:cs="仿宋_GB2312" w:eastAsia="仿宋_GB2312"/>
          <w:sz w:val="24"/>
        </w:rPr>
        <w:t>展品组织对接、展馆设计搭建、展馆现场服务等工作</w:t>
      </w:r>
      <w:r>
        <w:rPr>
          <w:rFonts w:ascii="仿宋_GB2312" w:hAnsi="仿宋_GB2312" w:cs="仿宋_GB2312" w:eastAsia="仿宋_GB2312"/>
          <w:sz w:val="24"/>
        </w:rPr>
        <w:t>。</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2,400,000.00</w:t>
      </w:r>
    </w:p>
    <w:p>
      <w:pPr>
        <w:pStyle w:val="null3"/>
        <w:jc w:val="left"/>
      </w:pPr>
      <w:r>
        <w:rPr>
          <w:rFonts w:ascii="仿宋_GB2312" w:hAnsi="仿宋_GB2312" w:cs="仿宋_GB2312" w:eastAsia="仿宋_GB2312"/>
        </w:rPr>
        <w:t>采购包最高限价（元）: 2,400,000.00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C22020300-生活消费品展览服务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C22020300-生活消费品展览服务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标的名称：C22020300-生活消费品展览服务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b/>
              </w:rPr>
              <w:t>目标</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（一）设计主题：结合海南自由贸易港建设蓬勃展开的背景，</w:t>
            </w:r>
            <w:r>
              <w:rPr>
                <w:rFonts w:ascii="仿宋_GB2312" w:hAnsi="仿宋_GB2312" w:cs="仿宋_GB2312" w:eastAsia="仿宋_GB2312"/>
                <w:sz w:val="24"/>
              </w:rPr>
              <w:t>整体以实物类商品和服务类商品展示为主，不偏向形象成果展示，通过紧扣消费精品路线</w:t>
            </w:r>
            <w:r>
              <w:rPr>
                <w:rFonts w:ascii="仿宋_GB2312" w:hAnsi="仿宋_GB2312" w:cs="仿宋_GB2312" w:eastAsia="仿宋_GB2312"/>
                <w:sz w:val="24"/>
              </w:rPr>
              <w:t>凝练</w:t>
            </w:r>
            <w:r>
              <w:rPr>
                <w:rFonts w:ascii="仿宋_GB2312" w:hAnsi="仿宋_GB2312" w:cs="仿宋_GB2312" w:eastAsia="仿宋_GB2312"/>
                <w:sz w:val="24"/>
              </w:rPr>
              <w:t>海南馆</w:t>
            </w:r>
            <w:r>
              <w:rPr>
                <w:rFonts w:ascii="仿宋_GB2312" w:hAnsi="仿宋_GB2312" w:cs="仿宋_GB2312" w:eastAsia="仿宋_GB2312"/>
                <w:sz w:val="24"/>
              </w:rPr>
              <w:t>展览</w:t>
            </w:r>
            <w:r>
              <w:rPr>
                <w:rFonts w:ascii="仿宋_GB2312" w:hAnsi="仿宋_GB2312" w:cs="仿宋_GB2312" w:eastAsia="仿宋_GB2312"/>
                <w:sz w:val="24"/>
              </w:rPr>
              <w:t>展示</w:t>
            </w:r>
            <w:r>
              <w:rPr>
                <w:rFonts w:ascii="仿宋_GB2312" w:hAnsi="仿宋_GB2312" w:cs="仿宋_GB2312" w:eastAsia="仿宋_GB2312"/>
                <w:sz w:val="24"/>
              </w:rPr>
              <w:t>主题主线，充分展示海南</w:t>
            </w:r>
            <w:r>
              <w:rPr>
                <w:rFonts w:ascii="仿宋_GB2312" w:hAnsi="仿宋_GB2312" w:cs="仿宋_GB2312" w:eastAsia="仿宋_GB2312"/>
                <w:sz w:val="24"/>
              </w:rPr>
              <w:t>“高、新、优、特”</w:t>
            </w:r>
            <w:r>
              <w:rPr>
                <w:rFonts w:ascii="仿宋_GB2312" w:hAnsi="仿宋_GB2312" w:cs="仿宋_GB2312" w:eastAsia="仿宋_GB2312"/>
                <w:sz w:val="24"/>
              </w:rPr>
              <w:t>消费精品</w:t>
            </w:r>
            <w:r>
              <w:rPr>
                <w:rFonts w:ascii="仿宋_GB2312" w:hAnsi="仿宋_GB2312" w:cs="仿宋_GB2312" w:eastAsia="仿宋_GB2312"/>
                <w:sz w:val="24"/>
              </w:rPr>
              <w:t>，</w:t>
            </w:r>
            <w:r>
              <w:rPr>
                <w:rFonts w:ascii="仿宋_GB2312" w:hAnsi="仿宋_GB2312" w:cs="仿宋_GB2312" w:eastAsia="仿宋_GB2312"/>
                <w:sz w:val="24"/>
              </w:rPr>
              <w:t>突出海南特色及</w:t>
            </w:r>
            <w:r>
              <w:rPr>
                <w:rFonts w:ascii="仿宋_GB2312" w:hAnsi="仿宋_GB2312" w:cs="仿宋_GB2312" w:eastAsia="仿宋_GB2312"/>
                <w:sz w:val="24"/>
              </w:rPr>
              <w:t>魅力</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（二）设计风格：</w:t>
            </w:r>
            <w:r>
              <w:rPr>
                <w:rFonts w:ascii="仿宋_GB2312" w:hAnsi="仿宋_GB2312" w:cs="仿宋_GB2312" w:eastAsia="仿宋_GB2312"/>
                <w:sz w:val="24"/>
              </w:rPr>
              <w:t>可采用清新明快的蓝绿色为主基调，</w:t>
            </w:r>
            <w:r>
              <w:rPr>
                <w:rFonts w:ascii="仿宋_GB2312" w:hAnsi="仿宋_GB2312" w:cs="仿宋_GB2312" w:eastAsia="仿宋_GB2312"/>
                <w:sz w:val="24"/>
              </w:rPr>
              <w:t>整体设计融入海南元素，风格简洁时尚、布局新颖大气、</w:t>
            </w:r>
            <w:r>
              <w:rPr>
                <w:rFonts w:ascii="仿宋_GB2312" w:hAnsi="仿宋_GB2312" w:cs="仿宋_GB2312" w:eastAsia="仿宋_GB2312"/>
                <w:sz w:val="24"/>
              </w:rPr>
              <w:t>展区</w:t>
            </w:r>
            <w:r>
              <w:rPr>
                <w:rFonts w:ascii="仿宋_GB2312" w:hAnsi="仿宋_GB2312" w:cs="仿宋_GB2312" w:eastAsia="仿宋_GB2312"/>
                <w:sz w:val="24"/>
              </w:rPr>
              <w:t>规划合理，展馆环境优雅</w:t>
            </w:r>
            <w:r>
              <w:rPr>
                <w:rFonts w:ascii="仿宋_GB2312" w:hAnsi="仿宋_GB2312" w:cs="仿宋_GB2312" w:eastAsia="仿宋_GB2312"/>
                <w:sz w:val="24"/>
              </w:rPr>
              <w:t>、观展巡馆便利</w:t>
            </w:r>
            <w:r>
              <w:rPr>
                <w:rFonts w:ascii="仿宋_GB2312" w:hAnsi="仿宋_GB2312" w:cs="仿宋_GB2312" w:eastAsia="仿宋_GB2312"/>
                <w:sz w:val="24"/>
              </w:rPr>
              <w:t>，展台（柜）突显精品琳琅满目</w:t>
            </w:r>
            <w:r>
              <w:rPr>
                <w:rFonts w:ascii="仿宋_GB2312" w:hAnsi="仿宋_GB2312" w:cs="仿宋_GB2312" w:eastAsia="仿宋_GB2312"/>
                <w:sz w:val="24"/>
              </w:rPr>
              <w:t>、</w:t>
            </w:r>
            <w:r>
              <w:rPr>
                <w:rFonts w:ascii="仿宋_GB2312" w:hAnsi="仿宋_GB2312" w:cs="仿宋_GB2312" w:eastAsia="仿宋_GB2312"/>
                <w:sz w:val="24"/>
              </w:rPr>
              <w:t>高端大气上档次的</w:t>
            </w:r>
            <w:r>
              <w:rPr>
                <w:rFonts w:ascii="仿宋_GB2312" w:hAnsi="仿宋_GB2312" w:cs="仿宋_GB2312" w:eastAsia="仿宋_GB2312"/>
                <w:sz w:val="24"/>
              </w:rPr>
              <w:t>风格</w:t>
            </w:r>
            <w:r>
              <w:rPr>
                <w:rFonts w:ascii="仿宋_GB2312" w:hAnsi="仿宋_GB2312" w:cs="仿宋_GB2312" w:eastAsia="仿宋_GB2312"/>
                <w:sz w:val="24"/>
              </w:rPr>
              <w:t>特点。展览形式、布局上，</w:t>
            </w:r>
            <w:r>
              <w:rPr>
                <w:rFonts w:ascii="仿宋_GB2312" w:hAnsi="仿宋_GB2312" w:cs="仿宋_GB2312" w:eastAsia="仿宋_GB2312"/>
                <w:sz w:val="24"/>
              </w:rPr>
              <w:t>分为</w:t>
            </w:r>
            <w:r>
              <w:rPr>
                <w:rFonts w:ascii="仿宋_GB2312" w:hAnsi="仿宋_GB2312" w:cs="仿宋_GB2312" w:eastAsia="仿宋_GB2312"/>
                <w:sz w:val="24"/>
              </w:rPr>
              <w:t>“海南之光</w:t>
            </w:r>
            <w:r>
              <w:rPr>
                <w:rFonts w:ascii="仿宋_GB2312" w:hAnsi="仿宋_GB2312" w:cs="仿宋_GB2312" w:eastAsia="仿宋_GB2312"/>
                <w:sz w:val="24"/>
              </w:rPr>
              <w:t>·</w:t>
            </w:r>
            <w:r>
              <w:rPr>
                <w:rFonts w:ascii="仿宋_GB2312" w:hAnsi="仿宋_GB2312" w:cs="仿宋_GB2312" w:eastAsia="仿宋_GB2312"/>
                <w:sz w:val="24"/>
              </w:rPr>
              <w:t>名品荟萃</w:t>
            </w:r>
            <w:r>
              <w:rPr>
                <w:rFonts w:ascii="仿宋_GB2312" w:hAnsi="仿宋_GB2312" w:cs="仿宋_GB2312" w:eastAsia="仿宋_GB2312"/>
                <w:sz w:val="24"/>
              </w:rPr>
              <w:t>”、“海南之声</w:t>
            </w:r>
            <w:r>
              <w:rPr>
                <w:rFonts w:ascii="仿宋_GB2312" w:hAnsi="仿宋_GB2312" w:cs="仿宋_GB2312" w:eastAsia="仿宋_GB2312"/>
                <w:sz w:val="24"/>
              </w:rPr>
              <w:t>·</w:t>
            </w:r>
            <w:r>
              <w:rPr>
                <w:rFonts w:ascii="仿宋_GB2312" w:hAnsi="仿宋_GB2312" w:cs="仿宋_GB2312" w:eastAsia="仿宋_GB2312"/>
                <w:sz w:val="24"/>
              </w:rPr>
              <w:t>云厅发布</w:t>
            </w:r>
            <w:r>
              <w:rPr>
                <w:rFonts w:ascii="仿宋_GB2312" w:hAnsi="仿宋_GB2312" w:cs="仿宋_GB2312" w:eastAsia="仿宋_GB2312"/>
                <w:sz w:val="24"/>
              </w:rPr>
              <w:t>”、“海南之桥</w:t>
            </w:r>
            <w:r>
              <w:rPr>
                <w:rFonts w:ascii="仿宋_GB2312" w:hAnsi="仿宋_GB2312" w:cs="仿宋_GB2312" w:eastAsia="仿宋_GB2312"/>
                <w:sz w:val="24"/>
              </w:rPr>
              <w:t>·</w:t>
            </w:r>
            <w:r>
              <w:rPr>
                <w:rFonts w:ascii="仿宋_GB2312" w:hAnsi="仿宋_GB2312" w:cs="仿宋_GB2312" w:eastAsia="仿宋_GB2312"/>
                <w:sz w:val="24"/>
              </w:rPr>
              <w:t>联接世界</w:t>
            </w:r>
            <w:r>
              <w:rPr>
                <w:rFonts w:ascii="仿宋_GB2312" w:hAnsi="仿宋_GB2312" w:cs="仿宋_GB2312" w:eastAsia="仿宋_GB2312"/>
                <w:sz w:val="24"/>
              </w:rPr>
              <w:t>”等</w:t>
            </w:r>
            <w:r>
              <w:rPr>
                <w:rFonts w:ascii="仿宋_GB2312" w:hAnsi="仿宋_GB2312" w:cs="仿宋_GB2312" w:eastAsia="仿宋_GB2312"/>
                <w:sz w:val="24"/>
              </w:rPr>
              <w:t>3个展区</w:t>
            </w:r>
            <w:r>
              <w:rPr>
                <w:rFonts w:ascii="仿宋_GB2312" w:hAnsi="仿宋_GB2312" w:cs="仿宋_GB2312" w:eastAsia="仿宋_GB2312"/>
                <w:sz w:val="24"/>
              </w:rPr>
              <w:t>，投放背景音乐</w:t>
            </w:r>
            <w:r>
              <w:rPr>
                <w:rFonts w:ascii="仿宋_GB2312" w:hAnsi="仿宋_GB2312" w:cs="仿宋_GB2312" w:eastAsia="仿宋_GB2312"/>
                <w:sz w:val="24"/>
              </w:rPr>
              <w:t>、舞台灯光或</w:t>
            </w:r>
            <w:r>
              <w:rPr>
                <w:rFonts w:ascii="仿宋_GB2312" w:hAnsi="仿宋_GB2312" w:cs="仿宋_GB2312" w:eastAsia="仿宋_GB2312"/>
                <w:sz w:val="24"/>
              </w:rPr>
              <w:t>歌舞表演让到访者即能品味海南</w:t>
            </w:r>
            <w:r>
              <w:rPr>
                <w:rFonts w:ascii="仿宋_GB2312" w:hAnsi="仿宋_GB2312" w:cs="仿宋_GB2312" w:eastAsia="仿宋_GB2312"/>
                <w:sz w:val="24"/>
              </w:rPr>
              <w:t>特色产品</w:t>
            </w:r>
            <w:r>
              <w:rPr>
                <w:rFonts w:ascii="仿宋_GB2312" w:hAnsi="仿宋_GB2312" w:cs="仿宋_GB2312" w:eastAsia="仿宋_GB2312"/>
                <w:sz w:val="24"/>
              </w:rPr>
              <w:t>又能商务洽谈，同时运用多媒体技术增强科技感和互动性</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（三）绿色设计</w:t>
            </w:r>
            <w:r>
              <w:rPr>
                <w:rFonts w:ascii="仿宋_GB2312" w:hAnsi="仿宋_GB2312" w:cs="仿宋_GB2312" w:eastAsia="仿宋_GB2312"/>
                <w:sz w:val="24"/>
              </w:rPr>
              <w:t>搭建</w:t>
            </w:r>
            <w:r>
              <w:rPr>
                <w:rFonts w:ascii="仿宋_GB2312" w:hAnsi="仿宋_GB2312" w:cs="仿宋_GB2312" w:eastAsia="仿宋_GB2312"/>
                <w:sz w:val="24"/>
              </w:rPr>
              <w:t>：落实绿色设计搭建理念，</w:t>
            </w:r>
            <w:r>
              <w:rPr>
                <w:rFonts w:ascii="仿宋_GB2312" w:hAnsi="仿宋_GB2312" w:cs="仿宋_GB2312" w:eastAsia="仿宋_GB2312"/>
                <w:sz w:val="24"/>
              </w:rPr>
              <w:t>主体结构以功能模块构建为主，可现场组装且能循环利用；展台搭建采用可再生、</w:t>
            </w:r>
            <w:r>
              <w:rPr>
                <w:rFonts w:ascii="仿宋_GB2312" w:hAnsi="仿宋_GB2312" w:cs="仿宋_GB2312" w:eastAsia="仿宋_GB2312"/>
                <w:sz w:val="24"/>
              </w:rPr>
              <w:t>可回收</w:t>
            </w:r>
            <w:r>
              <w:rPr>
                <w:rFonts w:ascii="仿宋_GB2312" w:hAnsi="仿宋_GB2312" w:cs="仿宋_GB2312" w:eastAsia="仿宋_GB2312"/>
                <w:sz w:val="24"/>
              </w:rPr>
              <w:t>、可</w:t>
            </w:r>
            <w:r>
              <w:rPr>
                <w:rFonts w:ascii="仿宋_GB2312" w:hAnsi="仿宋_GB2312" w:cs="仿宋_GB2312" w:eastAsia="仿宋_GB2312"/>
                <w:sz w:val="24"/>
              </w:rPr>
              <w:t>循环利用</w:t>
            </w:r>
            <w:r>
              <w:rPr>
                <w:rFonts w:ascii="仿宋_GB2312" w:hAnsi="仿宋_GB2312" w:cs="仿宋_GB2312" w:eastAsia="仿宋_GB2312"/>
                <w:sz w:val="24"/>
              </w:rPr>
              <w:t>的</w:t>
            </w:r>
            <w:r>
              <w:rPr>
                <w:rFonts w:ascii="仿宋_GB2312" w:hAnsi="仿宋_GB2312" w:cs="仿宋_GB2312" w:eastAsia="仿宋_GB2312"/>
                <w:sz w:val="24"/>
              </w:rPr>
              <w:t>环保材料占比达</w:t>
            </w:r>
            <w:r>
              <w:rPr>
                <w:rFonts w:ascii="仿宋_GB2312" w:hAnsi="仿宋_GB2312" w:cs="仿宋_GB2312" w:eastAsia="仿宋_GB2312"/>
                <w:sz w:val="24"/>
              </w:rPr>
              <w:t>90%以上</w:t>
            </w:r>
            <w:r>
              <w:rPr>
                <w:rFonts w:ascii="仿宋_GB2312" w:hAnsi="仿宋_GB2312" w:cs="仿宋_GB2312" w:eastAsia="仿宋_GB2312"/>
                <w:sz w:val="24"/>
              </w:rPr>
              <w:t>；节能灯具占比达</w:t>
            </w:r>
            <w:r>
              <w:rPr>
                <w:rFonts w:ascii="仿宋_GB2312" w:hAnsi="仿宋_GB2312" w:cs="仿宋_GB2312" w:eastAsia="仿宋_GB2312"/>
                <w:sz w:val="24"/>
              </w:rPr>
              <w:t>90%以上；装修、装饰采用不燃、难燃或经处理符合防火要求的材料；展馆内使用环保布袋、纸袋等非塑料制品和全生物降解塑料袋、包装膜等环保产品；</w:t>
            </w:r>
            <w:r>
              <w:rPr>
                <w:rFonts w:ascii="仿宋_GB2312" w:hAnsi="仿宋_GB2312" w:cs="仿宋_GB2312" w:eastAsia="仿宋_GB2312"/>
                <w:sz w:val="24"/>
              </w:rPr>
              <w:t>电气线路</w:t>
            </w:r>
            <w:r>
              <w:rPr>
                <w:rFonts w:ascii="仿宋_GB2312" w:hAnsi="仿宋_GB2312" w:cs="仿宋_GB2312" w:eastAsia="仿宋_GB2312"/>
                <w:sz w:val="24"/>
              </w:rPr>
              <w:t>按消防安全标准规范要求</w:t>
            </w:r>
            <w:r>
              <w:rPr>
                <w:rFonts w:ascii="仿宋_GB2312" w:hAnsi="仿宋_GB2312" w:cs="仿宋_GB2312" w:eastAsia="仿宋_GB2312"/>
                <w:sz w:val="24"/>
              </w:rPr>
              <w:t>敷设</w:t>
            </w:r>
            <w:r>
              <w:rPr>
                <w:rFonts w:ascii="仿宋_GB2312" w:hAnsi="仿宋_GB2312" w:cs="仿宋_GB2312" w:eastAsia="仿宋_GB2312"/>
                <w:sz w:val="24"/>
              </w:rPr>
              <w:t>，须</w:t>
            </w:r>
            <w:r>
              <w:rPr>
                <w:rFonts w:ascii="仿宋_GB2312" w:hAnsi="仿宋_GB2312" w:cs="仿宋_GB2312" w:eastAsia="仿宋_GB2312"/>
                <w:sz w:val="24"/>
              </w:rPr>
              <w:t>安全、规范、美观。</w:t>
            </w:r>
          </w:p>
          <w:p>
            <w:pPr>
              <w:pStyle w:val="null3"/>
              <w:jc w:val="both"/>
            </w:pPr>
            <w:r>
              <w:rPr>
                <w:rFonts w:ascii="仿宋_GB2312" w:hAnsi="仿宋_GB2312" w:cs="仿宋_GB2312" w:eastAsia="仿宋_GB2312"/>
                <w:sz w:val="24"/>
              </w:rPr>
              <w:t>（四）展示内容：</w:t>
            </w:r>
            <w:r>
              <w:rPr>
                <w:rFonts w:ascii="仿宋_GB2312" w:hAnsi="仿宋_GB2312" w:cs="仿宋_GB2312" w:eastAsia="仿宋_GB2312"/>
                <w:sz w:val="24"/>
              </w:rPr>
              <w:t>突出展示实物类消费品为主，服务类消费品为辅，充分展示</w:t>
            </w:r>
            <w:r>
              <w:rPr>
                <w:rFonts w:ascii="仿宋_GB2312" w:hAnsi="仿宋_GB2312" w:cs="仿宋_GB2312" w:eastAsia="仿宋_GB2312"/>
                <w:sz w:val="24"/>
              </w:rPr>
              <w:t>我省</w:t>
            </w:r>
            <w:r>
              <w:rPr>
                <w:rFonts w:ascii="仿宋_GB2312" w:hAnsi="仿宋_GB2312" w:cs="仿宋_GB2312" w:eastAsia="仿宋_GB2312"/>
                <w:sz w:val="24"/>
              </w:rPr>
              <w:t>“高、新、优、特”</w:t>
            </w:r>
            <w:r>
              <w:rPr>
                <w:rFonts w:ascii="仿宋_GB2312" w:hAnsi="仿宋_GB2312" w:cs="仿宋_GB2312" w:eastAsia="仿宋_GB2312"/>
                <w:sz w:val="24"/>
                <w:color w:val="000000"/>
              </w:rPr>
              <w:t>名品、优品、新品、爆品、礼品、免税品等特色消费品</w:t>
            </w:r>
            <w:r>
              <w:rPr>
                <w:rFonts w:ascii="仿宋_GB2312" w:hAnsi="仿宋_GB2312" w:cs="仿宋_GB2312" w:eastAsia="仿宋_GB2312"/>
                <w:sz w:val="24"/>
              </w:rPr>
              <w:t>，可包括但不限于以下实物类消费精品，如</w:t>
            </w:r>
            <w:r>
              <w:rPr>
                <w:rFonts w:ascii="仿宋_GB2312" w:hAnsi="仿宋_GB2312" w:cs="仿宋_GB2312" w:eastAsia="仿宋_GB2312"/>
                <w:sz w:val="24"/>
              </w:rPr>
              <w:t>旅游</w:t>
            </w:r>
            <w:r>
              <w:rPr>
                <w:rFonts w:ascii="仿宋_GB2312" w:hAnsi="仿宋_GB2312" w:cs="仿宋_GB2312" w:eastAsia="仿宋_GB2312"/>
                <w:sz w:val="24"/>
              </w:rPr>
              <w:t>商品</w:t>
            </w:r>
            <w:r>
              <w:rPr>
                <w:rFonts w:ascii="仿宋_GB2312" w:hAnsi="仿宋_GB2312" w:cs="仿宋_GB2312" w:eastAsia="仿宋_GB2312"/>
                <w:sz w:val="24"/>
              </w:rPr>
              <w:t>、</w:t>
            </w:r>
            <w:r>
              <w:rPr>
                <w:rFonts w:ascii="仿宋_GB2312" w:hAnsi="仿宋_GB2312" w:cs="仿宋_GB2312" w:eastAsia="仿宋_GB2312"/>
                <w:sz w:val="24"/>
              </w:rPr>
              <w:t>沉香、黎锦、其他非遗物质文化产品、</w:t>
            </w:r>
            <w:r>
              <w:rPr>
                <w:rFonts w:ascii="仿宋_GB2312" w:hAnsi="仿宋_GB2312" w:cs="仿宋_GB2312" w:eastAsia="仿宋_GB2312"/>
                <w:sz w:val="24"/>
              </w:rPr>
              <w:t>高新技术产</w:t>
            </w:r>
            <w:r>
              <w:rPr>
                <w:rFonts w:ascii="仿宋_GB2312" w:hAnsi="仿宋_GB2312" w:cs="仿宋_GB2312" w:eastAsia="仿宋_GB2312"/>
                <w:sz w:val="24"/>
              </w:rPr>
              <w:t>品</w:t>
            </w:r>
            <w:r>
              <w:rPr>
                <w:rFonts w:ascii="仿宋_GB2312" w:hAnsi="仿宋_GB2312" w:cs="仿宋_GB2312" w:eastAsia="仿宋_GB2312"/>
                <w:sz w:val="24"/>
              </w:rPr>
              <w:t>、</w:t>
            </w:r>
            <w:r>
              <w:rPr>
                <w:rFonts w:ascii="仿宋_GB2312" w:hAnsi="仿宋_GB2312" w:cs="仿宋_GB2312" w:eastAsia="仿宋_GB2312"/>
                <w:sz w:val="24"/>
              </w:rPr>
              <w:t>农产品、</w:t>
            </w:r>
            <w:r>
              <w:rPr>
                <w:rFonts w:ascii="仿宋_GB2312" w:hAnsi="仿宋_GB2312" w:cs="仿宋_GB2312" w:eastAsia="仿宋_GB2312"/>
                <w:sz w:val="24"/>
              </w:rPr>
              <w:t>种业</w:t>
            </w:r>
            <w:r>
              <w:rPr>
                <w:rFonts w:ascii="仿宋_GB2312" w:hAnsi="仿宋_GB2312" w:cs="仿宋_GB2312" w:eastAsia="仿宋_GB2312"/>
                <w:sz w:val="24"/>
              </w:rPr>
              <w:t>产品</w:t>
            </w:r>
            <w:r>
              <w:rPr>
                <w:rFonts w:ascii="仿宋_GB2312" w:hAnsi="仿宋_GB2312" w:cs="仿宋_GB2312" w:eastAsia="仿宋_GB2312"/>
                <w:sz w:val="24"/>
              </w:rPr>
              <w:t>、深海</w:t>
            </w:r>
            <w:r>
              <w:rPr>
                <w:rFonts w:ascii="仿宋_GB2312" w:hAnsi="仿宋_GB2312" w:cs="仿宋_GB2312" w:eastAsia="仿宋_GB2312"/>
                <w:sz w:val="24"/>
              </w:rPr>
              <w:t>产品</w:t>
            </w:r>
            <w:r>
              <w:rPr>
                <w:rFonts w:ascii="仿宋_GB2312" w:hAnsi="仿宋_GB2312" w:cs="仿宋_GB2312" w:eastAsia="仿宋_GB2312"/>
                <w:sz w:val="24"/>
              </w:rPr>
              <w:t>、</w:t>
            </w:r>
            <w:r>
              <w:rPr>
                <w:rFonts w:ascii="仿宋_GB2312" w:hAnsi="仿宋_GB2312" w:cs="仿宋_GB2312" w:eastAsia="仿宋_GB2312"/>
                <w:sz w:val="24"/>
              </w:rPr>
              <w:t>离岛</w:t>
            </w:r>
            <w:r>
              <w:rPr>
                <w:rFonts w:ascii="仿宋_GB2312" w:hAnsi="仿宋_GB2312" w:cs="仿宋_GB2312" w:eastAsia="仿宋_GB2312"/>
                <w:sz w:val="24"/>
              </w:rPr>
              <w:t>免税</w:t>
            </w:r>
            <w:r>
              <w:rPr>
                <w:rFonts w:ascii="仿宋_GB2312" w:hAnsi="仿宋_GB2312" w:cs="仿宋_GB2312" w:eastAsia="仿宋_GB2312"/>
                <w:sz w:val="24"/>
              </w:rPr>
              <w:t>品等；以及服务类</w:t>
            </w:r>
            <w:r>
              <w:rPr>
                <w:rFonts w:ascii="仿宋_GB2312" w:hAnsi="仿宋_GB2312" w:cs="仿宋_GB2312" w:eastAsia="仿宋_GB2312"/>
                <w:sz w:val="24"/>
              </w:rPr>
              <w:t>消费精品</w:t>
            </w:r>
            <w:r>
              <w:rPr>
                <w:rFonts w:ascii="仿宋_GB2312" w:hAnsi="仿宋_GB2312" w:cs="仿宋_GB2312" w:eastAsia="仿宋_GB2312"/>
                <w:sz w:val="24"/>
              </w:rPr>
              <w:t>，如数字产品、医疗服务、教育服务等</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ind w:firstLine="482"/>
              <w:jc w:val="both"/>
            </w:pPr>
            <w:r>
              <w:rPr>
                <w:rFonts w:ascii="仿宋_GB2312" w:hAnsi="仿宋_GB2312" w:cs="仿宋_GB2312" w:eastAsia="仿宋_GB2312"/>
                <w:sz w:val="24"/>
                <w:b/>
              </w:rPr>
              <w:t>时间安排</w:t>
            </w:r>
          </w:p>
          <w:p>
            <w:pPr>
              <w:pStyle w:val="null3"/>
              <w:ind w:firstLine="480"/>
              <w:jc w:val="both"/>
            </w:pPr>
            <w:r>
              <w:rPr>
                <w:rFonts w:ascii="仿宋_GB2312" w:hAnsi="仿宋_GB2312" w:cs="仿宋_GB2312" w:eastAsia="仿宋_GB2312"/>
                <w:sz w:val="24"/>
              </w:rPr>
              <w:t>2月上旬，确定项目政府采购方案和经费预算，开展组展服务商竞争性谈判工作；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月</w:t>
            </w:r>
            <w:r>
              <w:rPr>
                <w:rFonts w:ascii="仿宋_GB2312" w:hAnsi="仿宋_GB2312" w:cs="仿宋_GB2312" w:eastAsia="仿宋_GB2312"/>
                <w:sz w:val="24"/>
              </w:rPr>
              <w:t>初</w:t>
            </w:r>
            <w:r>
              <w:rPr>
                <w:rFonts w:ascii="仿宋_GB2312" w:hAnsi="仿宋_GB2312" w:cs="仿宋_GB2312" w:eastAsia="仿宋_GB2312"/>
                <w:sz w:val="24"/>
              </w:rPr>
              <w:t>，</w:t>
            </w:r>
            <w:r>
              <w:rPr>
                <w:rFonts w:ascii="仿宋_GB2312" w:hAnsi="仿宋_GB2312" w:cs="仿宋_GB2312" w:eastAsia="仿宋_GB2312"/>
                <w:sz w:val="24"/>
              </w:rPr>
              <w:t>确定组展服务商。</w:t>
            </w:r>
          </w:p>
          <w:p>
            <w:pPr>
              <w:pStyle w:val="null3"/>
              <w:ind w:firstLine="480"/>
              <w:jc w:val="both"/>
            </w:pPr>
            <w:r>
              <w:rPr>
                <w:rFonts w:ascii="仿宋_GB2312" w:hAnsi="仿宋_GB2312" w:cs="仿宋_GB2312" w:eastAsia="仿宋_GB2312"/>
                <w:sz w:val="24"/>
              </w:rPr>
              <w:t>3月2日前，确定海南馆搭建工程监理服务供应商。</w:t>
            </w:r>
          </w:p>
          <w:p>
            <w:pPr>
              <w:pStyle w:val="null3"/>
              <w:ind w:firstLine="480"/>
              <w:jc w:val="both"/>
            </w:pPr>
            <w:r>
              <w:rPr>
                <w:rFonts w:ascii="仿宋_GB2312" w:hAnsi="仿宋_GB2312" w:cs="仿宋_GB2312" w:eastAsia="仿宋_GB2312"/>
                <w:sz w:val="24"/>
              </w:rPr>
              <w:t>3月4日前，向省领导汇报海南馆设计搭建方案及参展展品名录，根据省领导指示对设计方案完善定稿，完成海南馆展品信息录入。</w:t>
            </w:r>
          </w:p>
          <w:p>
            <w:pPr>
              <w:pStyle w:val="null3"/>
              <w:ind w:firstLine="480"/>
              <w:jc w:val="both"/>
            </w:pPr>
            <w:r>
              <w:rPr>
                <w:rFonts w:ascii="仿宋_GB2312" w:hAnsi="仿宋_GB2312" w:cs="仿宋_GB2312" w:eastAsia="仿宋_GB2312"/>
                <w:sz w:val="24"/>
              </w:rPr>
              <w:t>3月15日前，完成海南馆展品信息审核，将海南馆设计方案向消博会组委会报馆、图审。</w:t>
            </w:r>
          </w:p>
          <w:p>
            <w:pPr>
              <w:pStyle w:val="null3"/>
              <w:ind w:firstLine="480"/>
              <w:jc w:val="both"/>
            </w:pPr>
            <w:r>
              <w:rPr>
                <w:rFonts w:ascii="仿宋_GB2312" w:hAnsi="仿宋_GB2312" w:cs="仿宋_GB2312" w:eastAsia="仿宋_GB2312"/>
                <w:sz w:val="24"/>
              </w:rPr>
              <w:t>3月20日前，完成海南馆参展商动员及讲解员培训。</w:t>
            </w:r>
          </w:p>
          <w:p>
            <w:pPr>
              <w:pStyle w:val="null3"/>
              <w:ind w:firstLine="480"/>
              <w:jc w:val="both"/>
            </w:pPr>
            <w:r>
              <w:rPr>
                <w:rFonts w:ascii="仿宋_GB2312" w:hAnsi="仿宋_GB2312" w:cs="仿宋_GB2312" w:eastAsia="仿宋_GB2312"/>
                <w:sz w:val="24"/>
              </w:rPr>
              <w:t>4月2日前，完成海南馆搭建材料制作、测试。</w:t>
            </w:r>
          </w:p>
          <w:p>
            <w:pPr>
              <w:pStyle w:val="null3"/>
              <w:ind w:firstLine="480"/>
              <w:jc w:val="both"/>
            </w:pPr>
            <w:r>
              <w:rPr>
                <w:rFonts w:ascii="仿宋_GB2312" w:hAnsi="仿宋_GB2312" w:cs="仿宋_GB2312" w:eastAsia="仿宋_GB2312"/>
                <w:sz w:val="24"/>
              </w:rPr>
              <w:t>4月5日前，海南馆搭建施工材料运抵现场。</w:t>
            </w:r>
          </w:p>
          <w:p>
            <w:pPr>
              <w:pStyle w:val="null3"/>
              <w:ind w:firstLine="480"/>
              <w:jc w:val="both"/>
            </w:pPr>
            <w:r>
              <w:rPr>
                <w:rFonts w:ascii="仿宋_GB2312" w:hAnsi="仿宋_GB2312" w:cs="仿宋_GB2312" w:eastAsia="仿宋_GB2312"/>
                <w:sz w:val="24"/>
              </w:rPr>
              <w:t>4月6日，进场搭建施工。</w:t>
            </w:r>
          </w:p>
          <w:p>
            <w:pPr>
              <w:pStyle w:val="null3"/>
              <w:ind w:firstLine="480"/>
              <w:jc w:val="both"/>
            </w:pPr>
            <w:r>
              <w:rPr>
                <w:rFonts w:ascii="仿宋_GB2312" w:hAnsi="仿宋_GB2312" w:cs="仿宋_GB2312" w:eastAsia="仿宋_GB2312"/>
                <w:sz w:val="24"/>
              </w:rPr>
              <w:t>4月9日前，完成海南馆搭建。</w:t>
            </w:r>
          </w:p>
          <w:p>
            <w:pPr>
              <w:pStyle w:val="null3"/>
              <w:ind w:firstLine="480"/>
              <w:jc w:val="both"/>
            </w:pPr>
            <w:r>
              <w:rPr>
                <w:rFonts w:ascii="仿宋_GB2312" w:hAnsi="仿宋_GB2312" w:cs="仿宋_GB2312" w:eastAsia="仿宋_GB2312"/>
                <w:sz w:val="24"/>
              </w:rPr>
              <w:t>4月11日前，完成布展并做好开馆准备。</w:t>
            </w:r>
          </w:p>
          <w:p>
            <w:pPr>
              <w:pStyle w:val="null3"/>
              <w:ind w:firstLine="480"/>
              <w:jc w:val="both"/>
            </w:pPr>
            <w:r>
              <w:rPr>
                <w:rFonts w:ascii="仿宋_GB2312" w:hAnsi="仿宋_GB2312" w:cs="仿宋_GB2312" w:eastAsia="仿宋_GB2312"/>
                <w:sz w:val="24"/>
              </w:rPr>
              <w:t>4月12日，完成海南馆安全检查。</w:t>
            </w:r>
          </w:p>
          <w:p>
            <w:pPr>
              <w:pStyle w:val="null3"/>
              <w:ind w:firstLine="480"/>
              <w:jc w:val="both"/>
            </w:pPr>
            <w:r>
              <w:rPr>
                <w:rFonts w:ascii="仿宋_GB2312" w:hAnsi="仿宋_GB2312" w:cs="仿宋_GB2312" w:eastAsia="仿宋_GB2312"/>
                <w:sz w:val="24"/>
              </w:rPr>
              <w:t>4月13日至18日，正式展览。</w:t>
            </w:r>
          </w:p>
          <w:p>
            <w:pPr>
              <w:pStyle w:val="null3"/>
              <w:jc w:val="both"/>
            </w:pPr>
            <w:r>
              <w:rPr>
                <w:rFonts w:ascii="仿宋_GB2312" w:hAnsi="仿宋_GB2312" w:cs="仿宋_GB2312" w:eastAsia="仿宋_GB2312"/>
                <w:sz w:val="24"/>
              </w:rPr>
              <w:t>4月19日前，完成撤展。</w:t>
            </w:r>
          </w:p>
          <w:p>
            <w:pPr>
              <w:pStyle w:val="null3"/>
              <w:jc w:val="both"/>
            </w:pP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ind w:firstLine="482"/>
              <w:jc w:val="both"/>
            </w:pPr>
            <w:r>
              <w:rPr>
                <w:rFonts w:ascii="仿宋_GB2312" w:hAnsi="仿宋_GB2312" w:cs="仿宋_GB2312" w:eastAsia="仿宋_GB2312"/>
                <w:sz w:val="24"/>
                <w:b/>
              </w:rPr>
              <w:t>组织单位</w:t>
            </w:r>
          </w:p>
          <w:p>
            <w:pPr>
              <w:pStyle w:val="null3"/>
              <w:ind w:firstLine="480"/>
              <w:jc w:val="both"/>
            </w:pPr>
            <w:r>
              <w:rPr>
                <w:rFonts w:ascii="仿宋_GB2312" w:hAnsi="仿宋_GB2312" w:cs="仿宋_GB2312" w:eastAsia="仿宋_GB2312"/>
                <w:sz w:val="24"/>
              </w:rPr>
              <w:t>主办单位：省商务厅。</w:t>
            </w:r>
          </w:p>
          <w:p>
            <w:pPr>
              <w:pStyle w:val="null3"/>
              <w:ind w:firstLine="480"/>
              <w:jc w:val="both"/>
            </w:pPr>
            <w:r>
              <w:rPr>
                <w:rFonts w:ascii="仿宋_GB2312" w:hAnsi="仿宋_GB2312" w:cs="仿宋_GB2312" w:eastAsia="仿宋_GB2312"/>
                <w:sz w:val="24"/>
              </w:rPr>
              <w:t>协办单位：省市场监督管理局、</w:t>
            </w:r>
            <w:r>
              <w:rPr>
                <w:rFonts w:ascii="仿宋_GB2312" w:hAnsi="仿宋_GB2312" w:cs="仿宋_GB2312" w:eastAsia="仿宋_GB2312"/>
                <w:sz w:val="24"/>
              </w:rPr>
              <w:t>省知识产权局</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组展服务商</w:t>
            </w:r>
            <w:r>
              <w:rPr>
                <w:rFonts w:ascii="仿宋_GB2312" w:hAnsi="仿宋_GB2312" w:cs="仿宋_GB2312" w:eastAsia="仿宋_GB2312"/>
                <w:sz w:val="24"/>
              </w:rPr>
              <w:t>：通过此次</w:t>
            </w:r>
            <w:r>
              <w:rPr>
                <w:rFonts w:ascii="仿宋_GB2312" w:hAnsi="仿宋_GB2312" w:cs="仿宋_GB2312" w:eastAsia="仿宋_GB2312"/>
                <w:sz w:val="24"/>
              </w:rPr>
              <w:t>竞争性谈判</w:t>
            </w:r>
            <w:r>
              <w:rPr>
                <w:rFonts w:ascii="仿宋_GB2312" w:hAnsi="仿宋_GB2312" w:cs="仿宋_GB2312" w:eastAsia="仿宋_GB2312"/>
                <w:sz w:val="24"/>
              </w:rPr>
              <w:t>产生。</w:t>
            </w:r>
          </w:p>
          <w:p>
            <w:pPr>
              <w:pStyle w:val="null3"/>
              <w:jc w:val="both"/>
            </w:pPr>
            <w:r>
              <w:rPr>
                <w:rFonts w:ascii="仿宋_GB2312" w:hAnsi="仿宋_GB2312" w:cs="仿宋_GB2312" w:eastAsia="仿宋_GB2312"/>
                <w:sz w:val="24"/>
              </w:rPr>
              <w:t>项目监理单位：另外其它方式产生。</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ind w:firstLine="482"/>
              <w:jc w:val="both"/>
            </w:pPr>
            <w:r>
              <w:rPr>
                <w:rFonts w:ascii="仿宋_GB2312" w:hAnsi="仿宋_GB2312" w:cs="仿宋_GB2312" w:eastAsia="仿宋_GB2312"/>
                <w:sz w:val="24"/>
                <w:b/>
              </w:rPr>
              <w:t>工作分工</w:t>
            </w:r>
          </w:p>
          <w:p>
            <w:pPr>
              <w:pStyle w:val="null3"/>
              <w:ind w:firstLine="480"/>
              <w:jc w:val="both"/>
            </w:pPr>
            <w:r>
              <w:rPr>
                <w:rFonts w:ascii="仿宋_GB2312" w:hAnsi="仿宋_GB2312" w:cs="仿宋_GB2312" w:eastAsia="仿宋_GB2312"/>
                <w:sz w:val="24"/>
              </w:rPr>
              <w:t>（一）省商务厅：负责</w:t>
            </w:r>
            <w:r>
              <w:rPr>
                <w:rFonts w:ascii="仿宋_GB2312" w:hAnsi="仿宋_GB2312" w:cs="仿宋_GB2312" w:eastAsia="仿宋_GB2312"/>
                <w:sz w:val="24"/>
              </w:rPr>
              <w:t>项目</w:t>
            </w:r>
            <w:r>
              <w:rPr>
                <w:rFonts w:ascii="仿宋_GB2312" w:hAnsi="仿宋_GB2312" w:cs="仿宋_GB2312" w:eastAsia="仿宋_GB2312"/>
                <w:sz w:val="24"/>
              </w:rPr>
              <w:t>总体策划和组织，制定工作方案，统筹推动工作落实；组织省内企业</w:t>
            </w:r>
            <w:r>
              <w:rPr>
                <w:rFonts w:ascii="仿宋_GB2312" w:hAnsi="仿宋_GB2312" w:cs="仿宋_GB2312" w:eastAsia="仿宋_GB2312"/>
                <w:sz w:val="24"/>
              </w:rPr>
              <w:t>参加海南馆展览展示，协助海南馆参展商进行采购对接</w:t>
            </w:r>
            <w:r>
              <w:rPr>
                <w:rFonts w:ascii="仿宋_GB2312" w:hAnsi="仿宋_GB2312" w:cs="仿宋_GB2312" w:eastAsia="仿宋_GB2312"/>
                <w:sz w:val="24"/>
              </w:rPr>
              <w:t>；通过</w:t>
            </w:r>
            <w:r>
              <w:rPr>
                <w:rFonts w:ascii="仿宋_GB2312" w:hAnsi="仿宋_GB2312" w:cs="仿宋_GB2312" w:eastAsia="仿宋_GB2312"/>
                <w:sz w:val="24"/>
              </w:rPr>
              <w:t>竞争性谈判</w:t>
            </w:r>
            <w:r>
              <w:rPr>
                <w:rFonts w:ascii="仿宋_GB2312" w:hAnsi="仿宋_GB2312" w:cs="仿宋_GB2312" w:eastAsia="仿宋_GB2312"/>
                <w:sz w:val="24"/>
              </w:rPr>
              <w:t>方式</w:t>
            </w:r>
            <w:r>
              <w:rPr>
                <w:rFonts w:ascii="仿宋_GB2312" w:hAnsi="仿宋_GB2312" w:cs="仿宋_GB2312" w:eastAsia="仿宋_GB2312"/>
                <w:sz w:val="24"/>
              </w:rPr>
              <w:t>选取海南馆组展服务商</w:t>
            </w:r>
            <w:r>
              <w:rPr>
                <w:rFonts w:ascii="仿宋_GB2312" w:hAnsi="仿宋_GB2312" w:cs="仿宋_GB2312" w:eastAsia="仿宋_GB2312"/>
                <w:sz w:val="24"/>
              </w:rPr>
              <w:t>；协调有关部门，为</w:t>
            </w:r>
            <w:r>
              <w:rPr>
                <w:rFonts w:ascii="仿宋_GB2312" w:hAnsi="仿宋_GB2312" w:cs="仿宋_GB2312" w:eastAsia="仿宋_GB2312"/>
                <w:sz w:val="24"/>
              </w:rPr>
              <w:t>项目</w:t>
            </w:r>
            <w:r>
              <w:rPr>
                <w:rFonts w:ascii="仿宋_GB2312" w:hAnsi="仿宋_GB2312" w:cs="仿宋_GB2312" w:eastAsia="仿宋_GB2312"/>
                <w:sz w:val="24"/>
              </w:rPr>
              <w:t>提供必要保障。</w:t>
            </w:r>
          </w:p>
          <w:p>
            <w:pPr>
              <w:pStyle w:val="null3"/>
              <w:jc w:val="both"/>
            </w:pPr>
            <w:r>
              <w:rPr>
                <w:rFonts w:ascii="仿宋_GB2312" w:hAnsi="仿宋_GB2312" w:cs="仿宋_GB2312" w:eastAsia="仿宋_GB2312"/>
                <w:sz w:val="24"/>
              </w:rPr>
              <w:t>（二）协办单位：</w:t>
            </w:r>
            <w:r>
              <w:rPr>
                <w:rFonts w:ascii="仿宋_GB2312" w:hAnsi="仿宋_GB2312" w:cs="仿宋_GB2312" w:eastAsia="仿宋_GB2312"/>
                <w:sz w:val="24"/>
              </w:rPr>
              <w:t>省知识产权局</w:t>
            </w:r>
            <w:r>
              <w:rPr>
                <w:rFonts w:ascii="仿宋_GB2312" w:hAnsi="仿宋_GB2312" w:cs="仿宋_GB2312" w:eastAsia="仿宋_GB2312"/>
                <w:sz w:val="24"/>
              </w:rPr>
              <w:t>协助做好</w:t>
            </w:r>
            <w:r>
              <w:rPr>
                <w:rFonts w:ascii="仿宋_GB2312" w:hAnsi="仿宋_GB2312" w:cs="仿宋_GB2312" w:eastAsia="仿宋_GB2312"/>
                <w:sz w:val="24"/>
              </w:rPr>
              <w:t>海南馆展品的知识产权保护审查，</w:t>
            </w:r>
            <w:r>
              <w:rPr>
                <w:rFonts w:ascii="仿宋_GB2312" w:hAnsi="仿宋_GB2312" w:cs="仿宋_GB2312" w:eastAsia="仿宋_GB2312"/>
                <w:sz w:val="24"/>
              </w:rPr>
              <w:t>省市场监督管理局协助做好</w:t>
            </w:r>
            <w:r>
              <w:rPr>
                <w:rFonts w:ascii="仿宋_GB2312" w:hAnsi="仿宋_GB2312" w:cs="仿宋_GB2312" w:eastAsia="仿宋_GB2312"/>
                <w:sz w:val="24"/>
              </w:rPr>
              <w:t>海南馆</w:t>
            </w:r>
            <w:r>
              <w:rPr>
                <w:rFonts w:ascii="仿宋_GB2312" w:hAnsi="仿宋_GB2312" w:cs="仿宋_GB2312" w:eastAsia="仿宋_GB2312"/>
                <w:sz w:val="24"/>
              </w:rPr>
              <w:t>参展商品的</w:t>
            </w:r>
            <w:r>
              <w:rPr>
                <w:rFonts w:ascii="仿宋_GB2312" w:hAnsi="仿宋_GB2312" w:cs="仿宋_GB2312" w:eastAsia="仿宋_GB2312"/>
                <w:sz w:val="24"/>
              </w:rPr>
              <w:t>广告宣传和展品</w:t>
            </w:r>
            <w:r>
              <w:rPr>
                <w:rFonts w:ascii="仿宋_GB2312" w:hAnsi="仿宋_GB2312" w:cs="仿宋_GB2312" w:eastAsia="仿宋_GB2312"/>
                <w:sz w:val="24"/>
              </w:rPr>
              <w:t>质量抽检，对质量不合格产品</w:t>
            </w:r>
            <w:r>
              <w:rPr>
                <w:rFonts w:ascii="仿宋_GB2312" w:hAnsi="仿宋_GB2312" w:cs="仿宋_GB2312" w:eastAsia="仿宋_GB2312"/>
                <w:sz w:val="24"/>
              </w:rPr>
              <w:t>以及存在违法广告宣传的行为</w:t>
            </w:r>
            <w:r>
              <w:rPr>
                <w:rFonts w:ascii="仿宋_GB2312" w:hAnsi="仿宋_GB2312" w:cs="仿宋_GB2312" w:eastAsia="仿宋_GB2312"/>
                <w:sz w:val="24"/>
              </w:rPr>
              <w:t>依法进行处理。</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b/>
              </w:rPr>
              <w:t>工作分工</w:t>
            </w:r>
          </w:p>
          <w:p>
            <w:pPr>
              <w:pStyle w:val="null3"/>
              <w:ind w:firstLine="480"/>
              <w:jc w:val="both"/>
            </w:pPr>
            <w:r>
              <w:rPr>
                <w:rFonts w:ascii="仿宋_GB2312" w:hAnsi="仿宋_GB2312" w:cs="仿宋_GB2312" w:eastAsia="仿宋_GB2312"/>
                <w:sz w:val="24"/>
              </w:rPr>
              <w:t>（三）</w:t>
            </w:r>
            <w:r>
              <w:rPr>
                <w:rFonts w:ascii="仿宋_GB2312" w:hAnsi="仿宋_GB2312" w:cs="仿宋_GB2312" w:eastAsia="仿宋_GB2312"/>
                <w:sz w:val="24"/>
              </w:rPr>
              <w:t>组展服务商</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供应商承办</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第</w:t>
            </w:r>
            <w:r>
              <w:rPr>
                <w:rFonts w:ascii="仿宋_GB2312" w:hAnsi="仿宋_GB2312" w:cs="仿宋_GB2312" w:eastAsia="仿宋_GB2312"/>
                <w:sz w:val="24"/>
              </w:rPr>
              <w:t>五</w:t>
            </w:r>
            <w:r>
              <w:rPr>
                <w:rFonts w:ascii="仿宋_GB2312" w:hAnsi="仿宋_GB2312" w:cs="仿宋_GB2312" w:eastAsia="仿宋_GB2312"/>
                <w:sz w:val="24"/>
              </w:rPr>
              <w:t>届中国国际消费品博览会海南馆具体工作，</w:t>
            </w:r>
            <w:r>
              <w:rPr>
                <w:rFonts w:ascii="仿宋_GB2312" w:hAnsi="仿宋_GB2312" w:cs="仿宋_GB2312" w:eastAsia="仿宋_GB2312"/>
                <w:sz w:val="24"/>
              </w:rPr>
              <w:t>在省商务厅的监督、指导下，</w:t>
            </w:r>
            <w:r>
              <w:rPr>
                <w:rFonts w:ascii="仿宋_GB2312" w:hAnsi="仿宋_GB2312" w:cs="仿宋_GB2312" w:eastAsia="仿宋_GB2312"/>
                <w:sz w:val="24"/>
              </w:rPr>
              <w:t>负责与省内</w:t>
            </w:r>
            <w:r>
              <w:rPr>
                <w:rFonts w:ascii="仿宋_GB2312" w:hAnsi="仿宋_GB2312" w:cs="仿宋_GB2312" w:eastAsia="仿宋_GB2312"/>
                <w:sz w:val="24"/>
              </w:rPr>
              <w:t>参展企业对接组织展品参展；设计</w:t>
            </w:r>
            <w:r>
              <w:rPr>
                <w:rFonts w:ascii="仿宋_GB2312" w:hAnsi="仿宋_GB2312" w:cs="仿宋_GB2312" w:eastAsia="仿宋_GB2312"/>
                <w:sz w:val="24"/>
              </w:rPr>
              <w:t>搭建</w:t>
            </w:r>
            <w:r>
              <w:rPr>
                <w:rFonts w:ascii="仿宋_GB2312" w:hAnsi="仿宋_GB2312" w:cs="仿宋_GB2312" w:eastAsia="仿宋_GB2312"/>
                <w:sz w:val="24"/>
              </w:rPr>
              <w:t>及拆除海南馆</w:t>
            </w:r>
            <w:r>
              <w:rPr>
                <w:rFonts w:ascii="仿宋_GB2312" w:hAnsi="仿宋_GB2312" w:cs="仿宋_GB2312" w:eastAsia="仿宋_GB2312"/>
                <w:sz w:val="24"/>
              </w:rPr>
              <w:t>展台展位</w:t>
            </w:r>
            <w:r>
              <w:rPr>
                <w:rFonts w:ascii="仿宋_GB2312" w:hAnsi="仿宋_GB2312" w:cs="仿宋_GB2312" w:eastAsia="仿宋_GB2312"/>
                <w:sz w:val="24"/>
              </w:rPr>
              <w:t>、</w:t>
            </w:r>
            <w:r>
              <w:rPr>
                <w:rFonts w:ascii="仿宋_GB2312" w:hAnsi="仿宋_GB2312" w:cs="仿宋_GB2312" w:eastAsia="仿宋_GB2312"/>
                <w:sz w:val="24"/>
              </w:rPr>
              <w:t>展品发布会的展台搭建、灯光、音响、视频播放、场控等</w:t>
            </w:r>
            <w:r>
              <w:rPr>
                <w:rFonts w:ascii="仿宋_GB2312" w:hAnsi="仿宋_GB2312" w:cs="仿宋_GB2312" w:eastAsia="仿宋_GB2312"/>
                <w:sz w:val="24"/>
              </w:rPr>
              <w:t>；做好</w:t>
            </w:r>
            <w:r>
              <w:rPr>
                <w:rFonts w:ascii="仿宋_GB2312" w:hAnsi="仿宋_GB2312" w:cs="仿宋_GB2312" w:eastAsia="仿宋_GB2312"/>
                <w:sz w:val="24"/>
              </w:rPr>
              <w:t>海南馆的环境卫生、</w:t>
            </w:r>
            <w:r>
              <w:rPr>
                <w:rFonts w:ascii="仿宋_GB2312" w:hAnsi="仿宋_GB2312" w:cs="仿宋_GB2312" w:eastAsia="仿宋_GB2312"/>
                <w:sz w:val="24"/>
              </w:rPr>
              <w:t>现场执行、安全保障等会务</w:t>
            </w:r>
            <w:r>
              <w:rPr>
                <w:rFonts w:ascii="仿宋_GB2312" w:hAnsi="仿宋_GB2312" w:cs="仿宋_GB2312" w:eastAsia="仿宋_GB2312"/>
                <w:sz w:val="24"/>
              </w:rPr>
              <w:t>服务</w:t>
            </w:r>
            <w:r>
              <w:rPr>
                <w:rFonts w:ascii="仿宋_GB2312" w:hAnsi="仿宋_GB2312" w:cs="仿宋_GB2312" w:eastAsia="仿宋_GB2312"/>
                <w:sz w:val="24"/>
              </w:rPr>
              <w:t>工作。</w:t>
            </w:r>
          </w:p>
          <w:p>
            <w:pPr>
              <w:pStyle w:val="null3"/>
              <w:numPr>
                <w:ilvl w:val="0"/>
                <w:numId w:val="1"/>
              </w:numPr>
              <w:jc w:val="both"/>
            </w:pPr>
            <w:r>
              <w:rPr>
                <w:rFonts w:ascii="仿宋_GB2312" w:hAnsi="仿宋_GB2312" w:cs="仿宋_GB2312" w:eastAsia="仿宋_GB2312"/>
                <w:sz w:val="24"/>
              </w:rPr>
              <w:t>项目</w:t>
            </w:r>
            <w:r>
              <w:rPr>
                <w:rFonts w:ascii="仿宋_GB2312" w:hAnsi="仿宋_GB2312" w:cs="仿宋_GB2312" w:eastAsia="仿宋_GB2312"/>
                <w:sz w:val="24"/>
              </w:rPr>
              <w:t>验收：</w:t>
            </w:r>
            <w:r>
              <w:rPr>
                <w:rFonts w:ascii="仿宋_GB2312" w:hAnsi="仿宋_GB2312" w:cs="仿宋_GB2312" w:eastAsia="仿宋_GB2312"/>
                <w:sz w:val="24"/>
              </w:rPr>
              <w:t>展览</w:t>
            </w:r>
            <w:r>
              <w:rPr>
                <w:rFonts w:ascii="仿宋_GB2312" w:hAnsi="仿宋_GB2312" w:cs="仿宋_GB2312" w:eastAsia="仿宋_GB2312"/>
                <w:sz w:val="24"/>
              </w:rPr>
              <w:t>结束后，供应商</w:t>
            </w:r>
            <w:r>
              <w:rPr>
                <w:rFonts w:ascii="仿宋_GB2312" w:hAnsi="仿宋_GB2312" w:cs="仿宋_GB2312" w:eastAsia="仿宋_GB2312"/>
                <w:sz w:val="24"/>
              </w:rPr>
              <w:t>应</w:t>
            </w:r>
            <w:r>
              <w:rPr>
                <w:rFonts w:ascii="仿宋_GB2312" w:hAnsi="仿宋_GB2312" w:cs="仿宋_GB2312" w:eastAsia="仿宋_GB2312"/>
                <w:sz w:val="24"/>
              </w:rPr>
              <w:t>做</w:t>
            </w:r>
            <w:r>
              <w:rPr>
                <w:rFonts w:ascii="仿宋_GB2312" w:hAnsi="仿宋_GB2312" w:cs="仿宋_GB2312" w:eastAsia="仿宋_GB2312"/>
                <w:sz w:val="24"/>
              </w:rPr>
              <w:t>好</w:t>
            </w:r>
            <w:r>
              <w:rPr>
                <w:rFonts w:ascii="仿宋_GB2312" w:hAnsi="仿宋_GB2312" w:cs="仿宋_GB2312" w:eastAsia="仿宋_GB2312"/>
                <w:sz w:val="24"/>
              </w:rPr>
              <w:t>相关</w:t>
            </w:r>
            <w:r>
              <w:rPr>
                <w:rFonts w:ascii="仿宋_GB2312" w:hAnsi="仿宋_GB2312" w:cs="仿宋_GB2312" w:eastAsia="仿宋_GB2312"/>
                <w:sz w:val="24"/>
              </w:rPr>
              <w:t>验收材料的准备工作</w:t>
            </w:r>
            <w:r>
              <w:rPr>
                <w:rFonts w:ascii="仿宋_GB2312" w:hAnsi="仿宋_GB2312" w:cs="仿宋_GB2312" w:eastAsia="仿宋_GB2312"/>
                <w:sz w:val="24"/>
              </w:rPr>
              <w:t>（包含</w:t>
            </w:r>
            <w:r>
              <w:rPr>
                <w:rFonts w:ascii="仿宋_GB2312" w:hAnsi="仿宋_GB2312" w:cs="仿宋_GB2312" w:eastAsia="仿宋_GB2312"/>
                <w:sz w:val="24"/>
              </w:rPr>
              <w:t>但不限于</w:t>
            </w:r>
            <w:r>
              <w:rPr>
                <w:rFonts w:ascii="仿宋_GB2312" w:hAnsi="仿宋_GB2312" w:cs="仿宋_GB2312" w:eastAsia="仿宋_GB2312"/>
                <w:sz w:val="24"/>
              </w:rPr>
              <w:t>展品目录清单、海南馆设计效果图、施工图及竣工图</w:t>
            </w:r>
            <w:r>
              <w:rPr>
                <w:rFonts w:ascii="仿宋_GB2312" w:hAnsi="仿宋_GB2312" w:cs="仿宋_GB2312" w:eastAsia="仿宋_GB2312"/>
                <w:sz w:val="24"/>
              </w:rPr>
              <w:t>、</w:t>
            </w:r>
            <w:r>
              <w:rPr>
                <w:rFonts w:ascii="仿宋_GB2312" w:hAnsi="仿宋_GB2312" w:cs="仿宋_GB2312" w:eastAsia="仿宋_GB2312"/>
                <w:sz w:val="24"/>
              </w:rPr>
              <w:t>布展完毕开馆前的海南馆整体图片及视频资料、展</w:t>
            </w:r>
            <w:r>
              <w:rPr>
                <w:rFonts w:ascii="仿宋_GB2312" w:hAnsi="仿宋_GB2312" w:cs="仿宋_GB2312" w:eastAsia="仿宋_GB2312"/>
                <w:sz w:val="24"/>
              </w:rPr>
              <w:t>期图片及</w:t>
            </w:r>
            <w:r>
              <w:rPr>
                <w:rFonts w:ascii="仿宋_GB2312" w:hAnsi="仿宋_GB2312" w:cs="仿宋_GB2312" w:eastAsia="仿宋_GB2312"/>
                <w:sz w:val="24"/>
              </w:rPr>
              <w:t>视</w:t>
            </w:r>
            <w:r>
              <w:rPr>
                <w:rFonts w:ascii="仿宋_GB2312" w:hAnsi="仿宋_GB2312" w:cs="仿宋_GB2312" w:eastAsia="仿宋_GB2312"/>
                <w:sz w:val="24"/>
              </w:rPr>
              <w:t>频资料</w:t>
            </w:r>
            <w:r>
              <w:rPr>
                <w:rFonts w:ascii="仿宋_GB2312" w:hAnsi="仿宋_GB2312" w:cs="仿宋_GB2312" w:eastAsia="仿宋_GB2312"/>
                <w:sz w:val="24"/>
              </w:rPr>
              <w:t>等</w:t>
            </w:r>
            <w:r>
              <w:rPr>
                <w:rFonts w:ascii="仿宋_GB2312" w:hAnsi="仿宋_GB2312" w:cs="仿宋_GB2312" w:eastAsia="仿宋_GB2312"/>
                <w:sz w:val="24"/>
              </w:rPr>
              <w:t>）</w:t>
            </w:r>
            <w:r>
              <w:rPr>
                <w:rFonts w:ascii="仿宋_GB2312" w:hAnsi="仿宋_GB2312" w:cs="仿宋_GB2312" w:eastAsia="仿宋_GB2312"/>
                <w:sz w:val="24"/>
              </w:rPr>
              <w:t>，并向</w:t>
            </w:r>
            <w:r>
              <w:rPr>
                <w:rFonts w:ascii="仿宋_GB2312" w:hAnsi="仿宋_GB2312" w:cs="仿宋_GB2312" w:eastAsia="仿宋_GB2312"/>
                <w:sz w:val="24"/>
              </w:rPr>
              <w:t>采购人提交</w:t>
            </w:r>
            <w:r>
              <w:rPr>
                <w:rFonts w:ascii="仿宋_GB2312" w:hAnsi="仿宋_GB2312" w:cs="仿宋_GB2312" w:eastAsia="仿宋_GB2312"/>
                <w:sz w:val="24"/>
              </w:rPr>
              <w:t>布展质量效果验收报告和</w:t>
            </w:r>
            <w:r>
              <w:rPr>
                <w:rFonts w:ascii="仿宋_GB2312" w:hAnsi="仿宋_GB2312" w:cs="仿宋_GB2312" w:eastAsia="仿宋_GB2312"/>
                <w:sz w:val="24"/>
              </w:rPr>
              <w:t>费用结算报告。</w:t>
            </w:r>
            <w:r>
              <w:rPr>
                <w:rFonts w:ascii="仿宋_GB2312" w:hAnsi="仿宋_GB2312" w:cs="仿宋_GB2312" w:eastAsia="仿宋_GB2312"/>
                <w:sz w:val="24"/>
              </w:rPr>
              <w:t>以</w:t>
            </w:r>
            <w:r>
              <w:rPr>
                <w:rFonts w:ascii="仿宋_GB2312" w:hAnsi="仿宋_GB2312" w:cs="仿宋_GB2312" w:eastAsia="仿宋_GB2312"/>
                <w:sz w:val="24"/>
              </w:rPr>
              <w:t>上材料</w:t>
            </w:r>
            <w:r>
              <w:rPr>
                <w:rFonts w:ascii="仿宋_GB2312" w:hAnsi="仿宋_GB2312" w:cs="仿宋_GB2312" w:eastAsia="仿宋_GB2312"/>
                <w:sz w:val="24"/>
              </w:rPr>
              <w:t>需</w:t>
            </w:r>
            <w:r>
              <w:rPr>
                <w:rFonts w:ascii="仿宋_GB2312" w:hAnsi="仿宋_GB2312" w:cs="仿宋_GB2312" w:eastAsia="仿宋_GB2312"/>
                <w:sz w:val="24"/>
              </w:rPr>
              <w:t>装订成册</w:t>
            </w:r>
            <w:r>
              <w:rPr>
                <w:rFonts w:ascii="仿宋_GB2312" w:hAnsi="仿宋_GB2312" w:cs="仿宋_GB2312" w:eastAsia="仿宋_GB2312"/>
                <w:sz w:val="24"/>
              </w:rPr>
              <w:t>（一式三份）。</w:t>
            </w:r>
          </w:p>
          <w:p>
            <w:pPr>
              <w:pStyle w:val="null3"/>
              <w:jc w:val="both"/>
            </w:pP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b/>
              </w:rPr>
              <w:t>工作分工</w:t>
            </w:r>
          </w:p>
          <w:p>
            <w:pPr>
              <w:pStyle w:val="null3"/>
              <w:jc w:val="both"/>
            </w:pPr>
            <w:r>
              <w:rPr>
                <w:rFonts w:ascii="仿宋_GB2312" w:hAnsi="仿宋_GB2312" w:cs="仿宋_GB2312" w:eastAsia="仿宋_GB2312"/>
                <w:sz w:val="24"/>
              </w:rPr>
              <w:t>（四）</w:t>
            </w:r>
            <w:r>
              <w:rPr>
                <w:rFonts w:ascii="仿宋_GB2312" w:hAnsi="仿宋_GB2312" w:cs="仿宋_GB2312" w:eastAsia="仿宋_GB2312"/>
                <w:sz w:val="24"/>
              </w:rPr>
              <w:t>项目监理单位：负责监督海南馆搭建、拆除工程按图安全施工，确保施工质量和安全生产；做好项目质量验收，出具工程质量监理评估报告。</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b/>
              </w:rPr>
              <w:t>相关要求</w:t>
            </w:r>
          </w:p>
          <w:p>
            <w:pPr>
              <w:pStyle w:val="null3"/>
              <w:ind w:firstLine="480"/>
              <w:jc w:val="both"/>
            </w:pPr>
            <w:r>
              <w:rPr>
                <w:rFonts w:ascii="仿宋_GB2312" w:hAnsi="仿宋_GB2312" w:cs="仿宋_GB2312" w:eastAsia="仿宋_GB2312"/>
                <w:sz w:val="24"/>
              </w:rPr>
              <w:t>1.供应商针对</w:t>
            </w:r>
            <w:r>
              <w:rPr>
                <w:rFonts w:ascii="仿宋_GB2312" w:hAnsi="仿宋_GB2312" w:cs="仿宋_GB2312" w:eastAsia="仿宋_GB2312"/>
                <w:sz w:val="24"/>
              </w:rPr>
              <w:t>展品组织、展馆设计搭建、展馆现场服务等项目</w:t>
            </w:r>
            <w:r>
              <w:rPr>
                <w:rFonts w:ascii="仿宋_GB2312" w:hAnsi="仿宋_GB2312" w:cs="仿宋_GB2312" w:eastAsia="仿宋_GB2312"/>
                <w:sz w:val="24"/>
              </w:rPr>
              <w:t>内容提供详细的</w:t>
            </w:r>
            <w:r>
              <w:rPr>
                <w:rFonts w:ascii="仿宋_GB2312" w:hAnsi="仿宋_GB2312" w:cs="仿宋_GB2312" w:eastAsia="仿宋_GB2312"/>
                <w:sz w:val="24"/>
              </w:rPr>
              <w:t>工作</w:t>
            </w:r>
            <w:r>
              <w:rPr>
                <w:rFonts w:ascii="仿宋_GB2312" w:hAnsi="仿宋_GB2312" w:cs="仿宋_GB2312" w:eastAsia="仿宋_GB2312"/>
                <w:sz w:val="24"/>
              </w:rPr>
              <w:t>实施方案，包括但不限于本地企业及商品信息收集汇总，</w:t>
            </w:r>
            <w:r>
              <w:rPr>
                <w:rFonts w:ascii="仿宋_GB2312" w:hAnsi="仿宋_GB2312" w:cs="仿宋_GB2312" w:eastAsia="仿宋_GB2312"/>
                <w:sz w:val="24"/>
              </w:rPr>
              <w:t>参展</w:t>
            </w:r>
            <w:r>
              <w:rPr>
                <w:rFonts w:ascii="仿宋_GB2312" w:hAnsi="仿宋_GB2312" w:cs="仿宋_GB2312" w:eastAsia="仿宋_GB2312"/>
                <w:sz w:val="24"/>
              </w:rPr>
              <w:t>企业</w:t>
            </w:r>
            <w:r>
              <w:rPr>
                <w:rFonts w:ascii="仿宋_GB2312" w:hAnsi="仿宋_GB2312" w:cs="仿宋_GB2312" w:eastAsia="仿宋_GB2312"/>
                <w:sz w:val="24"/>
              </w:rPr>
              <w:t>展期成交</w:t>
            </w:r>
            <w:r>
              <w:rPr>
                <w:rFonts w:ascii="仿宋_GB2312" w:hAnsi="仿宋_GB2312" w:cs="仿宋_GB2312" w:eastAsia="仿宋_GB2312"/>
                <w:sz w:val="24"/>
              </w:rPr>
              <w:t>信息收集汇总，会务组织等方面的实施方案。</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现场踏勘：本项目不统一安排现场踏勘，由供应商自行前往踏勘，相关费用由供应商自付。供应商</w:t>
            </w:r>
            <w:r>
              <w:rPr>
                <w:rFonts w:ascii="仿宋_GB2312" w:hAnsi="仿宋_GB2312" w:cs="仿宋_GB2312" w:eastAsia="仿宋_GB2312"/>
                <w:sz w:val="24"/>
              </w:rPr>
              <w:t>需根据现场情况提供项目</w:t>
            </w:r>
            <w:r>
              <w:rPr>
                <w:rFonts w:ascii="仿宋_GB2312" w:hAnsi="仿宋_GB2312" w:cs="仿宋_GB2312" w:eastAsia="仿宋_GB2312"/>
                <w:sz w:val="24"/>
              </w:rPr>
              <w:t>组展工作</w:t>
            </w:r>
            <w:r>
              <w:rPr>
                <w:rFonts w:ascii="仿宋_GB2312" w:hAnsi="仿宋_GB2312" w:cs="仿宋_GB2312" w:eastAsia="仿宋_GB2312"/>
                <w:sz w:val="24"/>
              </w:rPr>
              <w:t>方案、展馆设计及施工组织方案以供谈判时评比。</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b/>
              </w:rPr>
              <w:t>对供应商企业实力及团队要求</w:t>
            </w:r>
          </w:p>
          <w:p>
            <w:pPr>
              <w:pStyle w:val="null3"/>
              <w:jc w:val="both"/>
            </w:pPr>
            <w:r>
              <w:rPr>
                <w:rFonts w:ascii="仿宋_GB2312" w:hAnsi="仿宋_GB2312" w:cs="仿宋_GB2312" w:eastAsia="仿宋_GB2312"/>
                <w:sz w:val="24"/>
              </w:rPr>
              <w:t>本项目中需有</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展品对接组、</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现场活动服务组、</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设计搭建组等具体团队人员安排，为确保项目顺利安全进行，以上每个小组人员需在</w:t>
            </w:r>
            <w:r>
              <w:rPr>
                <w:rFonts w:ascii="仿宋_GB2312" w:hAnsi="仿宋_GB2312" w:cs="仿宋_GB2312" w:eastAsia="仿宋_GB2312"/>
                <w:sz w:val="24"/>
                <w:b/>
              </w:rPr>
              <w:t>3</w:t>
            </w:r>
            <w:r>
              <w:rPr>
                <w:rFonts w:ascii="仿宋_GB2312" w:hAnsi="仿宋_GB2312" w:cs="仿宋_GB2312" w:eastAsia="仿宋_GB2312"/>
                <w:sz w:val="24"/>
              </w:rPr>
              <w:t>人及以上</w:t>
            </w:r>
            <w:r>
              <w:rPr>
                <w:rFonts w:ascii="仿宋_GB2312" w:hAnsi="仿宋_GB2312" w:cs="仿宋_GB2312" w:eastAsia="仿宋_GB2312"/>
                <w:sz w:val="24"/>
              </w:rPr>
              <w:t>，合计不少于</w:t>
            </w:r>
            <w:r>
              <w:rPr>
                <w:rFonts w:ascii="仿宋_GB2312" w:hAnsi="仿宋_GB2312" w:cs="仿宋_GB2312" w:eastAsia="仿宋_GB2312"/>
                <w:sz w:val="24"/>
              </w:rPr>
              <w:t>9人。</w:t>
            </w:r>
            <w:r>
              <w:rPr>
                <w:rFonts w:ascii="仿宋_GB2312" w:hAnsi="仿宋_GB2312" w:cs="仿宋_GB2312" w:eastAsia="仿宋_GB2312"/>
                <w:sz w:val="24"/>
              </w:rPr>
              <w:t>（谈判时提供供应商为以上人员2024年</w:t>
            </w:r>
            <w:r>
              <w:rPr>
                <w:rFonts w:ascii="仿宋_GB2312" w:hAnsi="仿宋_GB2312" w:cs="仿宋_GB2312" w:eastAsia="仿宋_GB2312"/>
                <w:sz w:val="24"/>
              </w:rPr>
              <w:t>任意</w:t>
            </w:r>
            <w:r>
              <w:rPr>
                <w:rFonts w:ascii="仿宋_GB2312" w:hAnsi="仿宋_GB2312" w:cs="仿宋_GB2312" w:eastAsia="仿宋_GB2312"/>
                <w:sz w:val="24"/>
              </w:rPr>
              <w:t>连续3个月的缴纳社保证明复印件或双方签订劳动合同复印件，并加盖公章）。</w:t>
            </w:r>
          </w:p>
          <w:p>
            <w:pPr>
              <w:pStyle w:val="null3"/>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both"/>
            </w:pPr>
            <w:r>
              <w:rPr>
                <w:rFonts w:ascii="仿宋_GB2312" w:hAnsi="仿宋_GB2312" w:cs="仿宋_GB2312" w:eastAsia="仿宋_GB2312"/>
                <w:sz w:val="24"/>
                <w:b/>
              </w:rPr>
              <w:t>服务方式、时间及地点</w:t>
            </w:r>
          </w:p>
          <w:p>
            <w:pPr>
              <w:pStyle w:val="null3"/>
              <w:ind w:firstLine="480"/>
              <w:jc w:val="both"/>
            </w:pPr>
            <w:r>
              <w:rPr>
                <w:rFonts w:ascii="仿宋_GB2312" w:hAnsi="仿宋_GB2312" w:cs="仿宋_GB2312" w:eastAsia="仿宋_GB2312"/>
                <w:sz w:val="24"/>
              </w:rPr>
              <w:t>服务时间：合</w:t>
            </w:r>
            <w:r>
              <w:rPr>
                <w:rFonts w:ascii="仿宋_GB2312" w:hAnsi="仿宋_GB2312" w:cs="仿宋_GB2312" w:eastAsia="仿宋_GB2312"/>
                <w:sz w:val="24"/>
              </w:rPr>
              <w:t>同</w:t>
            </w:r>
            <w:r>
              <w:rPr>
                <w:rFonts w:ascii="仿宋_GB2312" w:hAnsi="仿宋_GB2312" w:cs="仿宋_GB2312" w:eastAsia="仿宋_GB2312"/>
                <w:sz w:val="24"/>
              </w:rPr>
              <w:t>签</w:t>
            </w:r>
            <w:r>
              <w:rPr>
                <w:rFonts w:ascii="仿宋_GB2312" w:hAnsi="仿宋_GB2312" w:cs="仿宋_GB2312" w:eastAsia="仿宋_GB2312"/>
                <w:sz w:val="24"/>
              </w:rPr>
              <w:t>订后</w:t>
            </w:r>
            <w:r>
              <w:rPr>
                <w:rFonts w:ascii="仿宋_GB2312" w:hAnsi="仿宋_GB2312" w:cs="仿宋_GB2312" w:eastAsia="仿宋_GB2312"/>
                <w:sz w:val="24"/>
              </w:rPr>
              <w:t>至</w:t>
            </w:r>
            <w:r>
              <w:rPr>
                <w:rFonts w:ascii="仿宋_GB2312" w:hAnsi="仿宋_GB2312" w:cs="仿宋_GB2312" w:eastAsia="仿宋_GB2312"/>
                <w:sz w:val="24"/>
              </w:rPr>
              <w:t>项目</w:t>
            </w:r>
            <w:r>
              <w:rPr>
                <w:rFonts w:ascii="仿宋_GB2312" w:hAnsi="仿宋_GB2312" w:cs="仿宋_GB2312" w:eastAsia="仿宋_GB2312"/>
                <w:sz w:val="24"/>
              </w:rPr>
              <w:t>验收工作</w:t>
            </w:r>
            <w:r>
              <w:rPr>
                <w:rFonts w:ascii="仿宋_GB2312" w:hAnsi="仿宋_GB2312" w:cs="仿宋_GB2312" w:eastAsia="仿宋_GB2312"/>
                <w:sz w:val="24"/>
              </w:rPr>
              <w:t>结</w:t>
            </w:r>
            <w:r>
              <w:rPr>
                <w:rFonts w:ascii="仿宋_GB2312" w:hAnsi="仿宋_GB2312" w:cs="仿宋_GB2312" w:eastAsia="仿宋_GB2312"/>
                <w:sz w:val="24"/>
              </w:rPr>
              <w:t>束。</w:t>
            </w:r>
            <w:r>
              <w:rPr>
                <w:rFonts w:ascii="仿宋_GB2312" w:hAnsi="仿宋_GB2312" w:cs="仿宋_GB2312" w:eastAsia="仿宋_GB2312"/>
                <w:sz w:val="24"/>
              </w:rPr>
              <w:t>4月11日</w:t>
            </w:r>
            <w:r>
              <w:rPr>
                <w:rFonts w:ascii="仿宋_GB2312" w:hAnsi="仿宋_GB2312" w:cs="仿宋_GB2312" w:eastAsia="仿宋_GB2312"/>
                <w:sz w:val="24"/>
              </w:rPr>
              <w:t>前完成布展工作</w:t>
            </w:r>
            <w:r>
              <w:rPr>
                <w:rFonts w:ascii="仿宋_GB2312" w:hAnsi="仿宋_GB2312" w:cs="仿宋_GB2312" w:eastAsia="仿宋_GB2312"/>
                <w:sz w:val="24"/>
              </w:rPr>
              <w:t>，</w:t>
            </w:r>
            <w:r>
              <w:rPr>
                <w:rFonts w:ascii="仿宋_GB2312" w:hAnsi="仿宋_GB2312" w:cs="仿宋_GB2312" w:eastAsia="仿宋_GB2312"/>
                <w:sz w:val="24"/>
              </w:rPr>
              <w:t>4月13日至18日正式展览，</w:t>
            </w:r>
            <w:r>
              <w:rPr>
                <w:rFonts w:ascii="仿宋_GB2312" w:hAnsi="仿宋_GB2312" w:cs="仿宋_GB2312" w:eastAsia="仿宋_GB2312"/>
                <w:sz w:val="24"/>
              </w:rPr>
              <w:t>4月19日前完成撤展</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服务地点：</w:t>
            </w:r>
            <w:r>
              <w:rPr>
                <w:rFonts w:ascii="仿宋_GB2312" w:hAnsi="仿宋_GB2312" w:cs="仿宋_GB2312" w:eastAsia="仿宋_GB2312"/>
                <w:sz w:val="24"/>
              </w:rPr>
              <w:t>海口市秀英区滨海大道</w:t>
            </w:r>
            <w:r>
              <w:rPr>
                <w:rFonts w:ascii="仿宋_GB2312" w:hAnsi="仿宋_GB2312" w:cs="仿宋_GB2312" w:eastAsia="仿宋_GB2312"/>
                <w:sz w:val="24"/>
              </w:rPr>
              <w:t>256号</w:t>
            </w:r>
            <w:r>
              <w:rPr>
                <w:rFonts w:ascii="仿宋_GB2312" w:hAnsi="仿宋_GB2312" w:cs="仿宋_GB2312" w:eastAsia="仿宋_GB2312"/>
                <w:sz w:val="24"/>
              </w:rPr>
              <w:t>海南国际会展中心</w:t>
            </w:r>
            <w:r>
              <w:rPr>
                <w:rFonts w:ascii="仿宋_GB2312" w:hAnsi="仿宋_GB2312" w:cs="仿宋_GB2312" w:eastAsia="仿宋_GB2312"/>
                <w:sz w:val="24"/>
              </w:rPr>
              <w:t>8号馆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本项目采购预算：</w:t>
            </w:r>
            <w:r>
              <w:rPr>
                <w:rFonts w:ascii="仿宋_GB2312" w:hAnsi="仿宋_GB2312" w:cs="仿宋_GB2312" w:eastAsia="仿宋_GB2312"/>
                <w:sz w:val="24"/>
                <w:b/>
              </w:rPr>
              <w:t>240</w:t>
            </w:r>
            <w:r>
              <w:rPr>
                <w:rFonts w:ascii="仿宋_GB2312" w:hAnsi="仿宋_GB2312" w:cs="仿宋_GB2312" w:eastAsia="仿宋_GB2312"/>
                <w:sz w:val="24"/>
                <w:b/>
              </w:rPr>
              <w:t>万元。（</w:t>
            </w:r>
            <w:r>
              <w:rPr>
                <w:rFonts w:ascii="仿宋_GB2312" w:hAnsi="仿宋_GB2312" w:cs="仿宋_GB2312" w:eastAsia="仿宋_GB2312"/>
                <w:sz w:val="24"/>
                <w:b/>
              </w:rPr>
              <w:t>报价不得超出采购预算。供应商完成上述“工作分工”所列“（三）组展服务商”的工作事项所需费用及其它可能涉及的费用均包含在此预算中。</w:t>
            </w:r>
            <w:r>
              <w:rPr>
                <w:rFonts w:ascii="仿宋_GB2312" w:hAnsi="仿宋_GB2312" w:cs="仿宋_GB2312" w:eastAsia="仿宋_GB2312"/>
                <w:sz w:val="24"/>
                <w:b/>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1、除谈判文件另有规定外，若出现有关法律、法规和规章有强制性规定但谈判文件未列明的情形，则供应商应按照有关法律、法规和规章强制性规定执行。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1.标注“★”的要求和条件为不允许偏离的实质性条款，任意一项标注“★”的要求和条件偏离的，响应无效。 2、本采购需求“二、技术和服务要求”、“三、商务要求”内容须分别在谈判文件中的“技术响应表”、“商务响应表”中逐条响应。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供应商应提交的相关证明材料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供应商应提交的相关证明材料 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无环保类行政处罚记录声明函 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须符合谈判文件的式样、签署和盖章要求且内容完整无缺漏。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供应商须知中的第7.3.5条”）</w:t>
            </w:r>
          </w:p>
        </w:tc>
        <w:tc>
          <w:tcPr>
            <w:tcW w:type="dxa" w:w="1661"/>
          </w:tcPr>
          <w:p>
            <w:pPr>
              <w:pStyle w:val="null3"/>
              <w:jc w:val="left"/>
            </w:pPr>
            <w:r>
              <w:rPr>
                <w:rFonts w:ascii="仿宋_GB2312" w:hAnsi="仿宋_GB2312" w:cs="仿宋_GB2312" w:eastAsia="仿宋_GB2312"/>
              </w:rPr>
              <w:t>商务响应表 其他材料 开标（报价）一览表 供应商应提交的相关证明材料 自定义格式 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交付（服务）时间、交付（服务）地点须满足谈判文件要求。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谈判有效期（从递交响应文件的截止之日起算）</w:t>
            </w:r>
          </w:p>
        </w:tc>
        <w:tc>
          <w:tcPr>
            <w:tcW w:type="dxa" w:w="3322"/>
          </w:tcPr>
          <w:p>
            <w:pPr>
              <w:pStyle w:val="null3"/>
              <w:jc w:val="left"/>
            </w:pPr>
            <w:r>
              <w:rPr>
                <w:rFonts w:ascii="仿宋_GB2312" w:hAnsi="仿宋_GB2312" w:cs="仿宋_GB2312" w:eastAsia="仿宋_GB2312"/>
              </w:rPr>
              <w:t>谈判有效期须满足供应商须知4.5.1要求。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868"/>
        <w:gridCol w:w="2479"/>
        <w:gridCol w:w="1240"/>
        <w:gridCol w:w="3719"/>
      </w:tblGrid>
      <w:tr>
        <w:tc>
          <w:tcPr>
            <w:tcW w:type="dxa" w:w="868"/>
          </w:tcPr>
          <w:p>
            <w:pPr>
              <w:pStyle w:val="null3"/>
              <w:jc w:val="center"/>
            </w:pPr>
            <w:r>
              <w:rPr>
                <w:rFonts w:ascii="仿宋_GB2312" w:hAnsi="仿宋_GB2312" w:cs="仿宋_GB2312" w:eastAsia="仿宋_GB2312"/>
              </w:rPr>
              <w:t xml:space="preserve"> 序号</w:t>
            </w:r>
          </w:p>
        </w:tc>
        <w:tc>
          <w:tcPr>
            <w:tcW w:type="dxa" w:w="2479"/>
          </w:tcPr>
          <w:p>
            <w:pPr>
              <w:pStyle w:val="null3"/>
              <w:jc w:val="center"/>
            </w:pPr>
            <w:r>
              <w:rPr>
                <w:rFonts w:ascii="仿宋_GB2312" w:hAnsi="仿宋_GB2312" w:cs="仿宋_GB2312" w:eastAsia="仿宋_GB2312"/>
              </w:rPr>
              <w:t xml:space="preserve"> 评审因素</w:t>
            </w:r>
          </w:p>
        </w:tc>
        <w:tc>
          <w:tcPr>
            <w:tcW w:type="dxa" w:w="1240"/>
          </w:tcPr>
          <w:p>
            <w:pPr>
              <w:pStyle w:val="null3"/>
              <w:jc w:val="center"/>
            </w:pPr>
            <w:r>
              <w:rPr>
                <w:rFonts w:ascii="仿宋_GB2312" w:hAnsi="仿宋_GB2312" w:cs="仿宋_GB2312" w:eastAsia="仿宋_GB2312"/>
              </w:rPr>
              <w:t xml:space="preserve"> 评审价格权重</w:t>
            </w:r>
          </w:p>
        </w:tc>
        <w:tc>
          <w:tcPr>
            <w:tcW w:type="dxa" w:w="3719"/>
          </w:tcPr>
          <w:p>
            <w:pPr>
              <w:pStyle w:val="null3"/>
              <w:jc w:val="center"/>
            </w:pPr>
            <w:r>
              <w:rPr>
                <w:rFonts w:ascii="仿宋_GB2312" w:hAnsi="仿宋_GB2312" w:cs="仿宋_GB2312" w:eastAsia="仿宋_GB2312"/>
              </w:rPr>
              <w:t xml:space="preserve"> 具体标准和要求</w:t>
            </w:r>
          </w:p>
        </w:tc>
      </w:tr>
      <w:tr>
        <w:tc>
          <w:tcPr>
            <w:tcW w:type="dxa" w:w="868"/>
          </w:tcPr>
          <w:p>
            <w:pPr>
              <w:pStyle w:val="null3"/>
              <w:jc w:val="left"/>
            </w:pPr>
            <w:r>
              <w:rPr>
                <w:rFonts w:ascii="仿宋_GB2312" w:hAnsi="仿宋_GB2312" w:cs="仿宋_GB2312" w:eastAsia="仿宋_GB2312"/>
              </w:rPr>
              <w:t>1</w:t>
            </w:r>
          </w:p>
        </w:tc>
        <w:tc>
          <w:tcPr>
            <w:tcW w:type="dxa" w:w="2479"/>
          </w:tcPr>
          <w:p>
            <w:pPr>
              <w:pStyle w:val="null3"/>
              <w:jc w:val="left"/>
            </w:pPr>
            <w:r>
              <w:rPr>
                <w:rFonts w:ascii="仿宋_GB2312" w:hAnsi="仿宋_GB2312" w:cs="仿宋_GB2312" w:eastAsia="仿宋_GB2312"/>
              </w:rPr>
              <w:t>合计</w:t>
            </w:r>
          </w:p>
        </w:tc>
        <w:tc>
          <w:tcPr>
            <w:tcW w:type="dxa" w:w="1240"/>
          </w:tcPr>
          <w:p>
            <w:pPr>
              <w:pStyle w:val="null3"/>
              <w:jc w:val="right"/>
            </w:pPr>
            <w:r>
              <w:rPr>
                <w:rFonts w:ascii="仿宋_GB2312" w:hAnsi="仿宋_GB2312" w:cs="仿宋_GB2312" w:eastAsia="仿宋_GB2312"/>
              </w:rPr>
              <w:t>100.00%</w:t>
            </w:r>
          </w:p>
        </w:tc>
        <w:tc>
          <w:tcPr>
            <w:tcW w:type="dxa" w:w="371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其他材料 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详见附件：合同草案.docx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HNGP2025-07</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2025年第五届中国国际消费品博览会海南馆设计搭建服务项目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谈判有效期（从递交响应文件的截止之日起算）</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C22020300-生活消费品展览服务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2400000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详见附件：自定义格式</w:t>
      </w:r>
    </w:p>
    <w:p>
      <w:pPr>
        <w:pStyle w:val="null3"/>
        <w:jc w:val="left"/>
        <w:outlineLvl w:val="3"/>
      </w:pPr>
      <w:r>
        <w:rPr>
          <w:rFonts w:ascii="仿宋_GB2312" w:hAnsi="仿宋_GB2312" w:cs="仿宋_GB2312" w:eastAsia="仿宋_GB2312"/>
          <w:sz w:val="24"/>
          <w:b/>
        </w:rPr>
        <w:t>响应格式文件补充说明</w:t>
      </w:r>
    </w:p>
    <w:p>
      <w:pPr>
        <w:pStyle w:val="null3"/>
        <w:ind w:firstLine="480"/>
        <w:jc w:val="both"/>
      </w:pPr>
      <w:r>
        <w:rPr>
          <w:rFonts w:ascii="仿宋_GB2312" w:hAnsi="仿宋_GB2312" w:cs="仿宋_GB2312" w:eastAsia="仿宋_GB2312"/>
        </w:rPr>
        <w:t>重要提示：</w:t>
      </w:r>
    </w:p>
    <w:p>
      <w:pPr>
        <w:pStyle w:val="null3"/>
        <w:ind w:firstLine="480"/>
        <w:jc w:val="both"/>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