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海南省东方临港产业园（化工园区）地下水环境状况详细调查评价</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HNKY-HK-C2025038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海南省环境科学研究院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海南坤亿项目管理投资有限公司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海南省环境科学研究院</w:t>
      </w:r>
      <w:r>
        <w:rPr>
          <w:rFonts w:ascii="仿宋_GB2312" w:hAnsi="仿宋_GB2312" w:cs="仿宋_GB2312" w:eastAsia="仿宋_GB2312"/>
        </w:rPr>
        <w:t xml:space="preserve"> 的委托， </w:t>
      </w:r>
      <w:r>
        <w:rPr>
          <w:rFonts w:ascii="仿宋_GB2312" w:hAnsi="仿宋_GB2312" w:cs="仿宋_GB2312" w:eastAsia="仿宋_GB2312"/>
        </w:rPr>
        <w:t>海南坤亿项目管理投资有限公司</w:t>
      </w:r>
      <w:r>
        <w:rPr>
          <w:rFonts w:ascii="仿宋_GB2312" w:hAnsi="仿宋_GB2312" w:cs="仿宋_GB2312" w:eastAsia="仿宋_GB2312"/>
        </w:rPr>
        <w:t xml:space="preserve"> 对 </w:t>
      </w:r>
      <w:r>
        <w:rPr>
          <w:rFonts w:ascii="仿宋_GB2312" w:hAnsi="仿宋_GB2312" w:cs="仿宋_GB2312" w:eastAsia="仿宋_GB2312"/>
        </w:rPr>
        <w:t>海南省东方临港产业园（化工园区）地下水环境状况详细调查评价</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HNKY-HK-C2025038</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海南省东方临港产业园（化工园区）地下水环境状况详细调查评价</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2,927,587.00元</w:t>
      </w:r>
      <w:r>
        <w:rPr>
          <w:rFonts w:ascii="仿宋_GB2312" w:hAnsi="仿宋_GB2312" w:cs="仿宋_GB2312" w:eastAsia="仿宋_GB2312"/>
        </w:rPr>
        <w:t>贰佰玖拾贰万柒仟伍佰捌拾柒元整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自合同签订之日起至2026年12月31日</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自合同签订之日起至2026年12月31日</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自合同签订之日起30日历天内</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3、联合体投标要求：（1）联合体成员总数不得超过2家； （2）按磋商文件要求提供联合体协议，明确联合体双方的主要权利和义务，并明确1名成员为联合体投标的牵头人； （3）联合体各成员不得再参与本项目所有采购包的单独投标或参加其他联合体投标； （4）联合体各成员均须同时满足《中华人民共和国政府采购法》第二十二条规定的要求，并按照一般资格审查要求提供相应的证明材料。</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pPr>
      <w:r>
        <w:rPr>
          <w:rFonts w:ascii="仿宋_GB2312" w:hAnsi="仿宋_GB2312" w:cs="仿宋_GB2312" w:eastAsia="仿宋_GB2312"/>
        </w:rPr>
        <w:t>3、具备有效期内省级或省级以上颁发的检验检测机构资质认定证书（CMA）：提供有效证书及附表复印件加盖供应商公章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1、满足《中华人民共和国政府采购法》第二十二条规定：提供满足《中华人民共和国政府采购法》第二十二条规定的承诺函</w:t>
      </w:r>
    </w:p>
    <w:p>
      <w:pPr>
        <w:pStyle w:val="null3"/>
        <w:jc w:val="left"/>
      </w:pPr>
      <w:r>
        <w:rPr>
          <w:rFonts w:ascii="仿宋_GB2312" w:hAnsi="仿宋_GB2312" w:cs="仿宋_GB2312" w:eastAsia="仿宋_GB2312"/>
        </w:rPr>
        <w:t>2、信用记录：必须为未被列入信用中国网站(www.creditchina.gov.cn)的“失信被执行人”、“重大税收违法失信主体”和中国政府采购网(www.ccgp.gov.cn) 的“政府采购严重违法失信行为记录名单”的投标人（提供承诺函加盖公章）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2.有关本项目采购文件的补遗、澄清及变更信息以上述网站公告与下载为准，采购代理机构不再另行通知，采购文件与更正公告的内容相互矛盾时，以最后发出的更正公告内容为准。3.投标人须在海南政府采购网(https://www.ccgp-hainan.gov.cn/zhuzhan/)中的海南省政府采购电子化交易管理系统平台进行注册并完善信息，然后下载参与投标项目电子招标文件（文件集）及其他文件。4.电子标:必须办理数字证书CA锁， 并使用数字证书（https://www.yuque.com/haonan123/bzzx /ugmn1f）进行签字和加密，投标截止时间前，必须登录系统上传加密的电子投标文件。5.本项目为远程不见面开标，供应商无须到达开标现场，但开标前必须进入电子开标大厅在线签到（未签到视为无效投标），远程按时参加在线开标解密即可。6.注意事项：电子标采用全程电子化操作，供应商应详细阅读海南政府采购网的通知《海南省财政厅关于进一步推进政府采购全流程电子化的通知》，供应商使用交易系统遇到问题请拨打以下热线电话：4001691288。7. 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海南省环境科学研究院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海南省海口市龙华区义龙西路28号金华大厦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0898-65968618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海南坤亿项目管理投资有限公司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海南省海口市美兰区蓝天路12-1号国机中洋公馆2号楼13层1301房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0898-66513395</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采购包1：664,600.00元</w:t>
            </w:r>
          </w:p>
          <w:p>
            <w:pPr>
              <w:pStyle w:val="null3"/>
              <w:jc w:val="left"/>
            </w:pPr>
            <w:r>
              <w:rPr>
                <w:rFonts w:ascii="仿宋_GB2312" w:hAnsi="仿宋_GB2312" w:cs="仿宋_GB2312" w:eastAsia="仿宋_GB2312"/>
              </w:rPr>
              <w:t>采购包2：1,629,387.00元</w:t>
            </w:r>
          </w:p>
          <w:p>
            <w:pPr>
              <w:pStyle w:val="null3"/>
              <w:jc w:val="left"/>
            </w:pPr>
            <w:r>
              <w:rPr>
                <w:rFonts w:ascii="仿宋_GB2312" w:hAnsi="仿宋_GB2312" w:cs="仿宋_GB2312" w:eastAsia="仿宋_GB2312"/>
              </w:rPr>
              <w:t>采购包3：633,600.00元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代理服务费收费标准：招标代理服务费按照成交价格，参照《关于降低部分招标代理服务收费标准的通知》(琼价费管【2011】225号)的规定，由成交供应商在成交通知书签发前一次性付清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分包比例25%，分包履行的内容：供应商根据磋商文件的规定和采购项目的实际情况，拟在中标后将中标项目的非主体、非关键性工作（非特征指标）分包的，应当在响应文件中载明分包承担主体，分包承担主体应当具备相应资质条件且不得再次分包，相关要求如下： （1）分包供应商应满足《中华人民共和国政府采购法》第二十二条规定和具有完成承担分包内容的相应能力（提供承诺函）； （2）享受《政府采购促进中小企业发展管理办法》的通知（财库〔2020〕46号）的规定扶持政策，获得政府采购合同的，小微企业不得将合同分包给大中型企业，中型企业不得将合同分包给大型企业。 （3）如有分包，应在《中小企业声明函》中填写签订分包意向协议的中小企业相关信息。 （4）如有分包，投标文件中应明确分包内容，并提供与分包供应商签订的分包意向协议（格式自拟）。未提供，视为不分包。 （5）政府采购合同分包履行的，中标供应商就采购项目和分包项目向采购人负责，分包供应商就分包项目承担责任。 （6）如有违反以上情形，采购人有权解除合同，并追究中标人的违约责任。</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3.签字和（或）盖章要求： 3.1 电子标盖章要求：使用 CA 锁在投标文件制作工具中逐页加盖单位公章。 3.2 电子标签字以下四种形式之一均有效：（1）投标文件制作工具中加盖签名章或签字章； （2）投标文件制作工具中使用“手写签名”签字； （3）投标文件打印为文本签字后扫描上传； （4）投标文件打印为文本盖签名章或签字章后扫描上传。4.供应商如遇技术问题自行联系海南省政府采购智慧云平台客服。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联系人：陈工</w:t>
      </w:r>
    </w:p>
    <w:p>
      <w:pPr>
        <w:pStyle w:val="null3"/>
        <w:jc w:val="left"/>
      </w:pPr>
      <w:r>
        <w:rPr>
          <w:rFonts w:ascii="仿宋_GB2312" w:hAnsi="仿宋_GB2312" w:cs="仿宋_GB2312" w:eastAsia="仿宋_GB2312"/>
        </w:rPr>
        <w:t>联系电话：0898-66513395</w:t>
      </w:r>
    </w:p>
    <w:p>
      <w:pPr>
        <w:pStyle w:val="null3"/>
        <w:jc w:val="left"/>
      </w:pPr>
      <w:r>
        <w:rPr>
          <w:rFonts w:ascii="仿宋_GB2312" w:hAnsi="仿宋_GB2312" w:cs="仿宋_GB2312" w:eastAsia="仿宋_GB2312"/>
        </w:rPr>
        <w:t>地址：海南省海口市美兰区蓝天路12-1号国机中洋公馆2号楼13层1301房</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（一）项目概况</w:t>
      </w:r>
    </w:p>
    <w:p>
      <w:pPr>
        <w:pStyle w:val="null3"/>
        <w:spacing w:before="105" w:after="105"/>
        <w:ind w:firstLine="480"/>
        <w:jc w:val="both"/>
      </w:pPr>
      <w:r>
        <w:rPr>
          <w:rFonts w:ascii="仿宋_GB2312" w:hAnsi="仿宋_GB2312" w:cs="仿宋_GB2312" w:eastAsia="仿宋_GB2312"/>
          <w:sz w:val="21"/>
        </w:rPr>
        <w:t>海南省东方临港产业园（化工园区）位于海南省东方市西侧，地处东经</w:t>
      </w:r>
      <w:r>
        <w:rPr>
          <w:rFonts w:ascii="仿宋_GB2312" w:hAnsi="仿宋_GB2312" w:cs="仿宋_GB2312" w:eastAsia="仿宋_GB2312"/>
          <w:sz w:val="21"/>
        </w:rPr>
        <w:t>108°37'-109°07'，北纬18°43'-19°18'之间，园区规划用地面积为900.84公顷，其北以罗带河为界，西以油气危险品码头和滨海南路为界，东以工业大道、富岛公司边界、疏港大道、工业三横路为界，南以工业五横路为界。东方临港产业园（化工园区）地处滨海阶地平原，局部见低丘台地，地势开阔平坦，自东向西平缓倾斜。根据岩土工程勘察资料，园区场区内的地层主要由上远古代震旦纪片麻状花岗岩及其风化壳和第四纪冲坡积堆积物组成。园区目前约有13家重点工业企业，主要涉及火力发电、原油加工、石油制品制造、有机化学原料制造、生物质液体燃料生产，以及燃气生产和供应业等行业。</w:t>
      </w:r>
    </w:p>
    <w:p>
      <w:pPr>
        <w:pStyle w:val="null3"/>
        <w:spacing w:before="105" w:after="105"/>
        <w:ind w:firstLine="480"/>
        <w:jc w:val="both"/>
      </w:pPr>
      <w:r>
        <w:rPr>
          <w:rFonts w:ascii="仿宋_GB2312" w:hAnsi="仿宋_GB2312" w:cs="仿宋_GB2312" w:eastAsia="仿宋_GB2312"/>
          <w:sz w:val="21"/>
        </w:rPr>
        <w:t>为摸清海南省东方临港产业园（化工园区）地下水环境状况，掌握污染源分布以及污染成分，科学划分东方临港产业园（化工园区）地下水污染防控区域，有效支撑东方临港产业园（化工园区）地下水污染防治工作，现拟开展东方临港产业园区地下水基础环境状况详细调查评价工作，工作内容包括：建设</w:t>
      </w:r>
      <w:r>
        <w:rPr>
          <w:rFonts w:ascii="仿宋_GB2312" w:hAnsi="仿宋_GB2312" w:cs="仿宋_GB2312" w:eastAsia="仿宋_GB2312"/>
          <w:sz w:val="21"/>
        </w:rPr>
        <w:t>30口地下水环境观测井和采集不少于166组地下水、14组地表水和17组土壤样品；分析测试不少于166组地下水、14组地表水和17组土壤样品；购置48个地下水水位计。</w:t>
      </w:r>
    </w:p>
    <w:p>
      <w:pPr>
        <w:pStyle w:val="null3"/>
        <w:spacing w:before="105" w:after="105"/>
        <w:ind w:firstLine="480"/>
        <w:jc w:val="both"/>
      </w:pPr>
      <w:r>
        <w:rPr>
          <w:rFonts w:ascii="仿宋_GB2312" w:hAnsi="仿宋_GB2312" w:cs="仿宋_GB2312" w:eastAsia="仿宋_GB2312"/>
          <w:sz w:val="21"/>
        </w:rPr>
        <w:t>（二）项目背景</w:t>
      </w:r>
    </w:p>
    <w:p>
      <w:pPr>
        <w:pStyle w:val="null3"/>
        <w:spacing w:before="105" w:after="105"/>
        <w:ind w:firstLine="480"/>
        <w:jc w:val="both"/>
      </w:pPr>
      <w:r>
        <w:rPr>
          <w:rFonts w:ascii="仿宋_GB2312" w:hAnsi="仿宋_GB2312" w:cs="仿宋_GB2312" w:eastAsia="仿宋_GB2312"/>
          <w:sz w:val="21"/>
        </w:rPr>
        <w:t>本项目实施旨在贯彻落实生态环境部办公厅《关于印发〈化工园区地下水污染专项整治工作方案〉的通知》（环办土壤函〔</w:t>
      </w:r>
      <w:r>
        <w:rPr>
          <w:rFonts w:ascii="仿宋_GB2312" w:hAnsi="仿宋_GB2312" w:cs="仿宋_GB2312" w:eastAsia="仿宋_GB2312"/>
          <w:sz w:val="21"/>
        </w:rPr>
        <w:t>2025〕139号），以及生态环境部和海南省生态环境厅工作部署及要求，进一步掌握海南省东方临港产业园（化工园区）地下水环境状况，准确分析导致地下水超标的原因，客观评估地下水污染程度，科学提出污染防治对策措施，有效支撑东方临港产业园区地下水污染防治工作。</w:t>
      </w:r>
    </w:p>
    <w:p>
      <w:pPr>
        <w:pStyle w:val="null3"/>
        <w:spacing w:before="105" w:after="105"/>
        <w:ind w:firstLine="480"/>
        <w:jc w:val="both"/>
      </w:pPr>
      <w:r>
        <w:rPr>
          <w:rFonts w:ascii="仿宋_GB2312" w:hAnsi="仿宋_GB2312" w:cs="仿宋_GB2312" w:eastAsia="仿宋_GB2312"/>
          <w:sz w:val="21"/>
        </w:rPr>
        <w:t>（三）采购内容</w:t>
      </w:r>
    </w:p>
    <w:p>
      <w:pPr>
        <w:pStyle w:val="null3"/>
        <w:spacing w:before="105" w:after="105"/>
        <w:ind w:firstLine="480"/>
        <w:jc w:val="both"/>
      </w:pPr>
      <w:r>
        <w:rPr>
          <w:rFonts w:ascii="仿宋_GB2312" w:hAnsi="仿宋_GB2312" w:cs="仿宋_GB2312" w:eastAsia="仿宋_GB2312"/>
          <w:sz w:val="21"/>
        </w:rPr>
        <w:t>采购包</w:t>
      </w:r>
      <w:r>
        <w:rPr>
          <w:rFonts w:ascii="仿宋_GB2312" w:hAnsi="仿宋_GB2312" w:cs="仿宋_GB2312" w:eastAsia="仿宋_GB2312"/>
          <w:sz w:val="21"/>
        </w:rPr>
        <w:t>1：编制《东方临港产业园（化工园区）地下水环境观测井建设和已有井维护实施方案》（以下简称《建井及维护实施方案》）、《东方临港产业园（化工园区）地下水、地表水和土壤样品采集实施方案》（以下简称《样品采集实施方案》）；建设地下水环境观测井及维护已有地下水环境观测井；地下水、地表水和土壤样品采集工作；协助提供地下水污染扩散模型构建的基础数据。</w:t>
      </w:r>
    </w:p>
    <w:p>
      <w:pPr>
        <w:pStyle w:val="null3"/>
        <w:spacing w:before="105" w:after="105"/>
        <w:ind w:firstLine="480"/>
        <w:jc w:val="both"/>
      </w:pPr>
      <w:r>
        <w:rPr>
          <w:rFonts w:ascii="仿宋_GB2312" w:hAnsi="仿宋_GB2312" w:cs="仿宋_GB2312" w:eastAsia="仿宋_GB2312"/>
          <w:sz w:val="21"/>
        </w:rPr>
        <w:t>采购包</w:t>
      </w:r>
      <w:r>
        <w:rPr>
          <w:rFonts w:ascii="仿宋_GB2312" w:hAnsi="仿宋_GB2312" w:cs="仿宋_GB2312" w:eastAsia="仿宋_GB2312"/>
          <w:sz w:val="21"/>
        </w:rPr>
        <w:t>2：编制《东方临港产业园（化工园区）地下水、地表水和土壤样品分析测试实施方案》（以下简称《样品分析测试实施方案》）；完成不少于166组地下水、14组地表水和17组土壤（每组土壤浅层样品含2个样品，每组土壤深层样品含6个样品）样品的分析测试；协助提供地下水健康风险评估基础数据等。</w:t>
      </w:r>
    </w:p>
    <w:p>
      <w:pPr>
        <w:pStyle w:val="null3"/>
        <w:spacing w:before="105" w:after="105"/>
        <w:ind w:firstLine="480"/>
        <w:jc w:val="both"/>
      </w:pPr>
      <w:r>
        <w:rPr>
          <w:rFonts w:ascii="仿宋_GB2312" w:hAnsi="仿宋_GB2312" w:cs="仿宋_GB2312" w:eastAsia="仿宋_GB2312"/>
          <w:sz w:val="21"/>
        </w:rPr>
        <w:t>采购包</w:t>
      </w:r>
      <w:r>
        <w:rPr>
          <w:rFonts w:ascii="仿宋_GB2312" w:hAnsi="仿宋_GB2312" w:cs="仿宋_GB2312" w:eastAsia="仿宋_GB2312"/>
          <w:sz w:val="21"/>
        </w:rPr>
        <w:t>3：地下水水位计，采购数量：48个</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664,600.00</w:t>
      </w:r>
    </w:p>
    <w:p>
      <w:pPr>
        <w:pStyle w:val="null3"/>
        <w:jc w:val="left"/>
      </w:pPr>
      <w:r>
        <w:rPr>
          <w:rFonts w:ascii="仿宋_GB2312" w:hAnsi="仿宋_GB2312" w:cs="仿宋_GB2312" w:eastAsia="仿宋_GB2312"/>
        </w:rPr>
        <w:t>采购包最高限价（元）: 664,600.00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建设地下水环境观测井和地下水、地表水、土壤样品采集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664,600.00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1,629,387.00</w:t>
      </w:r>
    </w:p>
    <w:p>
      <w:pPr>
        <w:pStyle w:val="null3"/>
        <w:jc w:val="left"/>
      </w:pPr>
      <w:r>
        <w:rPr>
          <w:rFonts w:ascii="仿宋_GB2312" w:hAnsi="仿宋_GB2312" w:cs="仿宋_GB2312" w:eastAsia="仿宋_GB2312"/>
        </w:rPr>
        <w:t>采购包最高限价（元）: 1,629,387.00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样品分析测试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1,629,387.00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633,600.00</w:t>
      </w:r>
    </w:p>
    <w:p>
      <w:pPr>
        <w:pStyle w:val="null3"/>
        <w:jc w:val="left"/>
      </w:pPr>
      <w:r>
        <w:rPr>
          <w:rFonts w:ascii="仿宋_GB2312" w:hAnsi="仿宋_GB2312" w:cs="仿宋_GB2312" w:eastAsia="仿宋_GB2312"/>
        </w:rPr>
        <w:t>采购包最高限价（元）: 633,600.00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地下水水位计设备采购</w:t>
            </w:r>
          </w:p>
        </w:tc>
        <w:tc>
          <w:tcPr>
            <w:tcW w:type="dxa" w:w="831"/>
          </w:tcPr>
          <w:p>
            <w:pPr>
              <w:pStyle w:val="null3"/>
              <w:jc w:val="right"/>
            </w:pPr>
            <w:r>
              <w:rPr>
                <w:rFonts w:ascii="仿宋_GB2312" w:hAnsi="仿宋_GB2312" w:cs="仿宋_GB2312" w:eastAsia="仿宋_GB2312"/>
              </w:rPr>
              <w:t>48.00</w:t>
            </w:r>
          </w:p>
        </w:tc>
        <w:tc>
          <w:tcPr>
            <w:tcW w:type="dxa" w:w="831"/>
          </w:tcPr>
          <w:p>
            <w:pPr>
              <w:pStyle w:val="null3"/>
              <w:jc w:val="right"/>
            </w:pPr>
            <w:r>
              <w:rPr>
                <w:rFonts w:ascii="仿宋_GB2312" w:hAnsi="仿宋_GB2312" w:cs="仿宋_GB2312" w:eastAsia="仿宋_GB2312"/>
              </w:rPr>
              <w:t>633,600.00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建设地下水环境观测井和地下水、地表水、土壤样品采集</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664,600.00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样品分析测试</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1,629,387.00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地下水水位计设备采购</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633,600.00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标的名称：建设地下水环境观测井和地下水、地表水、土壤样品采集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72"/>
              <w:jc w:val="left"/>
            </w:pPr>
            <w:r>
              <w:rPr>
                <w:rFonts w:ascii="仿宋_GB2312" w:hAnsi="仿宋_GB2312" w:cs="仿宋_GB2312" w:eastAsia="仿宋_GB2312"/>
                <w:sz w:val="21"/>
              </w:rPr>
              <w:t>1.技术要求</w:t>
            </w:r>
          </w:p>
          <w:p>
            <w:pPr>
              <w:pStyle w:val="null3"/>
              <w:ind w:firstLine="572"/>
              <w:jc w:val="left"/>
            </w:pPr>
            <w:r>
              <w:rPr>
                <w:rFonts w:ascii="仿宋_GB2312" w:hAnsi="仿宋_GB2312" w:cs="仿宋_GB2312" w:eastAsia="仿宋_GB2312"/>
                <w:sz w:val="21"/>
              </w:rPr>
              <w:t>（1）根据《地下水观测井建设规范》（DZ/T 0270-2014）、《地下水环境监测技术规范》（HJ 164-2020）等标准及规范编制《建井及维护实施方案》。</w:t>
            </w:r>
          </w:p>
          <w:p>
            <w:pPr>
              <w:pStyle w:val="null3"/>
              <w:ind w:firstLine="572"/>
              <w:jc w:val="left"/>
            </w:pPr>
            <w:r>
              <w:rPr>
                <w:rFonts w:ascii="仿宋_GB2312" w:hAnsi="仿宋_GB2312" w:cs="仿宋_GB2312" w:eastAsia="仿宋_GB2312"/>
                <w:sz w:val="21"/>
              </w:rPr>
              <w:t>按《建井及维护实施方案》，建设30口地下水环境观测井，建井区域位于东方临港产业园区企业内部和园区周边3km范围内。所建地下水环境观测井需钻探至潜水含水层底板为止，钻孔深度约为10～30m，孔径不低于110mm，成井位置结合实际情况进行调整。钻进方法采用螺旋钻进的方法，取出并保存完整岩芯，采用外径为110mm的井管，采用168mm的钻头。如特殊地质原因，则采用外径为75mm的井管，采用127mm的钻头钻进，取出并保存完整岩芯。成井过程中，需根据土层性质进行取芯，且满足《岩土工程勘察规范》（GB50021-2001）等规范要求；水文观测井的水样要求在提钻前及下钻后观测地下水井的水位和循环液漏失量；勘探钻孔均测量坐标和孔口高程，同时要求孔深误差小于2‰，孔斜100m内每百米不大于1°；进行止水填砾固井时，要求基岩段下井管，管外水泥固井；每个钻孔设计1个试段稳定流抽水试验，提交单孔竣工报告。具体工作包括观测井钻进、下管（管材为UPVC材质给水管）、填砾、止水、抽水试验（每口井需完成抽水试验）、水位观测、井台建设（井筒采用内径为15cm、高为60cm的镀锌管材质，井盖配锁，保护筒下部埋入水泥平台中10cm固定；井台建设防撞柱并填充水泥）、标识牌建设及洗井等工作。</w:t>
            </w:r>
          </w:p>
          <w:p>
            <w:pPr>
              <w:pStyle w:val="null3"/>
              <w:ind w:firstLine="572"/>
              <w:jc w:val="left"/>
            </w:pPr>
            <w:r>
              <w:rPr>
                <w:rFonts w:ascii="仿宋_GB2312" w:hAnsi="仿宋_GB2312" w:cs="仿宋_GB2312" w:eastAsia="仿宋_GB2312"/>
                <w:sz w:val="21"/>
              </w:rPr>
              <w:t>按《建井及维护实施方案》对区域内及周边49口已有地下水观测井进行维护，包括洗井，以及井台、标识牌等维护工作。</w:t>
            </w:r>
          </w:p>
          <w:p>
            <w:pPr>
              <w:pStyle w:val="null3"/>
              <w:ind w:firstLine="572"/>
              <w:jc w:val="left"/>
            </w:pPr>
            <w:r>
              <w:rPr>
                <w:rFonts w:ascii="仿宋_GB2312" w:hAnsi="仿宋_GB2312" w:cs="仿宋_GB2312" w:eastAsia="仿宋_GB2312"/>
                <w:sz w:val="21"/>
              </w:rPr>
              <w:t>（2）根据《地下水环境监测技术规范》（HJ 164-2020）、《地表水环境质量监测技术规范》（HJ 91.2-2022）、《土壤环境质量 农用地土壤污染风险管控标准》（GB 15618-2018）、《土壤环境监测技术规范》（HJ 166-2004）、《农田土壤环境质量监测技术规范》（NY/T 395-2012）等标准编制《样品采集实施方案》。</w:t>
            </w:r>
          </w:p>
          <w:p>
            <w:pPr>
              <w:pStyle w:val="null3"/>
              <w:ind w:firstLine="572"/>
              <w:jc w:val="left"/>
            </w:pPr>
            <w:r>
              <w:rPr>
                <w:rFonts w:ascii="仿宋_GB2312" w:hAnsi="仿宋_GB2312" w:cs="仿宋_GB2312" w:eastAsia="仿宋_GB2312"/>
                <w:sz w:val="21"/>
              </w:rPr>
              <w:t>按《样品采集实施方案》，开展地下水、地表水和土壤样品采集共不少于197组（含平行样），包括洗井、采样、保存和运输以及记录现场指标（水位、井深、水温、色度、浊度、溶解氧、嗅和味、肉眼可见物、pH值、氧化还原电位、电导率、盐度等）。在项目实施阶段需对项目地下水环境观测井（含新建井和已有井）进行正常维护，确保丰枯两期地下水样顺利采集；地表水也需采集丰枯两期水样。</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72"/>
              <w:jc w:val="left"/>
            </w:pPr>
            <w:r>
              <w:rPr>
                <w:rFonts w:ascii="仿宋_GB2312" w:hAnsi="仿宋_GB2312" w:cs="仿宋_GB2312" w:eastAsia="仿宋_GB2312"/>
                <w:sz w:val="21"/>
              </w:rPr>
              <w:t>2.成果要求</w:t>
            </w:r>
          </w:p>
          <w:p>
            <w:pPr>
              <w:pStyle w:val="null3"/>
              <w:ind w:firstLine="572"/>
              <w:jc w:val="left"/>
            </w:pPr>
            <w:r>
              <w:rPr>
                <w:rFonts w:ascii="仿宋_GB2312" w:hAnsi="仿宋_GB2312" w:cs="仿宋_GB2312" w:eastAsia="仿宋_GB2312"/>
                <w:sz w:val="21"/>
              </w:rPr>
              <w:t>（1）地下水环境观测井建设成果要求：建井记录单、岩芯实物及岩芯单反高清照片、成井洗井记录单、建井质控检查记录表、建设过程照片、观测井信息详细汇总表、观测井水文地质剖面图、地质和水文地质概况、地下水水位观测记录、地下水环境观测井建设其他相关资料。</w:t>
            </w:r>
          </w:p>
          <w:p>
            <w:pPr>
              <w:pStyle w:val="null3"/>
              <w:ind w:firstLine="572"/>
              <w:jc w:val="left"/>
            </w:pPr>
            <w:r>
              <w:rPr>
                <w:rFonts w:ascii="仿宋_GB2312" w:hAnsi="仿宋_GB2312" w:cs="仿宋_GB2312" w:eastAsia="仿宋_GB2312"/>
                <w:sz w:val="21"/>
              </w:rPr>
              <w:t>（2）地下水、土壤、地表水样品采集成果要求：采样记录单、现场检测记录单、采样现场照片、样品保存和流转以及交接记录单等相关采样资料。</w:t>
            </w:r>
          </w:p>
          <w:p>
            <w:pPr>
              <w:pStyle w:val="null3"/>
              <w:ind w:firstLine="572"/>
              <w:jc w:val="left"/>
            </w:pPr>
            <w:r>
              <w:rPr>
                <w:rFonts w:ascii="仿宋_GB2312" w:hAnsi="仿宋_GB2312" w:cs="仿宋_GB2312" w:eastAsia="仿宋_GB2312"/>
                <w:sz w:val="21"/>
              </w:rPr>
              <w:t>（3）其他要求：观测井实物、岩芯单反高清照片、观测井建设、抽水试验等原始记录单和照片电子版（包括Word、Excel、PDF、JPG等格式）以及成果汇编，观测井建设、抽水试验等原始记录单和照片纸质版。</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72"/>
              <w:jc w:val="left"/>
            </w:pPr>
            <w:r>
              <w:rPr>
                <w:rFonts w:ascii="仿宋_GB2312" w:hAnsi="仿宋_GB2312" w:cs="仿宋_GB2312" w:eastAsia="仿宋_GB2312"/>
                <w:sz w:val="21"/>
              </w:rPr>
              <w:t>3.质量要求</w:t>
            </w:r>
          </w:p>
          <w:p>
            <w:pPr>
              <w:pStyle w:val="null3"/>
              <w:ind w:firstLine="572"/>
              <w:jc w:val="left"/>
            </w:pPr>
            <w:r>
              <w:rPr>
                <w:rFonts w:ascii="仿宋_GB2312" w:hAnsi="仿宋_GB2312" w:cs="仿宋_GB2312" w:eastAsia="仿宋_GB2312"/>
                <w:sz w:val="21"/>
              </w:rPr>
              <w:t>（1）地下水环境观测井建设包括观测井设计、施工、成井、维护、抽水试验等内容，执行《地下水观测井建设规范》（DZ/T 0270-2014）、《地下水环境监测技术规范》（HJ 164-2020）和《地下水环境状况调查评价工作指南》（环办土壤函〔2019〕770号）等相关要求。</w:t>
            </w:r>
          </w:p>
          <w:p>
            <w:pPr>
              <w:pStyle w:val="null3"/>
              <w:ind w:firstLine="572"/>
              <w:jc w:val="left"/>
            </w:pPr>
            <w:r>
              <w:rPr>
                <w:rFonts w:ascii="仿宋_GB2312" w:hAnsi="仿宋_GB2312" w:cs="仿宋_GB2312" w:eastAsia="仿宋_GB2312"/>
                <w:sz w:val="21"/>
              </w:rPr>
              <w:t>（2）地下水、土壤、地表水样品采集、保存及运输执行《地下水环境状况调查评价工作指南》（环办土壤函〔2019〕770号）、《地下水环境监测技术规范》（HJ 164-2020）、《地表水环境质量标准》（GB 3838-2002）、《地下水质量标准》（GB/T 14848-2017）、《土壤环境监测技术规范》（HJ166-2004）等相关技术要求。</w:t>
            </w:r>
          </w:p>
          <w:p>
            <w:pPr>
              <w:pStyle w:val="null3"/>
              <w:ind w:firstLine="572"/>
              <w:jc w:val="left"/>
            </w:pPr>
            <w:r>
              <w:rPr>
                <w:rFonts w:ascii="仿宋_GB2312" w:hAnsi="仿宋_GB2312" w:cs="仿宋_GB2312" w:eastAsia="仿宋_GB2312"/>
                <w:sz w:val="21"/>
              </w:rPr>
              <w:t>（3）现场施工人员、钻探设备、进场施工车辆均需要有相关的施工资质或培训合格证明以及安全防护设施，确保满足化工园区企业进场施工安全要求。</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标的名称：样品分析测试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12"/>
              <w:jc w:val="left"/>
            </w:pPr>
            <w:r>
              <w:rPr>
                <w:rFonts w:ascii="仿宋_GB2312" w:hAnsi="仿宋_GB2312" w:cs="仿宋_GB2312" w:eastAsia="仿宋_GB2312"/>
                <w:sz w:val="21"/>
              </w:rPr>
              <w:t>1.技术要求</w:t>
            </w:r>
          </w:p>
          <w:p>
            <w:pPr>
              <w:pStyle w:val="null3"/>
              <w:ind w:firstLine="572"/>
              <w:jc w:val="left"/>
            </w:pPr>
            <w:r>
              <w:rPr>
                <w:rFonts w:ascii="仿宋_GB2312" w:hAnsi="仿宋_GB2312" w:cs="仿宋_GB2312" w:eastAsia="仿宋_GB2312"/>
                <w:sz w:val="21"/>
              </w:rPr>
              <w:t>（1）地下水样品分析测试指标：总硬度、溶解性总固体、硫酸根、氯化物、铁、锰、铜、锌、铝、挥发性酚类、阴离子表面活性剂、耗氧量、氨氮、硫化物、钠、亚硝酸盐、硝酸盐（以N计）、氰化物、氟化物、碘化物、汞、砷、硒、镉、铬（六价）、铅、铍、硼、锑、钡、镍、钴、钼、银、铊、氯仿（三氯甲烷）、四氯化碳、苯、甲苯、二氯甲烷、1,2-二氯乙烷、1,1,1-三氯乙烷、1,1,2-三氯乙烷、1,2-二氯丙烷、三溴甲烷、氯乙烯、1,1-二氯乙烯、1,2-二氯乙烯、三氯乙烯、四氯乙烯、氯苯、邻二氯苯、对二氯苯、三氯苯（总量）、乙苯、二甲苯（总量）、苯乙烯、2,4-二硝基甲苯、2,6-二硝基甲苯、萘、蒽、荧蒽、苯并(b）荧蒽、苯并(a)芘、多氯联苯（总量）、邻苯二甲酸二（2-乙基己基）酯、2,4,6-三氯酚、五氯酚、重碳酸根、碳酸根、钾、钙、镁、偏硅酸、溴、石油烃（C</w:t>
            </w:r>
            <w:r>
              <w:rPr>
                <w:rFonts w:ascii="仿宋_GB2312" w:hAnsi="仿宋_GB2312" w:cs="仿宋_GB2312" w:eastAsia="仿宋_GB2312"/>
                <w:sz w:val="21"/>
                <w:vertAlign w:val="subscript"/>
              </w:rPr>
              <w:t>6</w:t>
            </w:r>
            <w:r>
              <w:rPr>
                <w:rFonts w:ascii="仿宋_GB2312" w:hAnsi="仿宋_GB2312" w:cs="仿宋_GB2312" w:eastAsia="仿宋_GB2312"/>
                <w:sz w:val="21"/>
              </w:rPr>
              <w:t>-C</w:t>
            </w:r>
            <w:r>
              <w:rPr>
                <w:rFonts w:ascii="仿宋_GB2312" w:hAnsi="仿宋_GB2312" w:cs="仿宋_GB2312" w:eastAsia="仿宋_GB2312"/>
                <w:sz w:val="21"/>
                <w:vertAlign w:val="subscript"/>
              </w:rPr>
              <w:t>9</w:t>
            </w:r>
            <w:r>
              <w:rPr>
                <w:rFonts w:ascii="仿宋_GB2312" w:hAnsi="仿宋_GB2312" w:cs="仿宋_GB2312" w:eastAsia="仿宋_GB2312"/>
                <w:sz w:val="21"/>
              </w:rPr>
              <w:t>）、石油烃（C</w:t>
            </w:r>
            <w:r>
              <w:rPr>
                <w:rFonts w:ascii="仿宋_GB2312" w:hAnsi="仿宋_GB2312" w:cs="仿宋_GB2312" w:eastAsia="仿宋_GB2312"/>
                <w:sz w:val="21"/>
                <w:vertAlign w:val="subscript"/>
              </w:rPr>
              <w:t>10</w:t>
            </w:r>
            <w:r>
              <w:rPr>
                <w:rFonts w:ascii="仿宋_GB2312" w:hAnsi="仿宋_GB2312" w:cs="仿宋_GB2312" w:eastAsia="仿宋_GB2312"/>
                <w:sz w:val="21"/>
              </w:rPr>
              <w:t>-C</w:t>
            </w:r>
            <w:r>
              <w:rPr>
                <w:rFonts w:ascii="仿宋_GB2312" w:hAnsi="仿宋_GB2312" w:cs="仿宋_GB2312" w:eastAsia="仿宋_GB2312"/>
                <w:sz w:val="21"/>
                <w:vertAlign w:val="subscript"/>
              </w:rPr>
              <w:t>40</w:t>
            </w:r>
            <w:r>
              <w:rPr>
                <w:rFonts w:ascii="仿宋_GB2312" w:hAnsi="仿宋_GB2312" w:cs="仿宋_GB2312" w:eastAsia="仿宋_GB2312"/>
                <w:sz w:val="21"/>
              </w:rPr>
              <w:t>）。</w:t>
            </w:r>
          </w:p>
          <w:p>
            <w:pPr>
              <w:pStyle w:val="null3"/>
              <w:ind w:firstLine="572"/>
              <w:jc w:val="left"/>
            </w:pPr>
            <w:r>
              <w:rPr>
                <w:rFonts w:ascii="仿宋_GB2312" w:hAnsi="仿宋_GB2312" w:cs="仿宋_GB2312" w:eastAsia="仿宋_GB2312"/>
                <w:sz w:val="21"/>
              </w:rPr>
              <w:t>（2）地表水样品分析测试指标：耗氧量、化学需氧量、五日生化需氧量、氨氮、总磷、总氮、铜、锌、氟化物（以F</w:t>
            </w:r>
            <w:r>
              <w:rPr>
                <w:rFonts w:ascii="仿宋_GB2312" w:hAnsi="仿宋_GB2312" w:cs="仿宋_GB2312" w:eastAsia="仿宋_GB2312"/>
                <w:sz w:val="21"/>
                <w:vertAlign w:val="superscript"/>
              </w:rPr>
              <w:t>-</w:t>
            </w:r>
            <w:r>
              <w:rPr>
                <w:rFonts w:ascii="仿宋_GB2312" w:hAnsi="仿宋_GB2312" w:cs="仿宋_GB2312" w:eastAsia="仿宋_GB2312"/>
                <w:sz w:val="21"/>
              </w:rPr>
              <w:t>计）、硒、砷、汞、镉、铬（六价）、铅、氰化物、挥发酚、石油类、阴离子表面活性剂、硫化物、粪大肠菌群（个/L）、钡、钼、二氯甲烷、1,2-二氯乙烷、1,1,1-三氯乙烷（甲基氯仿）、1,1,2-三氯乙烷、1,2-二氯丙烷、三溴甲烷（溴仿）、氯乙烯、1,1-二氯乙烯（偏二氯乙烯）、1,2-二氯乙烯、三氯乙烯、四氯乙烯、氯苯、邻二氯苯（1,2-二氯苯）、对二氯苯（1,4-二氯苯）、三氯苯（总量）、乙苯、二甲苯（总量）、苯乙烯、萘、苯并（a）芘</w:t>
            </w:r>
          </w:p>
          <w:p>
            <w:pPr>
              <w:pStyle w:val="null3"/>
              <w:ind w:firstLine="572"/>
              <w:jc w:val="left"/>
            </w:pPr>
            <w:r>
              <w:rPr>
                <w:rFonts w:ascii="仿宋_GB2312" w:hAnsi="仿宋_GB2312" w:cs="仿宋_GB2312" w:eastAsia="仿宋_GB2312"/>
                <w:sz w:val="21"/>
              </w:rPr>
              <w:t>（3）土壤样品分析测试指标：砷、镉、铬(六价)、铜、铅、汞、镍、四氯化碳、三氯甲烷、氯甲烷、1,1-二氯乙烷、1,2-二氯乙烷、1,1-二氯乙烯、顺-1,2-二氯乙烯、反-1,2-二氯乙烯、二氯甲烷、1,2-二氯丙烷、1,1,1,2-四氯乙烷、1,1,2,2-四氯乙烷、四氯乙烯、1,1,1-三氯乙烷、1,1,2-三氯乙烷、三氯乙烯、1,2,3-三氯丙烷、氯乙烯、苯、氯苯、1,2-二氯苯、1,4-二氯苯、乙苯、苯乙烯、甲苯、间-二甲苯+对-二甲苯、邻-二甲苯、硝基苯、苯胺、2-氯酚、苯并(a)蒽、苯并(a)芘、苯并(b)荧蒽、苯并(k)荧蒽、䓛、二苯并(a,h)蒽、茚并(1,2,3-c,d)芘、萘、三氧化铝、氧化钙、全铁（以三氧化二铁表示）、烧失量、氧化钾、氧化镁、氧化锰、氧化钠、五氧化二磷、二氧化硅、二氧化钛、氧化亚铁、银、金、硼、钡、铍、铋、钴、铬、铯、镓、锗、铪、锂、钼、铌、铷、锑、钪、硒、锡、锶、钽、铊、铀、钒、钨、锌、锆、钍、钇、镧、铈、镨、钕、钐、铕、钆、铽、镝、钬、铒、铥、镱、镥、氟、氮、硫、碘。</w:t>
            </w:r>
          </w:p>
          <w:p>
            <w:pPr>
              <w:pStyle w:val="null3"/>
              <w:ind w:firstLine="572"/>
              <w:jc w:val="left"/>
            </w:pPr>
            <w:r>
              <w:rPr>
                <w:rFonts w:ascii="仿宋_GB2312" w:hAnsi="仿宋_GB2312" w:cs="仿宋_GB2312" w:eastAsia="仿宋_GB2312"/>
                <w:sz w:val="21"/>
              </w:rPr>
              <w:t>具体地下水、地表水和土壤检测指标详见下表。</w:t>
            </w:r>
          </w:p>
          <w:p>
            <w:pPr>
              <w:pStyle w:val="null3"/>
              <w:jc w:val="center"/>
            </w:pPr>
            <w:r>
              <w:rPr>
                <w:rFonts w:ascii="仿宋_GB2312" w:hAnsi="仿宋_GB2312" w:cs="仿宋_GB2312" w:eastAsia="仿宋_GB2312"/>
                <w:sz w:val="21"/>
                <w:b/>
              </w:rPr>
              <w:t>地下水、地表水和土壤检测指标汇总表</w:t>
            </w:r>
          </w:p>
          <w:tbl>
            <w:tblPr>
              <w:tblBorders>
                <w:top w:val="none" w:color="000000" w:sz="4"/>
                <w:left w:val="none" w:color="000000" w:sz="4"/>
                <w:bottom w:val="none" w:color="000000" w:sz="4"/>
                <w:right w:val="none" w:color="000000" w:sz="4"/>
                <w:insideH w:val="none"/>
                <w:insideV w:val="none"/>
              </w:tblBorders>
            </w:tblPr>
            <w:tblGrid>
              <w:gridCol w:w="379"/>
              <w:gridCol w:w="370"/>
              <w:gridCol w:w="1425"/>
              <w:gridCol w:w="379"/>
            </w:tblGrid>
            <w:tr>
              <w:tc>
                <w:tcPr>
                  <w:tcW w:type="dxa" w:w="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检测类型</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指标类型</w:t>
                  </w:r>
                </w:p>
              </w:tc>
              <w:tc>
                <w:tcPr>
                  <w:tcW w:type="dxa" w:w="1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指标名称</w:t>
                  </w:r>
                </w:p>
              </w:tc>
              <w:tc>
                <w:tcPr>
                  <w:tcW w:type="dxa" w:w="3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检测参考方法</w:t>
                  </w:r>
                </w:p>
              </w:tc>
            </w:tr>
            <w:tr>
              <w:tc>
                <w:tcPr>
                  <w:tcW w:type="dxa" w:w="37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地下水</w:t>
                  </w:r>
                </w:p>
              </w:tc>
              <w:tc>
                <w:tcPr>
                  <w:tcW w:type="dxa" w:w="37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实验室检测指标（主体、关键性工作）（35项）</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总硬度、溶解性总固体、硫酸根、氯化物、铁、锰、铜、锌、铝、挥发酚、阴离子表面活性剂、耗氧量、氨氮、硫化物、钠、亚硝酸盐、硝酸盐（以N计）、氰化物、氟化物、碘化物、汞、砷、硒、镉、铬（六价）、铅、氯仿（三氯甲烷）、四氯化碳、苯、甲苯、重碳酸根、碳酸根、钾、钙、镁</w:t>
                  </w:r>
                </w:p>
              </w:tc>
              <w:tc>
                <w:tcPr>
                  <w:tcW w:type="dxa" w:w="37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《地下水质量标准》（GB/T14848-2017）、《上海市建设用地地下水污染风险管控筛选值补充指标》、《地表水环境质量标准》（GB3838-2002）、《土壤环境质量 建设用地土壤污染风险管控标准（试行）》(GB36600—2018)、《硅酸盐岩石化学分析方法》（GB/T 14506.30-2010）等推荐检测方法</w:t>
                  </w:r>
                </w:p>
              </w:tc>
            </w:tr>
            <w:tr>
              <w:tc>
                <w:tcPr>
                  <w:tcW w:type="dxa" w:w="379"/>
                  <w:vMerge/>
                  <w:tcBorders>
                    <w:top w:val="none" w:color="000000" w:sz="4"/>
                    <w:left w:val="single" w:color="000000" w:sz="4"/>
                    <w:bottom w:val="none" w:color="000000" w:sz="4"/>
                    <w:right w:val="single" w:color="000000" w:sz="4"/>
                  </w:tcBorders>
                </w:tcPr>
                <w:p/>
              </w:tc>
              <w:tc>
                <w:tcPr>
                  <w:tcW w:type="dxa" w:w="37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实验室检测指标（非主体、非关键性工作）（42项）</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铍、硼、锑、钡、镍、钴、钼、银、铊、二氯甲烷、1,2-二氯乙烷、1,1,1-三氯乙烷、1,1,2-三氯乙烷、1,2-二氯丙烷、三溴甲烷、氯乙烯、1,1-二氯乙烯、1,2-二氯乙烯、三氯乙烯、四氯乙烯、氯苯、邻二氯苯、对二氯苯、三氯苯（总量）、乙苯、二甲苯（总量）、苯乙烯、2,4-二硝基甲苯、2,6-二硝基甲苯、萘、蒽、荧蒽、苯并(b)荧蒽、苯并(a)芘、多氯联苯（总量）、邻苯二甲酸二（2-乙基己基）酯、2,4,6-三氯酚、五氯酚、偏硅酸、溴、石油烃（C</w:t>
                  </w:r>
                  <w:r>
                    <w:rPr>
                      <w:rFonts w:ascii="仿宋_GB2312" w:hAnsi="仿宋_GB2312" w:cs="仿宋_GB2312" w:eastAsia="仿宋_GB2312"/>
                      <w:sz w:val="21"/>
                      <w:vertAlign w:val="subscript"/>
                    </w:rPr>
                    <w:t>6</w:t>
                  </w:r>
                  <w:r>
                    <w:rPr>
                      <w:rFonts w:ascii="仿宋_GB2312" w:hAnsi="仿宋_GB2312" w:cs="仿宋_GB2312" w:eastAsia="仿宋_GB2312"/>
                      <w:sz w:val="21"/>
                    </w:rPr>
                    <w:t>-C</w:t>
                  </w:r>
                  <w:r>
                    <w:rPr>
                      <w:rFonts w:ascii="仿宋_GB2312" w:hAnsi="仿宋_GB2312" w:cs="仿宋_GB2312" w:eastAsia="仿宋_GB2312"/>
                      <w:sz w:val="21"/>
                      <w:vertAlign w:val="subscript"/>
                    </w:rPr>
                    <w:t>9</w:t>
                  </w:r>
                  <w:r>
                    <w:rPr>
                      <w:rFonts w:ascii="仿宋_GB2312" w:hAnsi="仿宋_GB2312" w:cs="仿宋_GB2312" w:eastAsia="仿宋_GB2312"/>
                      <w:sz w:val="21"/>
                    </w:rPr>
                    <w:t>）、石油烃（C</w:t>
                  </w:r>
                  <w:r>
                    <w:rPr>
                      <w:rFonts w:ascii="仿宋_GB2312" w:hAnsi="仿宋_GB2312" w:cs="仿宋_GB2312" w:eastAsia="仿宋_GB2312"/>
                      <w:sz w:val="21"/>
                      <w:vertAlign w:val="subscript"/>
                    </w:rPr>
                    <w:t>10</w:t>
                  </w:r>
                  <w:r>
                    <w:rPr>
                      <w:rFonts w:ascii="仿宋_GB2312" w:hAnsi="仿宋_GB2312" w:cs="仿宋_GB2312" w:eastAsia="仿宋_GB2312"/>
                      <w:sz w:val="21"/>
                    </w:rPr>
                    <w:t>-C</w:t>
                  </w:r>
                  <w:r>
                    <w:rPr>
                      <w:rFonts w:ascii="仿宋_GB2312" w:hAnsi="仿宋_GB2312" w:cs="仿宋_GB2312" w:eastAsia="仿宋_GB2312"/>
                      <w:sz w:val="21"/>
                      <w:vertAlign w:val="subscript"/>
                    </w:rPr>
                    <w:t>40</w:t>
                  </w:r>
                  <w:r>
                    <w:rPr>
                      <w:rFonts w:ascii="仿宋_GB2312" w:hAnsi="仿宋_GB2312" w:cs="仿宋_GB2312" w:eastAsia="仿宋_GB2312"/>
                      <w:sz w:val="21"/>
                    </w:rPr>
                    <w:t>）</w:t>
                  </w:r>
                </w:p>
              </w:tc>
              <w:tc>
                <w:tcPr>
                  <w:tcW w:type="dxa" w:w="379"/>
                  <w:vMerge/>
                  <w:tcBorders>
                    <w:top w:val="none" w:color="000000" w:sz="4"/>
                    <w:left w:val="none" w:color="000000" w:sz="4"/>
                    <w:bottom w:val="none" w:color="000000" w:sz="4"/>
                    <w:right w:val="single" w:color="000000" w:sz="4"/>
                  </w:tcBorders>
                </w:tcPr>
                <w:p/>
              </w:tc>
            </w:tr>
            <w:tr>
              <w:tc>
                <w:tcPr>
                  <w:tcW w:type="dxa" w:w="379"/>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地表水</w:t>
                  </w:r>
                </w:p>
              </w:tc>
              <w:tc>
                <w:tcPr>
                  <w:tcW w:type="dxa" w:w="37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实验室检测指标（主体、关键性工作）（20项）</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耗氧量、化学需氧量、五日生化需氧量、氨氮、总磷、总氮、铜、锌、氟化物（以F</w:t>
                  </w:r>
                  <w:r>
                    <w:rPr>
                      <w:rFonts w:ascii="仿宋_GB2312" w:hAnsi="仿宋_GB2312" w:cs="仿宋_GB2312" w:eastAsia="仿宋_GB2312"/>
                      <w:sz w:val="21"/>
                      <w:vertAlign w:val="superscript"/>
                    </w:rPr>
                    <w:t>-</w:t>
                  </w:r>
                  <w:r>
                    <w:rPr>
                      <w:rFonts w:ascii="仿宋_GB2312" w:hAnsi="仿宋_GB2312" w:cs="仿宋_GB2312" w:eastAsia="仿宋_GB2312"/>
                      <w:sz w:val="21"/>
                    </w:rPr>
                    <w:t>计）、硒、砷、汞、镉、铬（六价）、铅、氰化物、挥发酚、石油类、阴离子表面活性剂、硫化物</w:t>
                  </w:r>
                </w:p>
              </w:tc>
              <w:tc>
                <w:tcPr>
                  <w:tcW w:type="dxa" w:w="379"/>
                  <w:vMerge/>
                  <w:tcBorders>
                    <w:top w:val="none" w:color="000000" w:sz="4"/>
                    <w:left w:val="none" w:color="000000" w:sz="4"/>
                    <w:bottom w:val="none" w:color="000000" w:sz="4"/>
                    <w:right w:val="single" w:color="000000" w:sz="4"/>
                  </w:tcBorders>
                </w:tcPr>
                <w:p/>
              </w:tc>
            </w:tr>
            <w:tr>
              <w:tc>
                <w:tcPr>
                  <w:tcW w:type="dxa" w:w="379"/>
                  <w:vMerge/>
                  <w:tcBorders>
                    <w:top w:val="single" w:color="000000" w:sz="4"/>
                    <w:left w:val="single" w:color="000000" w:sz="4"/>
                    <w:bottom w:val="none" w:color="000000" w:sz="4"/>
                    <w:right w:val="single" w:color="000000" w:sz="4"/>
                  </w:tcBorders>
                </w:tcPr>
                <w:p/>
              </w:tc>
              <w:tc>
                <w:tcPr>
                  <w:tcW w:type="dxa" w:w="37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实验室检测指标（非主体、非关键性工作）（23项）</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钡、钼、</w:t>
                  </w:r>
                  <w:r>
                    <w:rPr>
                      <w:rFonts w:ascii="仿宋_GB2312" w:hAnsi="仿宋_GB2312" w:cs="仿宋_GB2312" w:eastAsia="仿宋_GB2312"/>
                      <w:sz w:val="21"/>
                    </w:rPr>
                    <w:t>二氯甲烷、1,2-二氯乙烷、1,1,1-三氯乙烷（甲基氯仿）、1,1,2-三氯乙烷、1,2-二氯丙烷、三溴甲烷（溴仿）、氯乙烯、1,1-二氯乙烯（偏二氯乙烯）、1,2-二氯乙烯、三氯乙烯、四氯乙烯、氯苯、邻二氯苯（1,2-二氯苯）、对二氯苯（1,4-二氯苯）、三氯苯（总量）、乙苯、二甲苯（总量）、苯乙烯、萘、苯并（a）芘</w:t>
                  </w:r>
                  <w:r>
                    <w:rPr>
                      <w:rFonts w:ascii="仿宋_GB2312" w:hAnsi="仿宋_GB2312" w:cs="仿宋_GB2312" w:eastAsia="仿宋_GB2312"/>
                      <w:sz w:val="21"/>
                    </w:rPr>
                    <w:t>、粪大肠菌群（个/L）</w:t>
                  </w:r>
                </w:p>
              </w:tc>
              <w:tc>
                <w:tcPr>
                  <w:tcW w:type="dxa" w:w="379"/>
                  <w:vMerge/>
                  <w:tcBorders>
                    <w:top w:val="none" w:color="000000" w:sz="4"/>
                    <w:left w:val="none" w:color="000000" w:sz="4"/>
                    <w:bottom w:val="none" w:color="000000" w:sz="4"/>
                    <w:right w:val="single" w:color="000000" w:sz="4"/>
                  </w:tcBorders>
                </w:tcPr>
                <w:p/>
              </w:tc>
            </w:tr>
            <w:tr>
              <w:tc>
                <w:tcPr>
                  <w:tcW w:type="dxa" w:w="379"/>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土壤浅层实验室检测指标（主体、关键性工作）（45项）</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砷、镉、铬(六价)、铜、铅、汞、镍、四氯化碳、三氯甲烷、氯甲烷、1,1-二氯乙烷、1,2-二氯乙烷、1,1-二氯乙烯、顺-1,2-二氯乙烯、反-1,2-二氯乙烯、二氯甲烷、1,2-二氯丙烷、1,1,1,2-四氯乙烷、1,1,2,2-四氯乙烷、四氯乙烯、1,1,1-三氯乙烷、1,1,2-三氯乙烷、三氯乙烯、1,2,3-三氯丙烷、氯乙烯、苯、氯苯、1,2-二氯苯、1,4-二氯苯、乙苯、苯乙烯、甲苯、间-二甲苯+对-二甲苯、邻-二甲苯、硝基苯、苯胺、2-氯酚、苯并(a)蒽、苯并(a)芘、苯并(b)荧蒽、苯并(k)荧蒽、䓛、二苯并(a,h)蒽、茚并(1,2,3-c,d)芘、萘</w:t>
                  </w:r>
                </w:p>
              </w:tc>
              <w:tc>
                <w:tcPr>
                  <w:tcW w:type="dxa" w:w="379"/>
                  <w:vMerge/>
                  <w:tcBorders>
                    <w:top w:val="none" w:color="000000" w:sz="4"/>
                    <w:left w:val="none" w:color="000000" w:sz="4"/>
                    <w:bottom w:val="none" w:color="000000" w:sz="4"/>
                    <w:right w:val="single" w:color="000000" w:sz="4"/>
                  </w:tcBorders>
                </w:tcPr>
                <w:p/>
              </w:tc>
            </w:tr>
            <w:tr>
              <w:tc>
                <w:tcPr>
                  <w:tcW w:type="dxa" w:w="379"/>
                  <w:vMerge/>
                  <w:tcBorders>
                    <w:top w:val="single" w:color="000000" w:sz="4"/>
                    <w:left w:val="single" w:color="000000" w:sz="4"/>
                    <w:bottom w:val="none" w:color="000000" w:sz="4"/>
                    <w:right w:val="single" w:color="000000" w:sz="4"/>
                  </w:tcBorders>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土壤深层实验室检测指标（非主体、非关键性工作）(66项）</w:t>
                  </w:r>
                </w:p>
              </w:tc>
              <w:tc>
                <w:tcPr>
                  <w:tcW w:type="dxa" w:w="1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氧化铝、氧化钙、全铁（以三氧化二铁表示）、烧失量、氧化钾、氧化镁、氧化锰、氧化钠、五氧化二磷、二氧化硅、二氧化钛、氧化亚铁、银、金、砷、硼、钡、铍、铋、镉、钴、铬、铯、铜、镓、锗、铪、汞、锂、钼、铌、镍、铅、铷、锑、钪、硒、锡、锶、钽、铊、铀、钒、钨、锌、锆、钍、钇、镧、铈、镨、钕、钐、铕、钆、铽、镝、钬、铒、铥、镱、镥、氟、氮、硫、碘</w:t>
                  </w:r>
                </w:p>
              </w:tc>
              <w:tc>
                <w:tcPr>
                  <w:tcW w:type="dxa" w:w="379"/>
                  <w:vMerge/>
                  <w:tcBorders>
                    <w:top w:val="none" w:color="000000" w:sz="4"/>
                    <w:left w:val="none" w:color="000000" w:sz="4"/>
                    <w:bottom w:val="none" w:color="000000" w:sz="4"/>
                    <w:right w:val="single" w:color="000000" w:sz="4"/>
                  </w:tcBorders>
                </w:tcPr>
                <w:p/>
              </w:tc>
            </w:tr>
          </w:tbl>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72"/>
              <w:jc w:val="left"/>
            </w:pPr>
            <w:r>
              <w:rPr>
                <w:rFonts w:ascii="仿宋_GB2312" w:hAnsi="仿宋_GB2312" w:cs="仿宋_GB2312" w:eastAsia="仿宋_GB2312"/>
                <w:sz w:val="21"/>
              </w:rPr>
              <w:t>2.成果要求</w:t>
            </w:r>
          </w:p>
          <w:p>
            <w:pPr>
              <w:pStyle w:val="null3"/>
              <w:ind w:firstLine="572"/>
              <w:jc w:val="left"/>
            </w:pPr>
            <w:r>
              <w:rPr>
                <w:rFonts w:ascii="仿宋_GB2312" w:hAnsi="仿宋_GB2312" w:cs="仿宋_GB2312" w:eastAsia="仿宋_GB2312"/>
                <w:sz w:val="21"/>
              </w:rPr>
              <w:t>（1）所有分析测试指标结果原则要求出具CMA或CNAS资质的检测数据报告以及质量控制报告；如有部分特征污染物指标未具备CMA或CNAS资质的，需根据《环境监测分析方法标准制订技术导则（HJ168-2020）》要求出具检测方法验证报告。</w:t>
            </w:r>
          </w:p>
          <w:p>
            <w:pPr>
              <w:pStyle w:val="null3"/>
              <w:ind w:firstLine="572"/>
              <w:jc w:val="left"/>
            </w:pPr>
            <w:r>
              <w:rPr>
                <w:rFonts w:ascii="仿宋_GB2312" w:hAnsi="仿宋_GB2312" w:cs="仿宋_GB2312" w:eastAsia="仿宋_GB2312"/>
                <w:sz w:val="21"/>
              </w:rPr>
              <w:t>（2）每批样品接样后，须于1个月内完成分析测试，并对丰/枯水期样品分别出具检测数据报告和质量控制报告。</w:t>
            </w:r>
          </w:p>
          <w:p>
            <w:pPr>
              <w:pStyle w:val="null3"/>
              <w:ind w:firstLine="572"/>
              <w:jc w:val="left"/>
            </w:pPr>
            <w:r>
              <w:rPr>
                <w:rFonts w:ascii="仿宋_GB2312" w:hAnsi="仿宋_GB2312" w:cs="仿宋_GB2312" w:eastAsia="仿宋_GB2312"/>
                <w:sz w:val="21"/>
              </w:rPr>
              <w:t>（3）其他要求：检测成果、检测结果清单和报告电子版（Word、Excel、PDF等）、检测报告纸质版（盖CMA章等）。</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72"/>
              <w:jc w:val="left"/>
            </w:pPr>
            <w:r>
              <w:rPr>
                <w:rFonts w:ascii="仿宋_GB2312" w:hAnsi="仿宋_GB2312" w:cs="仿宋_GB2312" w:eastAsia="仿宋_GB2312"/>
                <w:sz w:val="21"/>
              </w:rPr>
              <w:t>3.质量要求</w:t>
            </w:r>
          </w:p>
          <w:p>
            <w:pPr>
              <w:pStyle w:val="null3"/>
              <w:ind w:firstLine="572"/>
              <w:jc w:val="left"/>
            </w:pPr>
            <w:r>
              <w:rPr>
                <w:rFonts w:ascii="仿宋_GB2312" w:hAnsi="仿宋_GB2312" w:cs="仿宋_GB2312" w:eastAsia="仿宋_GB2312"/>
                <w:sz w:val="21"/>
              </w:rPr>
              <w:t>（1）执行《地下水环境状况调查评价工作指南》（环办土壤函〔2019〕770号）、《地下水环境监测技术规范》（HJ164-2020）、《环境监测分析方法标准制订技术导则》（HJ168-2020）、《化工园区地下水样品采集、保存和流转质量控制工作手册》（土壤函〔2021〕100号）、《地块土壤和地下水中挥发性有机物采样技术导则》（HJ1019-2019）、《地下水质量标准》（GB/T14848-2017）、《生活饮用水卫生标准》（GB5749-2022）、《地表水环境质量标准》（GB 3838-2002）、《土壤环境监测技术规范》（HJ166-2004）等相关技术要求。</w:t>
            </w:r>
          </w:p>
          <w:p>
            <w:pPr>
              <w:pStyle w:val="null3"/>
              <w:ind w:firstLine="572"/>
              <w:jc w:val="left"/>
            </w:pPr>
            <w:r>
              <w:rPr>
                <w:rFonts w:ascii="仿宋_GB2312" w:hAnsi="仿宋_GB2312" w:cs="仿宋_GB2312" w:eastAsia="仿宋_GB2312"/>
                <w:sz w:val="21"/>
              </w:rPr>
              <w:t>（2）样品处理时效要求：要求每批样品送达接收后，按照技术标准和规范，确保检测样品在有效期限内开展制样、检测工作。</w:t>
            </w:r>
          </w:p>
          <w:p>
            <w:pPr>
              <w:pStyle w:val="null3"/>
              <w:ind w:firstLine="572"/>
              <w:jc w:val="left"/>
            </w:pPr>
            <w:r>
              <w:rPr>
                <w:rFonts w:ascii="仿宋_GB2312" w:hAnsi="仿宋_GB2312" w:cs="仿宋_GB2312" w:eastAsia="仿宋_GB2312"/>
                <w:sz w:val="21"/>
              </w:rPr>
              <w:t>（3）样品留样要求：每批送达的样品，在进行制样检测后，在样品保质期内预留一份样品用于可能开展的复验。</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标的名称：地下水水位计设备采购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测量指标：水位、水温、溶解氧、电导率和盐度</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量程范围：0-20m</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72"/>
              <w:jc w:val="left"/>
            </w:pPr>
            <w:r>
              <w:rPr>
                <w:rFonts w:ascii="仿宋_GB2312" w:hAnsi="仿宋_GB2312" w:cs="仿宋_GB2312" w:eastAsia="仿宋_GB2312"/>
                <w:sz w:val="21"/>
              </w:rPr>
              <w:t>技术参数：</w:t>
            </w:r>
          </w:p>
          <w:p>
            <w:pPr>
              <w:pStyle w:val="null3"/>
              <w:ind w:firstLine="1144"/>
              <w:jc w:val="left"/>
            </w:pPr>
            <w:r>
              <w:rPr>
                <w:rFonts w:ascii="仿宋_GB2312" w:hAnsi="仿宋_GB2312" w:cs="仿宋_GB2312" w:eastAsia="仿宋_GB2312"/>
                <w:sz w:val="21"/>
                <w:color w:val="000000"/>
              </w:rPr>
              <w:t>水位</w:t>
            </w:r>
            <w:r>
              <w:rPr>
                <w:rFonts w:ascii="仿宋_GB2312" w:hAnsi="仿宋_GB2312" w:cs="仿宋_GB2312" w:eastAsia="仿宋_GB2312"/>
                <w:sz w:val="21"/>
              </w:rPr>
              <w:t>：</w:t>
            </w:r>
            <w:r>
              <w:rPr>
                <w:rFonts w:ascii="仿宋_GB2312" w:hAnsi="仿宋_GB2312" w:cs="仿宋_GB2312" w:eastAsia="仿宋_GB2312"/>
                <w:sz w:val="21"/>
                <w:color w:val="000000"/>
              </w:rPr>
              <w:t>0-</w:t>
            </w: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0 </w:t>
            </w:r>
            <w:r>
              <w:rPr>
                <w:rFonts w:ascii="仿宋_GB2312" w:hAnsi="仿宋_GB2312" w:cs="仿宋_GB2312" w:eastAsia="仿宋_GB2312"/>
                <w:sz w:val="21"/>
                <w:color w:val="000000"/>
              </w:rPr>
              <w:t xml:space="preserve">米，分辨率 </w:t>
            </w:r>
            <w:r>
              <w:rPr>
                <w:rFonts w:ascii="仿宋_GB2312" w:hAnsi="仿宋_GB2312" w:cs="仿宋_GB2312" w:eastAsia="仿宋_GB2312"/>
                <w:sz w:val="21"/>
                <w:color w:val="000000"/>
              </w:rPr>
              <w:t>±1m</w:t>
            </w:r>
            <w:r>
              <w:rPr>
                <w:rFonts w:ascii="仿宋_GB2312" w:hAnsi="仿宋_GB2312" w:cs="仿宋_GB2312" w:eastAsia="仿宋_GB2312"/>
                <w:sz w:val="21"/>
                <w:color w:val="000000"/>
              </w:rPr>
              <w:t>m，精度±0.0</w:t>
            </w:r>
            <w:r>
              <w:rPr>
                <w:rFonts w:ascii="仿宋_GB2312" w:hAnsi="仿宋_GB2312" w:cs="仿宋_GB2312" w:eastAsia="仿宋_GB2312"/>
                <w:sz w:val="21"/>
                <w:color w:val="000000"/>
              </w:rPr>
              <w:t>4%FS</w:t>
            </w:r>
            <w:r>
              <w:rPr>
                <w:rFonts w:ascii="仿宋_GB2312" w:hAnsi="仿宋_GB2312" w:cs="仿宋_GB2312" w:eastAsia="仿宋_GB2312"/>
                <w:sz w:val="21"/>
              </w:rPr>
              <w:t>；</w:t>
            </w:r>
          </w:p>
          <w:p>
            <w:pPr>
              <w:pStyle w:val="null3"/>
              <w:ind w:firstLine="1144"/>
              <w:jc w:val="left"/>
            </w:pPr>
            <w:r>
              <w:rPr>
                <w:rFonts w:ascii="仿宋_GB2312" w:hAnsi="仿宋_GB2312" w:cs="仿宋_GB2312" w:eastAsia="仿宋_GB2312"/>
                <w:sz w:val="21"/>
                <w:color w:val="000000"/>
              </w:rPr>
              <w:t>水温</w:t>
            </w:r>
            <w:r>
              <w:rPr>
                <w:rFonts w:ascii="仿宋_GB2312" w:hAnsi="仿宋_GB2312" w:cs="仿宋_GB2312" w:eastAsia="仿宋_GB2312"/>
                <w:sz w:val="21"/>
              </w:rPr>
              <w:t>：</w:t>
            </w:r>
            <w:r>
              <w:rPr>
                <w:rFonts w:ascii="仿宋_GB2312" w:hAnsi="仿宋_GB2312" w:cs="仿宋_GB2312" w:eastAsia="仿宋_GB2312"/>
                <w:sz w:val="21"/>
                <w:color w:val="000000"/>
              </w:rPr>
              <w:t>0-50</w:t>
            </w:r>
            <w:r>
              <w:rPr>
                <w:rFonts w:ascii="仿宋_GB2312" w:hAnsi="仿宋_GB2312" w:cs="仿宋_GB2312" w:eastAsia="仿宋_GB2312"/>
                <w:sz w:val="21"/>
                <w:color w:val="000000"/>
              </w:rPr>
              <w:t>℃</w:t>
            </w:r>
            <w:r>
              <w:rPr>
                <w:rFonts w:ascii="仿宋_GB2312" w:hAnsi="仿宋_GB2312" w:cs="仿宋_GB2312" w:eastAsia="仿宋_GB2312"/>
                <w:sz w:val="21"/>
              </w:rPr>
              <w:t>，</w:t>
            </w:r>
            <w:r>
              <w:rPr>
                <w:rFonts w:ascii="仿宋_GB2312" w:hAnsi="仿宋_GB2312" w:cs="仿宋_GB2312" w:eastAsia="仿宋_GB2312"/>
                <w:sz w:val="21"/>
                <w:color w:val="000000"/>
              </w:rPr>
              <w:t>分辨率 0.0</w:t>
            </w:r>
            <w:r>
              <w:rPr>
                <w:rFonts w:ascii="仿宋_GB2312" w:hAnsi="仿宋_GB2312" w:cs="仿宋_GB2312" w:eastAsia="仿宋_GB2312"/>
                <w:sz w:val="21"/>
                <w:color w:val="000000"/>
              </w:rPr>
              <w:t>5℃，</w:t>
            </w:r>
            <w:r>
              <w:rPr>
                <w:rFonts w:ascii="仿宋_GB2312" w:hAnsi="仿宋_GB2312" w:cs="仿宋_GB2312" w:eastAsia="仿宋_GB2312"/>
                <w:sz w:val="21"/>
                <w:color w:val="000000"/>
              </w:rPr>
              <w:t>精度±</w:t>
            </w:r>
            <w:r>
              <w:rPr>
                <w:rFonts w:ascii="仿宋_GB2312" w:hAnsi="仿宋_GB2312" w:cs="仿宋_GB2312" w:eastAsia="仿宋_GB2312"/>
                <w:sz w:val="21"/>
                <w:color w:val="000000"/>
              </w:rPr>
              <w:t>0.1℃</w:t>
            </w:r>
            <w:r>
              <w:rPr>
                <w:rFonts w:ascii="仿宋_GB2312" w:hAnsi="仿宋_GB2312" w:cs="仿宋_GB2312" w:eastAsia="仿宋_GB2312"/>
                <w:sz w:val="21"/>
              </w:rPr>
              <w:t>；</w:t>
            </w:r>
          </w:p>
          <w:p>
            <w:pPr>
              <w:pStyle w:val="null3"/>
              <w:ind w:firstLine="1144"/>
              <w:jc w:val="left"/>
            </w:pPr>
            <w:r>
              <w:rPr>
                <w:rFonts w:ascii="仿宋_GB2312" w:hAnsi="仿宋_GB2312" w:cs="仿宋_GB2312" w:eastAsia="仿宋_GB2312"/>
                <w:sz w:val="21"/>
                <w:color w:val="000000"/>
              </w:rPr>
              <w:t>溶解氧</w:t>
            </w:r>
            <w:r>
              <w:rPr>
                <w:rFonts w:ascii="仿宋_GB2312" w:hAnsi="仿宋_GB2312" w:cs="仿宋_GB2312" w:eastAsia="仿宋_GB2312"/>
                <w:sz w:val="21"/>
              </w:rPr>
              <w:t>：</w:t>
            </w:r>
            <w:r>
              <w:rPr>
                <w:rFonts w:ascii="仿宋_GB2312" w:hAnsi="仿宋_GB2312" w:cs="仿宋_GB2312" w:eastAsia="仿宋_GB2312"/>
                <w:sz w:val="21"/>
                <w:color w:val="000000"/>
              </w:rPr>
              <w:t>0-20mg/L</w:t>
            </w:r>
            <w:r>
              <w:rPr>
                <w:rFonts w:ascii="仿宋_GB2312" w:hAnsi="仿宋_GB2312" w:cs="仿宋_GB2312" w:eastAsia="仿宋_GB2312"/>
                <w:sz w:val="21"/>
              </w:rPr>
              <w:t>，</w:t>
            </w:r>
            <w:r>
              <w:rPr>
                <w:rFonts w:ascii="仿宋_GB2312" w:hAnsi="仿宋_GB2312" w:cs="仿宋_GB2312" w:eastAsia="仿宋_GB2312"/>
                <w:sz w:val="21"/>
                <w:color w:val="000000"/>
              </w:rPr>
              <w:t>分辨率 0.01mg/L</w:t>
            </w:r>
            <w:r>
              <w:rPr>
                <w:rFonts w:ascii="仿宋_GB2312" w:hAnsi="仿宋_GB2312" w:cs="仿宋_GB2312" w:eastAsia="仿宋_GB2312"/>
                <w:sz w:val="21"/>
                <w:color w:val="000000"/>
              </w:rPr>
              <w:t>，</w:t>
            </w:r>
            <w:r>
              <w:rPr>
                <w:rFonts w:ascii="仿宋_GB2312" w:hAnsi="仿宋_GB2312" w:cs="仿宋_GB2312" w:eastAsia="仿宋_GB2312"/>
                <w:sz w:val="21"/>
                <w:color w:val="000000"/>
              </w:rPr>
              <w:t>精度±0.3mg/L</w:t>
            </w:r>
            <w:r>
              <w:rPr>
                <w:rFonts w:ascii="仿宋_GB2312" w:hAnsi="仿宋_GB2312" w:cs="仿宋_GB2312" w:eastAsia="仿宋_GB2312"/>
                <w:sz w:val="21"/>
                <w:color w:val="000000"/>
              </w:rPr>
              <w:t>；</w:t>
            </w:r>
          </w:p>
          <w:p>
            <w:pPr>
              <w:pStyle w:val="null3"/>
              <w:ind w:firstLine="1144"/>
              <w:jc w:val="left"/>
            </w:pPr>
            <w:r>
              <w:rPr>
                <w:rFonts w:ascii="仿宋_GB2312" w:hAnsi="仿宋_GB2312" w:cs="仿宋_GB2312" w:eastAsia="仿宋_GB2312"/>
                <w:sz w:val="21"/>
              </w:rPr>
              <w:t>电导率：1µS/cm-100mS/cm，分辨率 0.0001mS/cm，精度±1% FS；</w:t>
            </w:r>
          </w:p>
          <w:p>
            <w:pPr>
              <w:pStyle w:val="null3"/>
              <w:ind w:firstLine="1144"/>
              <w:jc w:val="left"/>
            </w:pPr>
            <w:r>
              <w:rPr>
                <w:rFonts w:ascii="仿宋_GB2312" w:hAnsi="仿宋_GB2312" w:cs="仿宋_GB2312" w:eastAsia="仿宋_GB2312"/>
                <w:sz w:val="21"/>
                <w:color w:val="000000"/>
              </w:rPr>
              <w:t>盐度</w:t>
            </w:r>
            <w:r>
              <w:rPr>
                <w:rFonts w:ascii="仿宋_GB2312" w:hAnsi="仿宋_GB2312" w:cs="仿宋_GB2312" w:eastAsia="仿宋_GB2312"/>
                <w:sz w:val="21"/>
              </w:rPr>
              <w:t>：</w:t>
            </w:r>
            <w:r>
              <w:rPr>
                <w:rFonts w:ascii="仿宋_GB2312" w:hAnsi="仿宋_GB2312" w:cs="仿宋_GB2312" w:eastAsia="仿宋_GB2312"/>
                <w:sz w:val="21"/>
                <w:color w:val="000000"/>
              </w:rPr>
              <w:t>0-1500ppm</w:t>
            </w:r>
            <w:r>
              <w:rPr>
                <w:rFonts w:ascii="仿宋_GB2312" w:hAnsi="仿宋_GB2312" w:cs="仿宋_GB2312" w:eastAsia="仿宋_GB2312"/>
                <w:sz w:val="21"/>
              </w:rPr>
              <w:t>，</w:t>
            </w:r>
            <w:r>
              <w:rPr>
                <w:rFonts w:ascii="仿宋_GB2312" w:hAnsi="仿宋_GB2312" w:cs="仿宋_GB2312" w:eastAsia="仿宋_GB2312"/>
                <w:sz w:val="21"/>
                <w:color w:val="000000"/>
              </w:rPr>
              <w:t>分辨率0.01ppm</w:t>
            </w:r>
            <w:r>
              <w:rPr>
                <w:rFonts w:ascii="仿宋_GB2312" w:hAnsi="仿宋_GB2312" w:cs="仿宋_GB2312" w:eastAsia="仿宋_GB2312"/>
                <w:sz w:val="21"/>
                <w:color w:val="000000"/>
              </w:rPr>
              <w:t>，</w:t>
            </w:r>
            <w:r>
              <w:rPr>
                <w:rFonts w:ascii="仿宋_GB2312" w:hAnsi="仿宋_GB2312" w:cs="仿宋_GB2312" w:eastAsia="仿宋_GB2312"/>
                <w:sz w:val="21"/>
                <w:color w:val="000000"/>
              </w:rPr>
              <w:t>精度±3%FS</w:t>
            </w:r>
            <w:r>
              <w:rPr>
                <w:rFonts w:ascii="仿宋_GB2312" w:hAnsi="仿宋_GB2312" w:cs="仿宋_GB2312" w:eastAsia="仿宋_GB2312"/>
                <w:sz w:val="21"/>
              </w:rPr>
              <w:t>。</w:t>
            </w:r>
          </w:p>
          <w:p>
            <w:pPr>
              <w:pStyle w:val="null3"/>
              <w:ind w:firstLine="572"/>
              <w:jc w:val="left"/>
            </w:pPr>
            <w:r>
              <w:rPr>
                <w:rFonts w:ascii="仿宋_GB2312" w:hAnsi="仿宋_GB2312" w:cs="仿宋_GB2312" w:eastAsia="仿宋_GB2312"/>
                <w:sz w:val="21"/>
                <w:color w:val="000000"/>
              </w:rPr>
              <w:t>测量探头主要技术参数见下表</w:t>
            </w:r>
            <w:r>
              <w:rPr>
                <w:rFonts w:ascii="仿宋_GB2312" w:hAnsi="仿宋_GB2312" w:cs="仿宋_GB2312" w:eastAsia="仿宋_GB2312"/>
                <w:sz w:val="21"/>
                <w:color w:val="000000"/>
              </w:rPr>
              <w:t>：</w:t>
            </w:r>
          </w:p>
          <w:tbl>
            <w:tblPr>
              <w:tblBorders>
                <w:top w:val="none" w:color="000000" w:sz="4"/>
                <w:left w:val="none" w:color="000000" w:sz="4"/>
                <w:bottom w:val="none" w:color="000000" w:sz="4"/>
                <w:right w:val="none" w:color="000000" w:sz="4"/>
                <w:insideH w:val="none"/>
                <w:insideV w:val="none"/>
              </w:tblBorders>
            </w:tblPr>
            <w:tblGrid>
              <w:gridCol w:w="354"/>
              <w:gridCol w:w="644"/>
              <w:gridCol w:w="457"/>
              <w:gridCol w:w="389"/>
              <w:gridCol w:w="354"/>
              <w:gridCol w:w="354"/>
            </w:tblGrid>
            <w:tr>
              <w:tc>
                <w:tcPr>
                  <w:tcW w:type="dxa" w:w="3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测量参数</w:t>
                  </w:r>
                </w:p>
              </w:tc>
              <w:tc>
                <w:tcPr>
                  <w:tcW w:type="dxa" w:w="2198"/>
                  <w:gridSpan w:val="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探头技术参数</w:t>
                  </w:r>
                </w:p>
              </w:tc>
            </w:tr>
            <w:tr>
              <w:tc>
                <w:tcPr>
                  <w:tcW w:type="dxa" w:w="354"/>
                  <w:vMerge/>
                  <w:tcBorders>
                    <w:top w:val="single" w:color="000000" w:sz="4"/>
                    <w:left w:val="single" w:color="000000" w:sz="4"/>
                    <w:bottom w:val="single" w:color="000000" w:sz="4"/>
                    <w:right w:val="single" w:color="000000" w:sz="4"/>
                  </w:tcBorders>
                </w:tcP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量程</w:t>
                  </w:r>
                </w:p>
              </w:tc>
              <w:tc>
                <w:tcPr>
                  <w:tcW w:type="dxa" w:w="4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分辨率</w:t>
                  </w:r>
                </w:p>
              </w:tc>
              <w:tc>
                <w:tcPr>
                  <w:tcW w:type="dxa" w:w="3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精度</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数据采集</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监测要求</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水位</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0-20m</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1m</w:t>
                  </w:r>
                  <w:r>
                    <w:rPr>
                      <w:rFonts w:ascii="仿宋_GB2312" w:hAnsi="仿宋_GB2312" w:cs="仿宋_GB2312" w:eastAsia="仿宋_GB2312"/>
                      <w:sz w:val="21"/>
                      <w:color w:val="000000"/>
                    </w:rPr>
                    <w:t>m</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w:t>
                  </w:r>
                  <w:r>
                    <w:rPr>
                      <w:rFonts w:ascii="仿宋_GB2312" w:hAnsi="仿宋_GB2312" w:cs="仿宋_GB2312" w:eastAsia="仿宋_GB2312"/>
                      <w:sz w:val="21"/>
                      <w:color w:val="000000"/>
                    </w:rPr>
                    <w:t>4</w:t>
                  </w:r>
                  <w:r>
                    <w:rPr>
                      <w:rFonts w:ascii="仿宋_GB2312" w:hAnsi="仿宋_GB2312" w:cs="仿宋_GB2312" w:eastAsia="仿宋_GB2312"/>
                      <w:sz w:val="21"/>
                      <w:color w:val="000000"/>
                    </w:rPr>
                    <w:t>%FS</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实时</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水温</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0～50℃</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w:t>
                  </w:r>
                  <w:r>
                    <w:rPr>
                      <w:rFonts w:ascii="仿宋_GB2312" w:hAnsi="仿宋_GB2312" w:cs="仿宋_GB2312" w:eastAsia="仿宋_GB2312"/>
                      <w:sz w:val="21"/>
                      <w:color w:val="000000"/>
                    </w:rPr>
                    <w:t>05</w:t>
                  </w:r>
                  <w:r>
                    <w:rPr>
                      <w:rFonts w:ascii="仿宋_GB2312" w:hAnsi="仿宋_GB2312" w:cs="仿宋_GB2312" w:eastAsia="仿宋_GB2312"/>
                      <w:sz w:val="21"/>
                      <w:color w:val="000000"/>
                    </w:rPr>
                    <w:t>℃</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w:t>
                  </w:r>
                  <w:r>
                    <w:rPr>
                      <w:rFonts w:ascii="仿宋_GB2312" w:hAnsi="仿宋_GB2312" w:cs="仿宋_GB2312" w:eastAsia="仿宋_GB2312"/>
                      <w:sz w:val="21"/>
                      <w:color w:val="000000"/>
                    </w:rPr>
                    <w:t>1</w:t>
                  </w:r>
                  <w:r>
                    <w:rPr>
                      <w:rFonts w:ascii="仿宋_GB2312" w:hAnsi="仿宋_GB2312" w:cs="仿宋_GB2312" w:eastAsia="仿宋_GB2312"/>
                      <w:sz w:val="21"/>
                      <w:color w:val="000000"/>
                    </w:rPr>
                    <w:t>℃</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实时</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溶解氧</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0-20mg/L</w:t>
                  </w:r>
                  <w:r>
                    <w:br/>
                  </w:r>
                  <w:r>
                    <w:rPr>
                      <w:rFonts w:ascii="仿宋_GB2312" w:hAnsi="仿宋_GB2312" w:cs="仿宋_GB2312" w:eastAsia="仿宋_GB2312"/>
                      <w:sz w:val="21"/>
                      <w:color w:val="000000"/>
                    </w:rPr>
                    <w:t>或0</w:t>
                  </w:r>
                  <w:r>
                    <w:rPr>
                      <w:rFonts w:ascii="仿宋_GB2312" w:hAnsi="仿宋_GB2312" w:cs="仿宋_GB2312" w:eastAsia="仿宋_GB2312"/>
                      <w:sz w:val="21"/>
                      <w:color w:val="000000"/>
                    </w:rPr>
                    <w:t>%～</w:t>
                  </w:r>
                  <w:r>
                    <w:rPr>
                      <w:rFonts w:ascii="仿宋_GB2312" w:hAnsi="仿宋_GB2312" w:cs="仿宋_GB2312" w:eastAsia="仿宋_GB2312"/>
                      <w:sz w:val="21"/>
                      <w:color w:val="000000"/>
                    </w:rPr>
                    <w:t>200%饱和度</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0.01mg/L</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±0.3mg/L</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实时</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电导率</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1µS/cm-100mS/cm</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0.0001mS/cm</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r>
                    <w:rPr>
                      <w:rFonts w:ascii="仿宋_GB2312" w:hAnsi="仿宋_GB2312" w:cs="仿宋_GB2312" w:eastAsia="仿宋_GB2312"/>
                      <w:sz w:val="21"/>
                      <w:color w:val="000000"/>
                    </w:rPr>
                    <w:t>1%FS</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实时</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盐度</w:t>
                  </w: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0-1500ppm</w:t>
                  </w:r>
                </w:p>
              </w:tc>
              <w:tc>
                <w:tcPr>
                  <w:tcW w:type="dxa" w:w="4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0.01ppm</w:t>
                  </w:r>
                </w:p>
              </w:tc>
              <w:tc>
                <w:tcPr>
                  <w:tcW w:type="dxa" w:w="3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±3%FS</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自动</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实时</w:t>
                  </w:r>
                </w:p>
              </w:tc>
            </w:tr>
          </w:tbl>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数据采集：自动连续采集</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电缆材质与长度：聚氨酯（PU），长度≥15m</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防水等级：IP68</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电池寿命：≥2年</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数据存储容量：≥30000组（每5分钟一次）</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监测要求：实时监测，探头测量响应时间＜30S</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灵敏度：0.01mm</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工作温度：0℃～+50℃，温度精密度±0.5℃</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探头直径：≤6cm</w:t>
            </w:r>
          </w:p>
        </w:tc>
      </w:tr>
      <w:tr>
        <w:tc>
          <w:tcPr>
            <w:tcW w:type="dxa" w:w="2769"/>
          </w:tcPr>
          <w:p>
            <w:pPr>
              <w:pStyle w:val="null3"/>
              <w:jc w:val="left"/>
            </w:pPr>
            <w:r>
              <w:rPr>
                <w:rFonts w:ascii="仿宋_GB2312" w:hAnsi="仿宋_GB2312" w:cs="仿宋_GB2312" w:eastAsia="仿宋_GB2312"/>
              </w:rPr>
              <w:t>13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所有设备、配件要具有良好的抗腐蚀性</w:t>
            </w:r>
          </w:p>
        </w:tc>
      </w:tr>
      <w:tr>
        <w:tc>
          <w:tcPr>
            <w:tcW w:type="dxa" w:w="2769"/>
          </w:tcPr>
          <w:p>
            <w:pPr>
              <w:pStyle w:val="null3"/>
              <w:jc w:val="left"/>
            </w:pPr>
            <w:r>
              <w:rPr>
                <w:rFonts w:ascii="仿宋_GB2312" w:hAnsi="仿宋_GB2312" w:cs="仿宋_GB2312" w:eastAsia="仿宋_GB2312"/>
              </w:rPr>
              <w:t>14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支持无线网络传输和离线数据拷贝</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72"/>
              <w:jc w:val="left"/>
            </w:pPr>
            <w:r>
              <w:rPr>
                <w:rFonts w:ascii="仿宋_GB2312" w:hAnsi="仿宋_GB2312" w:cs="仿宋_GB2312" w:eastAsia="仿宋_GB2312"/>
                <w:sz w:val="21"/>
              </w:rPr>
              <w:t>1.合同履行期限（服务期）</w:t>
            </w:r>
          </w:p>
          <w:p>
            <w:pPr>
              <w:pStyle w:val="null3"/>
              <w:ind w:firstLine="572"/>
              <w:jc w:val="left"/>
            </w:pPr>
            <w:r>
              <w:rPr>
                <w:rFonts w:ascii="仿宋_GB2312" w:hAnsi="仿宋_GB2312" w:cs="仿宋_GB2312" w:eastAsia="仿宋_GB2312"/>
                <w:sz w:val="21"/>
              </w:rPr>
              <w:t>自合同签订之日起至2026年12月31日。</w:t>
            </w:r>
          </w:p>
          <w:p>
            <w:pPr>
              <w:pStyle w:val="null3"/>
              <w:ind w:firstLine="572"/>
              <w:jc w:val="left"/>
            </w:pPr>
            <w:r>
              <w:rPr>
                <w:rFonts w:ascii="仿宋_GB2312" w:hAnsi="仿宋_GB2312" w:cs="仿宋_GB2312" w:eastAsia="仿宋_GB2312"/>
                <w:sz w:val="21"/>
              </w:rPr>
              <w:t>2.服务地点</w:t>
            </w:r>
          </w:p>
          <w:p>
            <w:pPr>
              <w:pStyle w:val="null3"/>
              <w:ind w:firstLine="572"/>
              <w:jc w:val="left"/>
            </w:pPr>
            <w:r>
              <w:rPr>
                <w:rFonts w:ascii="仿宋_GB2312" w:hAnsi="仿宋_GB2312" w:cs="仿宋_GB2312" w:eastAsia="仿宋_GB2312"/>
                <w:sz w:val="21"/>
              </w:rPr>
              <w:t>采购人指定地点。</w:t>
            </w:r>
          </w:p>
          <w:p>
            <w:pPr>
              <w:pStyle w:val="null3"/>
              <w:ind w:firstLine="572"/>
              <w:jc w:val="left"/>
            </w:pPr>
            <w:r>
              <w:rPr>
                <w:rFonts w:ascii="仿宋_GB2312" w:hAnsi="仿宋_GB2312" w:cs="仿宋_GB2312" w:eastAsia="仿宋_GB2312"/>
                <w:sz w:val="21"/>
              </w:rPr>
              <w:t>3.实施进度要求</w:t>
            </w:r>
          </w:p>
          <w:p>
            <w:pPr>
              <w:pStyle w:val="null3"/>
              <w:ind w:firstLine="572"/>
              <w:jc w:val="left"/>
            </w:pPr>
            <w:r>
              <w:rPr>
                <w:rFonts w:ascii="仿宋_GB2312" w:hAnsi="仿宋_GB2312" w:cs="仿宋_GB2312" w:eastAsia="仿宋_GB2312"/>
                <w:sz w:val="21"/>
              </w:rPr>
              <w:t>（1）2025年12月10日前完成49口已有井维护、不少于10口地下水观测井建设以及采集不少于50组地下水、土壤、地表水样品等阶段性成果。</w:t>
            </w:r>
          </w:p>
          <w:p>
            <w:pPr>
              <w:pStyle w:val="null3"/>
              <w:ind w:firstLine="572"/>
              <w:jc w:val="left"/>
            </w:pPr>
            <w:r>
              <w:rPr>
                <w:rFonts w:ascii="仿宋_GB2312" w:hAnsi="仿宋_GB2312" w:cs="仿宋_GB2312" w:eastAsia="仿宋_GB2312"/>
                <w:sz w:val="21"/>
              </w:rPr>
              <w:t>（2）2026年1月31日前完成剩余新建地下水环境观测井建设。</w:t>
            </w:r>
          </w:p>
          <w:p>
            <w:pPr>
              <w:pStyle w:val="null3"/>
              <w:ind w:firstLine="572"/>
              <w:jc w:val="left"/>
            </w:pPr>
            <w:r>
              <w:rPr>
                <w:rFonts w:ascii="仿宋_GB2312" w:hAnsi="仿宋_GB2312" w:cs="仿宋_GB2312" w:eastAsia="仿宋_GB2312"/>
                <w:sz w:val="21"/>
              </w:rPr>
              <w:t>（3）2026年7月31日前提交符合合同约定的地下水环境观测井建设、已有井维护和样品采集等成果材料。</w:t>
            </w:r>
          </w:p>
          <w:p>
            <w:pPr>
              <w:pStyle w:val="null3"/>
              <w:ind w:firstLine="572"/>
              <w:jc w:val="left"/>
            </w:pPr>
            <w:r>
              <w:rPr>
                <w:rFonts w:ascii="仿宋_GB2312" w:hAnsi="仿宋_GB2312" w:cs="仿宋_GB2312" w:eastAsia="仿宋_GB2312"/>
                <w:sz w:val="21"/>
              </w:rPr>
              <w:t>（4）2026年12月31日完成所有技术服务成果且经采购人组织验收通过。</w:t>
            </w:r>
          </w:p>
          <w:p>
            <w:pPr>
              <w:pStyle w:val="null3"/>
              <w:ind w:firstLine="572"/>
              <w:jc w:val="left"/>
            </w:pPr>
            <w:r>
              <w:rPr>
                <w:rFonts w:ascii="仿宋_GB2312" w:hAnsi="仿宋_GB2312" w:cs="仿宋_GB2312" w:eastAsia="仿宋_GB2312"/>
                <w:sz w:val="21"/>
              </w:rPr>
              <w:t>4.付款方式、时间和条件</w:t>
            </w:r>
          </w:p>
          <w:p>
            <w:pPr>
              <w:pStyle w:val="null3"/>
              <w:ind w:firstLine="572"/>
              <w:jc w:val="left"/>
            </w:pPr>
            <w:r>
              <w:rPr>
                <w:rFonts w:ascii="仿宋_GB2312" w:hAnsi="仿宋_GB2312" w:cs="仿宋_GB2312" w:eastAsia="仿宋_GB2312"/>
                <w:sz w:val="21"/>
              </w:rPr>
              <w:t>（1）付款方式为分三期支付。</w:t>
            </w:r>
          </w:p>
          <w:p>
            <w:pPr>
              <w:pStyle w:val="null3"/>
              <w:ind w:firstLine="572"/>
              <w:jc w:val="left"/>
            </w:pPr>
            <w:r>
              <w:rPr>
                <w:rFonts w:ascii="仿宋_GB2312" w:hAnsi="仿宋_GB2312" w:cs="仿宋_GB2312" w:eastAsia="仿宋_GB2312"/>
                <w:sz w:val="21"/>
              </w:rPr>
              <w:t>第一期，合同生效且收到符合采购人要求的等额发票后，采购人向成交供应商支付合同总额的50%；</w:t>
            </w:r>
          </w:p>
          <w:p>
            <w:pPr>
              <w:pStyle w:val="null3"/>
              <w:ind w:firstLine="572"/>
              <w:jc w:val="left"/>
            </w:pPr>
            <w:r>
              <w:rPr>
                <w:rFonts w:ascii="仿宋_GB2312" w:hAnsi="仿宋_GB2312" w:cs="仿宋_GB2312" w:eastAsia="仿宋_GB2312"/>
                <w:sz w:val="21"/>
              </w:rPr>
              <w:t>第二期，成交供应商提交49口已有井维护、不少于10口地下水观测井建设以及采集不少于50组地下水、土壤、地表水样品等材料且收到符合采购人要求的等额发票后，采购人向成交供应商支付合同总额的30%；</w:t>
            </w:r>
          </w:p>
          <w:p>
            <w:pPr>
              <w:pStyle w:val="null3"/>
              <w:ind w:firstLine="572"/>
              <w:jc w:val="left"/>
            </w:pPr>
            <w:r>
              <w:rPr>
                <w:rFonts w:ascii="仿宋_GB2312" w:hAnsi="仿宋_GB2312" w:cs="仿宋_GB2312" w:eastAsia="仿宋_GB2312"/>
                <w:sz w:val="21"/>
              </w:rPr>
              <w:t>第三期，成交供应商向采购人提交完成所有项目成果，且收到符合采购人要求的等额发票后，采购人向成交供应商支付合同总额的10%；</w:t>
            </w:r>
          </w:p>
          <w:p>
            <w:pPr>
              <w:pStyle w:val="null3"/>
              <w:ind w:firstLine="572"/>
              <w:jc w:val="left"/>
            </w:pPr>
            <w:r>
              <w:rPr>
                <w:rFonts w:ascii="仿宋_GB2312" w:hAnsi="仿宋_GB2312" w:cs="仿宋_GB2312" w:eastAsia="仿宋_GB2312"/>
                <w:sz w:val="21"/>
              </w:rPr>
              <w:t>第四期，采购人完成所有技术服务并经采购人组织验收通过，且收到符合采购人要求的等额发票后，采购人向成交供应商付清剩余10%的合同款项。</w:t>
            </w:r>
          </w:p>
          <w:p>
            <w:pPr>
              <w:pStyle w:val="null3"/>
              <w:ind w:firstLine="572"/>
              <w:jc w:val="left"/>
            </w:pPr>
            <w:r>
              <w:rPr>
                <w:rFonts w:ascii="仿宋_GB2312" w:hAnsi="仿宋_GB2312" w:cs="仿宋_GB2312" w:eastAsia="仿宋_GB2312"/>
                <w:sz w:val="21"/>
              </w:rPr>
              <w:t>（2）成交供应商每次申请付款应提供符合采购人要求的成果和等额发票及采购人报账所必须的相关材料。成交供应商申请付款时，如成交供应商提供的材料不完整、不真实，或者因政府相关资金未能及时到位的，采购人有权暂缓付款而不视为违约。</w:t>
            </w:r>
          </w:p>
          <w:p>
            <w:pPr>
              <w:pStyle w:val="null3"/>
              <w:ind w:firstLine="572"/>
              <w:jc w:val="left"/>
            </w:pPr>
            <w:r>
              <w:rPr>
                <w:rFonts w:ascii="仿宋_GB2312" w:hAnsi="仿宋_GB2312" w:cs="仿宋_GB2312" w:eastAsia="仿宋_GB2312"/>
                <w:sz w:val="21"/>
              </w:rPr>
              <w:t>5.版权及保密要求</w:t>
            </w:r>
          </w:p>
          <w:p>
            <w:pPr>
              <w:pStyle w:val="null3"/>
              <w:ind w:firstLine="572"/>
              <w:jc w:val="left"/>
            </w:pPr>
            <w:r>
              <w:rPr>
                <w:rFonts w:ascii="仿宋_GB2312" w:hAnsi="仿宋_GB2312" w:cs="仿宋_GB2312" w:eastAsia="仿宋_GB2312"/>
                <w:sz w:val="21"/>
              </w:rPr>
              <w:t>（1）成交供应商向采购人提交的委托工作成果及由此而产生的著作权均归采购人所有，未经采购人同意成交供应商不得擅自对外进行宣传、发表、出版等方式予以传播。</w:t>
            </w:r>
          </w:p>
          <w:p>
            <w:pPr>
              <w:pStyle w:val="null3"/>
              <w:ind w:firstLine="572"/>
              <w:jc w:val="left"/>
            </w:pPr>
            <w:r>
              <w:rPr>
                <w:rFonts w:ascii="仿宋_GB2312" w:hAnsi="仿宋_GB2312" w:cs="仿宋_GB2312" w:eastAsia="仿宋_GB2312"/>
                <w:sz w:val="21"/>
              </w:rPr>
              <w:t>（2）成交供应商保证其提交的工作成果为其独立完成，没有侵犯任何其他第三方的著作权。</w:t>
            </w:r>
          </w:p>
          <w:p>
            <w:pPr>
              <w:pStyle w:val="null3"/>
              <w:ind w:firstLine="572"/>
              <w:jc w:val="left"/>
            </w:pPr>
            <w:r>
              <w:rPr>
                <w:rFonts w:ascii="仿宋_GB2312" w:hAnsi="仿宋_GB2312" w:cs="仿宋_GB2312" w:eastAsia="仿宋_GB2312"/>
                <w:sz w:val="21"/>
              </w:rPr>
              <w:t>（3）成交供应商对于完成委托事项过程中掌握的资料、信息等负有保密义务，擅自泄密须承担法律责任。</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72"/>
              <w:jc w:val="left"/>
            </w:pPr>
            <w:r>
              <w:rPr>
                <w:rFonts w:ascii="仿宋_GB2312" w:hAnsi="仿宋_GB2312" w:cs="仿宋_GB2312" w:eastAsia="仿宋_GB2312"/>
                <w:sz w:val="21"/>
              </w:rPr>
              <w:t>1.合同履行期限（服务期）</w:t>
            </w:r>
          </w:p>
          <w:p>
            <w:pPr>
              <w:pStyle w:val="null3"/>
              <w:ind w:firstLine="572"/>
              <w:jc w:val="left"/>
            </w:pPr>
            <w:r>
              <w:rPr>
                <w:rFonts w:ascii="仿宋_GB2312" w:hAnsi="仿宋_GB2312" w:cs="仿宋_GB2312" w:eastAsia="仿宋_GB2312"/>
                <w:sz w:val="21"/>
              </w:rPr>
              <w:t>自合同签订之日起至2026年12月31日。</w:t>
            </w:r>
          </w:p>
          <w:p>
            <w:pPr>
              <w:pStyle w:val="null3"/>
              <w:ind w:firstLine="572"/>
              <w:jc w:val="left"/>
            </w:pPr>
            <w:r>
              <w:rPr>
                <w:rFonts w:ascii="仿宋_GB2312" w:hAnsi="仿宋_GB2312" w:cs="仿宋_GB2312" w:eastAsia="仿宋_GB2312"/>
                <w:sz w:val="21"/>
              </w:rPr>
              <w:t>2.服务地点</w:t>
            </w:r>
          </w:p>
          <w:p>
            <w:pPr>
              <w:pStyle w:val="null3"/>
              <w:ind w:firstLine="572"/>
              <w:jc w:val="left"/>
            </w:pPr>
            <w:r>
              <w:rPr>
                <w:rFonts w:ascii="仿宋_GB2312" w:hAnsi="仿宋_GB2312" w:cs="仿宋_GB2312" w:eastAsia="仿宋_GB2312"/>
                <w:sz w:val="21"/>
              </w:rPr>
              <w:t>采购人指定地点。</w:t>
            </w:r>
          </w:p>
          <w:p>
            <w:pPr>
              <w:pStyle w:val="null3"/>
              <w:ind w:firstLine="572"/>
              <w:jc w:val="left"/>
            </w:pPr>
            <w:r>
              <w:rPr>
                <w:rFonts w:ascii="仿宋_GB2312" w:hAnsi="仿宋_GB2312" w:cs="仿宋_GB2312" w:eastAsia="仿宋_GB2312"/>
                <w:sz w:val="21"/>
              </w:rPr>
              <w:t>3.检测主体要求</w:t>
            </w:r>
          </w:p>
          <w:p>
            <w:pPr>
              <w:pStyle w:val="null3"/>
              <w:ind w:firstLine="572"/>
              <w:jc w:val="left"/>
            </w:pPr>
            <w:r>
              <w:rPr>
                <w:rFonts w:ascii="仿宋_GB2312" w:hAnsi="仿宋_GB2312" w:cs="仿宋_GB2312" w:eastAsia="仿宋_GB2312"/>
                <w:sz w:val="21"/>
              </w:rPr>
              <w:t>（1）《地下水质量标准》表1的一般化学指标项和毒理学指标项（除现场指标、微生物指标和放射性指标外）和5项天然对照指标重碳酸根、碳酸根、钾、钙、镁，《地表水环境质量标准》表1的20项实验室检测指标以及《土壤环境质量 建设用地土壤污染风险管控标准（试行）》的45项指标检测作为成交供应商的主体、关键性工作，成交供应商需具备以上对应指标的检测能力，不允许分包。</w:t>
            </w:r>
          </w:p>
          <w:p>
            <w:pPr>
              <w:pStyle w:val="null3"/>
              <w:ind w:firstLine="524"/>
              <w:jc w:val="left"/>
            </w:pPr>
            <w:r>
              <w:rPr>
                <w:rFonts w:ascii="仿宋_GB2312" w:hAnsi="仿宋_GB2312" w:cs="仿宋_GB2312" w:eastAsia="仿宋_GB2312"/>
                <w:sz w:val="21"/>
              </w:rPr>
              <w:t>（2）成交供应商的非主体、非关键性工作，允许分包，但分包比例不超过非主体、非关键性指标项的25%，且主体方须对分包方数量质量负责，并对采购人的指定指标进行盲样考核，确保质量控制措施落实。</w:t>
            </w:r>
          </w:p>
          <w:p>
            <w:pPr>
              <w:pStyle w:val="null3"/>
              <w:ind w:firstLine="572"/>
              <w:jc w:val="left"/>
            </w:pPr>
            <w:r>
              <w:rPr>
                <w:rFonts w:ascii="仿宋_GB2312" w:hAnsi="仿宋_GB2312" w:cs="仿宋_GB2312" w:eastAsia="仿宋_GB2312"/>
                <w:sz w:val="21"/>
              </w:rPr>
              <w:t>（3）开展分析测试过程中，如遇数据异常应及时开展复验查找问题，怀疑存在采样问题的，及时反馈采购人，重新进行采样复测。</w:t>
            </w:r>
          </w:p>
          <w:p>
            <w:pPr>
              <w:pStyle w:val="null3"/>
              <w:ind w:firstLine="572"/>
              <w:jc w:val="left"/>
            </w:pPr>
            <w:r>
              <w:rPr>
                <w:rFonts w:ascii="仿宋_GB2312" w:hAnsi="仿宋_GB2312" w:cs="仿宋_GB2312" w:eastAsia="仿宋_GB2312"/>
                <w:sz w:val="21"/>
              </w:rPr>
              <w:t>4.时间进度要求</w:t>
            </w:r>
          </w:p>
          <w:p>
            <w:pPr>
              <w:pStyle w:val="null3"/>
              <w:ind w:firstLine="572"/>
              <w:jc w:val="left"/>
            </w:pPr>
            <w:r>
              <w:rPr>
                <w:rFonts w:ascii="仿宋_GB2312" w:hAnsi="仿宋_GB2312" w:cs="仿宋_GB2312" w:eastAsia="仿宋_GB2312"/>
                <w:sz w:val="21"/>
              </w:rPr>
              <w:t>（1）2025年12月25日前提交符合合同约定的不少于50份检测报告及检测数据等成果。</w:t>
            </w:r>
          </w:p>
          <w:p>
            <w:pPr>
              <w:pStyle w:val="null3"/>
              <w:ind w:firstLine="572"/>
              <w:jc w:val="left"/>
            </w:pPr>
            <w:r>
              <w:rPr>
                <w:rFonts w:ascii="仿宋_GB2312" w:hAnsi="仿宋_GB2312" w:cs="仿宋_GB2312" w:eastAsia="仿宋_GB2312"/>
                <w:sz w:val="21"/>
              </w:rPr>
              <w:t>（2）2026年8月31日前提交符合合同约定的全部样品检测报告等相关成果。</w:t>
            </w:r>
          </w:p>
          <w:p>
            <w:pPr>
              <w:pStyle w:val="null3"/>
              <w:ind w:firstLine="572"/>
              <w:jc w:val="left"/>
            </w:pPr>
            <w:r>
              <w:rPr>
                <w:rFonts w:ascii="仿宋_GB2312" w:hAnsi="仿宋_GB2312" w:cs="仿宋_GB2312" w:eastAsia="仿宋_GB2312"/>
                <w:sz w:val="21"/>
              </w:rPr>
              <w:t>（3）2026年12月31日完成所有技术服务成果且经采购人组织验收通过。</w:t>
            </w:r>
          </w:p>
          <w:p>
            <w:pPr>
              <w:pStyle w:val="null3"/>
              <w:ind w:firstLine="572"/>
              <w:jc w:val="left"/>
            </w:pPr>
            <w:r>
              <w:rPr>
                <w:rFonts w:ascii="仿宋_GB2312" w:hAnsi="仿宋_GB2312" w:cs="仿宋_GB2312" w:eastAsia="仿宋_GB2312"/>
                <w:sz w:val="21"/>
              </w:rPr>
              <w:t>5.付款方式、时间和条件</w:t>
            </w:r>
          </w:p>
          <w:p>
            <w:pPr>
              <w:pStyle w:val="null3"/>
              <w:ind w:firstLine="572"/>
              <w:jc w:val="left"/>
            </w:pPr>
            <w:r>
              <w:rPr>
                <w:rFonts w:ascii="仿宋_GB2312" w:hAnsi="仿宋_GB2312" w:cs="仿宋_GB2312" w:eastAsia="仿宋_GB2312"/>
                <w:sz w:val="21"/>
              </w:rPr>
              <w:t>（1）付款方式为分四期支付。</w:t>
            </w:r>
          </w:p>
          <w:p>
            <w:pPr>
              <w:pStyle w:val="null3"/>
              <w:ind w:firstLine="572"/>
              <w:jc w:val="left"/>
            </w:pPr>
            <w:r>
              <w:rPr>
                <w:rFonts w:ascii="仿宋_GB2312" w:hAnsi="仿宋_GB2312" w:cs="仿宋_GB2312" w:eastAsia="仿宋_GB2312"/>
                <w:sz w:val="21"/>
              </w:rPr>
              <w:t>第一期，合同生效且收到符合采购人要求的等额发票后，采购人向成交供应商支付合同总额的50%。</w:t>
            </w:r>
          </w:p>
          <w:p>
            <w:pPr>
              <w:pStyle w:val="null3"/>
              <w:ind w:firstLine="572"/>
              <w:jc w:val="left"/>
            </w:pPr>
            <w:r>
              <w:rPr>
                <w:rFonts w:ascii="仿宋_GB2312" w:hAnsi="仿宋_GB2312" w:cs="仿宋_GB2312" w:eastAsia="仿宋_GB2312"/>
                <w:sz w:val="21"/>
              </w:rPr>
              <w:t>第二期，成交供应商提交不少于50份检测报告及检测数据等成果且收到符合采购人要求的等额发票后，采购人向成交供应商支付合同总额的30%。</w:t>
            </w:r>
          </w:p>
          <w:p>
            <w:pPr>
              <w:pStyle w:val="null3"/>
              <w:ind w:firstLine="572"/>
              <w:jc w:val="left"/>
            </w:pPr>
            <w:r>
              <w:rPr>
                <w:rFonts w:ascii="仿宋_GB2312" w:hAnsi="仿宋_GB2312" w:cs="仿宋_GB2312" w:eastAsia="仿宋_GB2312"/>
                <w:sz w:val="21"/>
              </w:rPr>
              <w:t>第三期，成交供应商向采购人提交所有项目成果，且收到符合采购人要求的等额发票后，采购人向成交供应商支付合同总额剩余的10%。</w:t>
            </w:r>
          </w:p>
          <w:p>
            <w:pPr>
              <w:pStyle w:val="null3"/>
              <w:ind w:firstLine="572"/>
              <w:jc w:val="left"/>
            </w:pPr>
            <w:r>
              <w:rPr>
                <w:rFonts w:ascii="仿宋_GB2312" w:hAnsi="仿宋_GB2312" w:cs="仿宋_GB2312" w:eastAsia="仿宋_GB2312"/>
                <w:sz w:val="21"/>
              </w:rPr>
              <w:t>第四期，采购人完成所有技术服务并经采购人组织验收通过，且收到符合采购人要求的等额发票后，采购人向成交供应商付清剩余10%的合同款项。</w:t>
            </w:r>
          </w:p>
          <w:p>
            <w:pPr>
              <w:pStyle w:val="null3"/>
              <w:ind w:firstLine="572"/>
              <w:jc w:val="left"/>
            </w:pPr>
            <w:r>
              <w:rPr>
                <w:rFonts w:ascii="仿宋_GB2312" w:hAnsi="仿宋_GB2312" w:cs="仿宋_GB2312" w:eastAsia="仿宋_GB2312"/>
                <w:sz w:val="21"/>
              </w:rPr>
              <w:t>（2）成交供应商每次申请付款应提供符合采购人要求的等额发票及采购人报账所必须的相关材料。成交供应商申请付款时，如成交供应商提供的材料不完整、不真实，或者因政府相关资金未能及时到位的，采购人有权暂缓付款而不视为违约。</w:t>
            </w:r>
          </w:p>
          <w:p>
            <w:pPr>
              <w:pStyle w:val="null3"/>
              <w:ind w:firstLine="572"/>
              <w:jc w:val="left"/>
            </w:pPr>
            <w:r>
              <w:rPr>
                <w:rFonts w:ascii="仿宋_GB2312" w:hAnsi="仿宋_GB2312" w:cs="仿宋_GB2312" w:eastAsia="仿宋_GB2312"/>
                <w:sz w:val="21"/>
              </w:rPr>
              <w:t>6.分包要求：</w:t>
            </w:r>
          </w:p>
          <w:p>
            <w:pPr>
              <w:pStyle w:val="null3"/>
              <w:ind w:firstLine="572"/>
              <w:jc w:val="left"/>
            </w:pPr>
            <w:r>
              <w:rPr>
                <w:rFonts w:ascii="仿宋_GB2312" w:hAnsi="仿宋_GB2312" w:cs="仿宋_GB2312" w:eastAsia="仿宋_GB2312"/>
                <w:sz w:val="21"/>
              </w:rPr>
              <w:t>供应商根据磋商文件的规定和采购项目的实际情况，拟在中标后将中标项目的非主体、非关键性工作（非特征指标）分包的，应当在响应文件中载明分包承担主体，分包承担主体应当具备相应资质条件且不得再次分包，相关要求如下：</w:t>
            </w:r>
          </w:p>
          <w:p>
            <w:pPr>
              <w:pStyle w:val="null3"/>
              <w:ind w:firstLine="572"/>
              <w:jc w:val="left"/>
            </w:pPr>
            <w:r>
              <w:rPr>
                <w:rFonts w:ascii="仿宋_GB2312" w:hAnsi="仿宋_GB2312" w:cs="仿宋_GB2312" w:eastAsia="仿宋_GB2312"/>
                <w:sz w:val="21"/>
              </w:rPr>
              <w:t>（1）分包供应商应满足《中华人民共和国政府采购法》第二十二条规定和具有完成承担分包内容的相应能力（提供承诺函）；</w:t>
            </w:r>
          </w:p>
          <w:p>
            <w:pPr>
              <w:pStyle w:val="null3"/>
              <w:ind w:firstLine="572"/>
              <w:jc w:val="left"/>
            </w:pPr>
            <w:r>
              <w:rPr>
                <w:rFonts w:ascii="仿宋_GB2312" w:hAnsi="仿宋_GB2312" w:cs="仿宋_GB2312" w:eastAsia="仿宋_GB2312"/>
                <w:sz w:val="21"/>
              </w:rPr>
              <w:t>（2）享受《政府采购促进中小企业发展管理办法》的通知（财库〔2020〕46号）的规定扶持政策，获得政府采购合同的，小微企业不得将合同分包给大中型企业，中型企业不得将合同分包给大型企业。</w:t>
            </w:r>
          </w:p>
          <w:p>
            <w:pPr>
              <w:pStyle w:val="null3"/>
              <w:ind w:firstLine="572"/>
              <w:jc w:val="left"/>
            </w:pPr>
            <w:r>
              <w:rPr>
                <w:rFonts w:ascii="仿宋_GB2312" w:hAnsi="仿宋_GB2312" w:cs="仿宋_GB2312" w:eastAsia="仿宋_GB2312"/>
                <w:sz w:val="21"/>
              </w:rPr>
              <w:t>（3）如有分包，应在《中小企业声明函》中填写签订分包意向协议的中小企业相关信息。</w:t>
            </w:r>
          </w:p>
          <w:p>
            <w:pPr>
              <w:pStyle w:val="null3"/>
              <w:ind w:firstLine="572"/>
              <w:jc w:val="left"/>
            </w:pPr>
            <w:r>
              <w:rPr>
                <w:rFonts w:ascii="仿宋_GB2312" w:hAnsi="仿宋_GB2312" w:cs="仿宋_GB2312" w:eastAsia="仿宋_GB2312"/>
                <w:sz w:val="21"/>
              </w:rPr>
              <w:t>（4）如有分包，投标文件中应明确分包内容，并提供与分包供应商签订的分包意向协议（格式自拟）。未提供，视为不分包。</w:t>
            </w:r>
          </w:p>
          <w:p>
            <w:pPr>
              <w:pStyle w:val="null3"/>
              <w:ind w:firstLine="572"/>
              <w:jc w:val="left"/>
            </w:pPr>
            <w:r>
              <w:rPr>
                <w:rFonts w:ascii="仿宋_GB2312" w:hAnsi="仿宋_GB2312" w:cs="仿宋_GB2312" w:eastAsia="仿宋_GB2312"/>
                <w:sz w:val="21"/>
              </w:rPr>
              <w:t>（5）政府采购合同分包履行的，中标供应商就采购项目和分包项目向采购人负责，分包供应商就分包项目承担责任。</w:t>
            </w:r>
          </w:p>
          <w:p>
            <w:pPr>
              <w:pStyle w:val="null3"/>
              <w:ind w:firstLine="572"/>
              <w:jc w:val="left"/>
            </w:pPr>
            <w:r>
              <w:rPr>
                <w:rFonts w:ascii="仿宋_GB2312" w:hAnsi="仿宋_GB2312" w:cs="仿宋_GB2312" w:eastAsia="仿宋_GB2312"/>
                <w:sz w:val="21"/>
              </w:rPr>
              <w:t>（6）如有违反以上情形，采购人有权解除合同，并追究中标人的违约责任。</w:t>
            </w:r>
          </w:p>
          <w:p>
            <w:pPr>
              <w:pStyle w:val="null3"/>
              <w:ind w:firstLine="572"/>
              <w:jc w:val="left"/>
            </w:pPr>
            <w:r>
              <w:rPr>
                <w:rFonts w:ascii="仿宋_GB2312" w:hAnsi="仿宋_GB2312" w:cs="仿宋_GB2312" w:eastAsia="仿宋_GB2312"/>
                <w:sz w:val="21"/>
              </w:rPr>
              <w:t>7.版权及保密要求</w:t>
            </w:r>
          </w:p>
          <w:p>
            <w:pPr>
              <w:pStyle w:val="null3"/>
              <w:ind w:firstLine="572"/>
              <w:jc w:val="left"/>
            </w:pPr>
            <w:r>
              <w:rPr>
                <w:rFonts w:ascii="仿宋_GB2312" w:hAnsi="仿宋_GB2312" w:cs="仿宋_GB2312" w:eastAsia="仿宋_GB2312"/>
                <w:sz w:val="21"/>
              </w:rPr>
              <w:t>（1）中标人向采购人提交的委托工作成果及由此而产生的著作权均归采购人所有，未经采购人同意中标人不得擅自对外进行宣传、发表、出版等方式予以传播。</w:t>
            </w:r>
          </w:p>
          <w:p>
            <w:pPr>
              <w:pStyle w:val="null3"/>
              <w:ind w:firstLine="572"/>
              <w:jc w:val="left"/>
            </w:pPr>
            <w:r>
              <w:rPr>
                <w:rFonts w:ascii="仿宋_GB2312" w:hAnsi="仿宋_GB2312" w:cs="仿宋_GB2312" w:eastAsia="仿宋_GB2312"/>
                <w:sz w:val="21"/>
              </w:rPr>
              <w:t>（2）中标人保证其提交的工作成果为其独立完成，没有侵犯任何其他第三方的著作权。</w:t>
            </w:r>
          </w:p>
          <w:p>
            <w:pPr>
              <w:pStyle w:val="null3"/>
              <w:ind w:firstLine="572"/>
              <w:jc w:val="left"/>
            </w:pPr>
            <w:r>
              <w:rPr>
                <w:rFonts w:ascii="仿宋_GB2312" w:hAnsi="仿宋_GB2312" w:cs="仿宋_GB2312" w:eastAsia="仿宋_GB2312"/>
                <w:sz w:val="21"/>
              </w:rPr>
              <w:t>（3）中标人对于完成委托事项过程中掌握的资料、信息等负有保密义务，擅自泄密须承担法律责任。</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572"/>
              <w:jc w:val="left"/>
            </w:pPr>
            <w:r>
              <w:rPr>
                <w:rFonts w:ascii="仿宋_GB2312" w:hAnsi="仿宋_GB2312" w:cs="仿宋_GB2312" w:eastAsia="仿宋_GB2312"/>
                <w:sz w:val="21"/>
              </w:rPr>
              <w:t>1.合同履行期限（交货期）：自签订合同之日起30天内。</w:t>
            </w:r>
          </w:p>
          <w:p>
            <w:pPr>
              <w:pStyle w:val="null3"/>
              <w:ind w:firstLine="572"/>
              <w:jc w:val="left"/>
            </w:pPr>
            <w:r>
              <w:rPr>
                <w:rFonts w:ascii="仿宋_GB2312" w:hAnsi="仿宋_GB2312" w:cs="仿宋_GB2312" w:eastAsia="仿宋_GB2312"/>
                <w:sz w:val="21"/>
              </w:rPr>
              <w:t>2.交货地点</w:t>
            </w:r>
          </w:p>
          <w:p>
            <w:pPr>
              <w:pStyle w:val="null3"/>
              <w:ind w:firstLine="572"/>
              <w:jc w:val="left"/>
            </w:pPr>
            <w:r>
              <w:rPr>
                <w:rFonts w:ascii="仿宋_GB2312" w:hAnsi="仿宋_GB2312" w:cs="仿宋_GB2312" w:eastAsia="仿宋_GB2312"/>
                <w:sz w:val="21"/>
              </w:rPr>
              <w:t>采购人指定地点。</w:t>
            </w:r>
          </w:p>
          <w:p>
            <w:pPr>
              <w:pStyle w:val="null3"/>
              <w:ind w:firstLine="572"/>
              <w:jc w:val="left"/>
            </w:pPr>
            <w:r>
              <w:rPr>
                <w:rFonts w:ascii="仿宋_GB2312" w:hAnsi="仿宋_GB2312" w:cs="仿宋_GB2312" w:eastAsia="仿宋_GB2312"/>
                <w:sz w:val="21"/>
              </w:rPr>
              <w:t>3.项目维护需求、时间、质量</w:t>
            </w:r>
          </w:p>
          <w:p>
            <w:pPr>
              <w:pStyle w:val="null3"/>
              <w:ind w:firstLine="572"/>
              <w:jc w:val="left"/>
            </w:pPr>
            <w:r>
              <w:rPr>
                <w:rFonts w:ascii="仿宋_GB2312" w:hAnsi="仿宋_GB2312" w:cs="仿宋_GB2312" w:eastAsia="仿宋_GB2312"/>
                <w:sz w:val="21"/>
              </w:rPr>
              <w:t>（1）维护范围：供应商负责设备的维护工作，采购人提供维护需求，供应商提出具体措施和方案，征得采购人同意后由供应商进行修复和更换；该项目在维护期内出现配件更换或者维修，无论是大型或小型配件均由供应商免费提供。</w:t>
            </w:r>
          </w:p>
          <w:p>
            <w:pPr>
              <w:pStyle w:val="null3"/>
              <w:ind w:firstLine="572"/>
              <w:jc w:val="left"/>
            </w:pPr>
            <w:r>
              <w:rPr>
                <w:rFonts w:ascii="仿宋_GB2312" w:hAnsi="仿宋_GB2312" w:cs="仿宋_GB2312" w:eastAsia="仿宋_GB2312"/>
                <w:sz w:val="21"/>
              </w:rPr>
              <w:t>（2）维护质量：确保设备运行正常，保证数据传送准确、及时，满足地下水相关参数监测工作的要求。</w:t>
            </w:r>
          </w:p>
          <w:p>
            <w:pPr>
              <w:pStyle w:val="null3"/>
              <w:ind w:firstLine="572"/>
              <w:jc w:val="left"/>
            </w:pPr>
            <w:r>
              <w:rPr>
                <w:rFonts w:ascii="仿宋_GB2312" w:hAnsi="仿宋_GB2312" w:cs="仿宋_GB2312" w:eastAsia="仿宋_GB2312"/>
                <w:sz w:val="21"/>
              </w:rPr>
              <w:t>（3）质保服务期：所有设备、配件免费维护质保服务期不少于2年（以签订合同生效之日起开始计算）。</w:t>
            </w:r>
          </w:p>
          <w:p>
            <w:pPr>
              <w:pStyle w:val="null3"/>
              <w:ind w:firstLine="572"/>
              <w:jc w:val="left"/>
            </w:pPr>
            <w:r>
              <w:rPr>
                <w:rFonts w:ascii="仿宋_GB2312" w:hAnsi="仿宋_GB2312" w:cs="仿宋_GB2312" w:eastAsia="仿宋_GB2312"/>
                <w:sz w:val="21"/>
              </w:rPr>
              <w:t>4.技术支持</w:t>
            </w:r>
          </w:p>
          <w:p>
            <w:pPr>
              <w:pStyle w:val="null3"/>
              <w:ind w:firstLine="572"/>
              <w:jc w:val="left"/>
            </w:pPr>
            <w:r>
              <w:rPr>
                <w:rFonts w:ascii="仿宋_GB2312" w:hAnsi="仿宋_GB2312" w:cs="仿宋_GB2312" w:eastAsia="仿宋_GB2312"/>
                <w:sz w:val="21"/>
              </w:rPr>
              <w:t>（1）提供7×24小时的技术咨询服务。</w:t>
            </w:r>
          </w:p>
          <w:p>
            <w:pPr>
              <w:pStyle w:val="null3"/>
              <w:ind w:firstLine="572"/>
              <w:jc w:val="left"/>
            </w:pPr>
            <w:r>
              <w:rPr>
                <w:rFonts w:ascii="仿宋_GB2312" w:hAnsi="仿宋_GB2312" w:cs="仿宋_GB2312" w:eastAsia="仿宋_GB2312"/>
                <w:sz w:val="21"/>
              </w:rPr>
              <w:t>（2）提供设备安装现场测试指导服务。</w:t>
            </w:r>
          </w:p>
          <w:p>
            <w:pPr>
              <w:pStyle w:val="null3"/>
              <w:ind w:firstLine="572"/>
              <w:jc w:val="left"/>
            </w:pPr>
            <w:r>
              <w:rPr>
                <w:rFonts w:ascii="仿宋_GB2312" w:hAnsi="仿宋_GB2312" w:cs="仿宋_GB2312" w:eastAsia="仿宋_GB2312"/>
                <w:sz w:val="21"/>
              </w:rPr>
              <w:t>（3）免费维护质保服务期内设备出现任何质量问题，由供应商负责免费更换或维修，人为破坏或自然灾害等不可抗力造成的设备质量问题除外。</w:t>
            </w:r>
          </w:p>
          <w:p>
            <w:pPr>
              <w:pStyle w:val="null3"/>
              <w:ind w:firstLine="572"/>
              <w:jc w:val="left"/>
            </w:pPr>
            <w:r>
              <w:rPr>
                <w:rFonts w:ascii="仿宋_GB2312" w:hAnsi="仿宋_GB2312" w:cs="仿宋_GB2312" w:eastAsia="仿宋_GB2312"/>
                <w:sz w:val="21"/>
              </w:rPr>
              <w:t>5.验收标准及方法</w:t>
            </w:r>
          </w:p>
          <w:p>
            <w:pPr>
              <w:pStyle w:val="null3"/>
              <w:ind w:firstLine="572"/>
              <w:jc w:val="left"/>
            </w:pPr>
            <w:r>
              <w:rPr>
                <w:rFonts w:ascii="仿宋_GB2312" w:hAnsi="仿宋_GB2312" w:cs="仿宋_GB2312" w:eastAsia="仿宋_GB2312"/>
                <w:sz w:val="21"/>
              </w:rPr>
              <w:t>（1）符合国家及省市相关文件、技术规范要求。</w:t>
            </w:r>
          </w:p>
          <w:p>
            <w:pPr>
              <w:pStyle w:val="null3"/>
              <w:ind w:firstLine="572"/>
              <w:jc w:val="left"/>
            </w:pPr>
            <w:r>
              <w:rPr>
                <w:rFonts w:ascii="仿宋_GB2312" w:hAnsi="仿宋_GB2312" w:cs="仿宋_GB2312" w:eastAsia="仿宋_GB2312"/>
                <w:sz w:val="21"/>
              </w:rPr>
              <w:t>（2）所有货物必须是全新、原装的，未使用过的产品，具有产品质量合格证书。货物到货后，成交供应商和采购人应进行现场清点核对，清点核对过程中如果发现因包装或运输不当引起的设备外观或内部的损坏，供应商承担所有责任。若检验时发现货物数量不足、规格与合同要求不符或开箱时虽然货物外包装完好无损，但箱内货物短缺或损坏，成交供应商应无条件免费及时补足或更换。如验收时设备运行有问题，成交供应商应无条件重新检测并调试系统直至最终验收合格交付使用。补足或更换的货物应在验收之日起十日内运达采购人指定地点，设备运行验收应在当日调试正常，相关费用由成交供应商承担。如双方对验收结果有分歧，则以双方认可的有资质的质量鉴定单位的检验结果为准，检验费用由有过失的一方承担。</w:t>
            </w:r>
          </w:p>
          <w:p>
            <w:pPr>
              <w:pStyle w:val="null3"/>
              <w:ind w:firstLine="572"/>
              <w:jc w:val="left"/>
            </w:pPr>
            <w:r>
              <w:rPr>
                <w:rFonts w:ascii="仿宋_GB2312" w:hAnsi="仿宋_GB2312" w:cs="仿宋_GB2312" w:eastAsia="仿宋_GB2312"/>
                <w:sz w:val="21"/>
              </w:rPr>
              <w:t>（3）采购人将以采购文件及供应商投标文件承诺的条款进行验收，如项目验收不合格，由成交供应商返工直至合格，有关返工、再行验收，以及给采购人造成的损失等费用由成交供应商承担。连续两次验收不合格的，或发现成交供应商在投标文件中有弄虚作假的行为，或在投标文件中有针对技术商务条款有虚假响应情况的，采购人将不予验收，并追究成交供应商的责任，由此带来的一切损失由成交供应商自行承担。</w:t>
            </w:r>
          </w:p>
          <w:p>
            <w:pPr>
              <w:pStyle w:val="null3"/>
              <w:ind w:firstLine="572"/>
              <w:jc w:val="left"/>
            </w:pPr>
            <w:r>
              <w:rPr>
                <w:rFonts w:ascii="仿宋_GB2312" w:hAnsi="仿宋_GB2312" w:cs="仿宋_GB2312" w:eastAsia="仿宋_GB2312"/>
                <w:sz w:val="21"/>
              </w:rPr>
              <w:t>（4）成交供应商应将所提供货物的产品清单、用户手册、原厂保修卡等材料交付给采购人，如有缺失应在采购人要求的期限内及时补齐，否则视为逾期交货。</w:t>
            </w:r>
          </w:p>
          <w:p>
            <w:pPr>
              <w:pStyle w:val="null3"/>
              <w:ind w:firstLine="572"/>
              <w:jc w:val="left"/>
            </w:pPr>
            <w:r>
              <w:rPr>
                <w:rFonts w:ascii="仿宋_GB2312" w:hAnsi="仿宋_GB2312" w:cs="仿宋_GB2312" w:eastAsia="仿宋_GB2312"/>
                <w:sz w:val="21"/>
              </w:rPr>
              <w:t>（5）采购人对验收有异议的，在验收后以书面形式向成交供应商提出，成交供应商应自收到采购人书面异议后五日内及时予以解决，成交供应商不予答复或未予以实质解决的，视为认可采购人异议及处置意见。</w:t>
            </w:r>
          </w:p>
          <w:p>
            <w:pPr>
              <w:pStyle w:val="null3"/>
              <w:ind w:firstLine="572"/>
              <w:jc w:val="left"/>
            </w:pPr>
            <w:r>
              <w:rPr>
                <w:rFonts w:ascii="仿宋_GB2312" w:hAnsi="仿宋_GB2312" w:cs="仿宋_GB2312" w:eastAsia="仿宋_GB2312"/>
                <w:sz w:val="21"/>
              </w:rPr>
              <w:t>（6）验收费用：成交供应商须为验收提供必需的一切条件及相关费用。</w:t>
            </w:r>
          </w:p>
          <w:p>
            <w:pPr>
              <w:pStyle w:val="null3"/>
              <w:ind w:firstLine="572"/>
              <w:jc w:val="left"/>
            </w:pPr>
            <w:r>
              <w:rPr>
                <w:rFonts w:ascii="仿宋_GB2312" w:hAnsi="仿宋_GB2312" w:cs="仿宋_GB2312" w:eastAsia="仿宋_GB2312"/>
                <w:sz w:val="21"/>
              </w:rPr>
              <w:t>（7）项目验收条件：合同有关条款执行完毕。</w:t>
            </w:r>
          </w:p>
          <w:p>
            <w:pPr>
              <w:pStyle w:val="null3"/>
              <w:ind w:firstLine="572"/>
              <w:jc w:val="left"/>
            </w:pPr>
            <w:r>
              <w:rPr>
                <w:rFonts w:ascii="仿宋_GB2312" w:hAnsi="仿宋_GB2312" w:cs="仿宋_GB2312" w:eastAsia="仿宋_GB2312"/>
                <w:sz w:val="21"/>
              </w:rPr>
              <w:t>6.付款方式、时间和条件</w:t>
            </w:r>
          </w:p>
          <w:p>
            <w:pPr>
              <w:pStyle w:val="null3"/>
              <w:ind w:firstLine="572"/>
              <w:jc w:val="left"/>
            </w:pPr>
            <w:r>
              <w:rPr>
                <w:rFonts w:ascii="仿宋_GB2312" w:hAnsi="仿宋_GB2312" w:cs="仿宋_GB2312" w:eastAsia="仿宋_GB2312"/>
                <w:sz w:val="21"/>
              </w:rPr>
              <w:t>（1）付款方式为分二期支付。</w:t>
            </w:r>
          </w:p>
          <w:p>
            <w:pPr>
              <w:pStyle w:val="null3"/>
              <w:ind w:firstLine="572"/>
              <w:jc w:val="left"/>
            </w:pPr>
            <w:r>
              <w:rPr>
                <w:rFonts w:ascii="仿宋_GB2312" w:hAnsi="仿宋_GB2312" w:cs="仿宋_GB2312" w:eastAsia="仿宋_GB2312"/>
                <w:sz w:val="21"/>
              </w:rPr>
              <w:t>第一期，合同生效且收到符合采购人要求的等额发票后，采购人向成交供应商支付合同总额的50%。</w:t>
            </w:r>
          </w:p>
          <w:p>
            <w:pPr>
              <w:pStyle w:val="null3"/>
              <w:ind w:firstLine="572"/>
              <w:jc w:val="left"/>
            </w:pPr>
            <w:r>
              <w:rPr>
                <w:rFonts w:ascii="仿宋_GB2312" w:hAnsi="仿宋_GB2312" w:cs="仿宋_GB2312" w:eastAsia="仿宋_GB2312"/>
                <w:sz w:val="21"/>
              </w:rPr>
              <w:t>第二期，成交供应商提交产品货物并通过采购人验收，且收到符合采购人要求的等额发票后，采购人向成交供应商支付合同总额的50%。</w:t>
            </w:r>
          </w:p>
          <w:p>
            <w:pPr>
              <w:pStyle w:val="null3"/>
              <w:jc w:val="both"/>
            </w:pPr>
            <w:r>
              <w:rPr>
                <w:rFonts w:ascii="仿宋_GB2312" w:hAnsi="仿宋_GB2312" w:cs="仿宋_GB2312" w:eastAsia="仿宋_GB2312"/>
                <w:sz w:val="21"/>
              </w:rPr>
              <w:t>成交供应商每次申请付款应提供符合采购人要求的等额发票及采购人报账所必须的相关材料。成交供应商申请付款时，如成交供应商提供的材料不完整、不真实，或者因政府相关资金未能及时到位的，采购人有权暂缓付款而不视为违约。</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采购包1服务范围：采购需求中所要求的全部内容；</w:t>
      </w:r>
    </w:p>
    <w:p>
      <w:pPr>
        <w:pStyle w:val="null3"/>
        <w:jc w:val="both"/>
      </w:pPr>
      <w:r>
        <w:rPr>
          <w:rFonts w:ascii="仿宋_GB2312" w:hAnsi="仿宋_GB2312" w:cs="仿宋_GB2312" w:eastAsia="仿宋_GB2312"/>
          <w:sz w:val="21"/>
        </w:rPr>
        <w:t>采购包2服务范围：采购需求中所要求的全部内容。</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联合体投标要求</w:t>
            </w:r>
          </w:p>
        </w:tc>
        <w:tc>
          <w:tcPr>
            <w:tcW w:type="dxa" w:w="3322"/>
          </w:tcPr>
          <w:p>
            <w:pPr>
              <w:pStyle w:val="null3"/>
              <w:jc w:val="left"/>
            </w:pPr>
            <w:r>
              <w:rPr>
                <w:rFonts w:ascii="仿宋_GB2312" w:hAnsi="仿宋_GB2312" w:cs="仿宋_GB2312" w:eastAsia="仿宋_GB2312"/>
              </w:rPr>
              <w:t>（1）联合体成员总数不得超过2家； （2）按磋商文件要求提供联合体协议，明确联合体双方的主要权利和义务，并明确1名成员为联合体投标的牵头人； （3）联合体各成员不得再参与本项目所有采购包的单独投标或参加其他联合体投标； （4）联合体各成员均须同时满足《中华人民共和国政府采购法》第二十二条规定的要求，并按照一般资格审查要求提供相应的证明材料。</w:t>
            </w:r>
          </w:p>
        </w:tc>
        <w:tc>
          <w:tcPr>
            <w:tcW w:type="dxa" w:w="1661"/>
          </w:tcPr>
          <w:p>
            <w:pPr>
              <w:pStyle w:val="null3"/>
              <w:jc w:val="left"/>
            </w:pPr>
            <w:r>
              <w:rPr>
                <w:rFonts w:ascii="仿宋_GB2312" w:hAnsi="仿宋_GB2312" w:cs="仿宋_GB2312" w:eastAsia="仿宋_GB2312"/>
              </w:rPr>
              <w:t>联合体协议书</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具备有效期内省级或省级以上颁发的检验检测机构资质认定证书（CMA）</w:t>
            </w:r>
          </w:p>
        </w:tc>
        <w:tc>
          <w:tcPr>
            <w:tcW w:type="dxa" w:w="3322"/>
          </w:tcPr>
          <w:p>
            <w:pPr>
              <w:pStyle w:val="null3"/>
              <w:jc w:val="left"/>
            </w:pPr>
            <w:r>
              <w:rPr>
                <w:rFonts w:ascii="仿宋_GB2312" w:hAnsi="仿宋_GB2312" w:cs="仿宋_GB2312" w:eastAsia="仿宋_GB2312"/>
              </w:rPr>
              <w:t>提供有效证书及附表复印件加盖供应商公章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满足《中华人民共和国政府采购法》第二十二条规定</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的“政府采购严重违法失信行为记录名单”的投标人（提供承诺函加盖公章）</w:t>
            </w:r>
          </w:p>
        </w:tc>
        <w:tc>
          <w:tcPr>
            <w:tcW w:type="dxa" w:w="1661"/>
          </w:tcPr>
          <w:p>
            <w:pPr>
              <w:pStyle w:val="null3"/>
              <w:jc w:val="left"/>
            </w:pPr>
            <w:r>
              <w:rPr>
                <w:rFonts w:ascii="仿宋_GB2312" w:hAnsi="仿宋_GB2312" w:cs="仿宋_GB2312" w:eastAsia="仿宋_GB2312"/>
              </w:rPr>
              <w:t>信用记录承诺函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联合体协议书 供应商承诺函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联合体协议书 供应商承诺函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供应商承诺函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供应商承诺函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信用记录承诺函 自觉抵制政府采购领域商业贿赂行为承诺书 封面 商业信誉、财务会计制度、缴纳税收和社保的承诺函 具有独立承担民事责任的能力证明文件 供应商承诺函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其他材料 投标函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技术部分37.00分</w:t>
            </w:r>
          </w:p>
          <w:p>
            <w:pPr>
              <w:pStyle w:val="null3"/>
              <w:jc w:val="left"/>
            </w:pPr>
            <w:r>
              <w:rPr>
                <w:rFonts w:ascii="仿宋_GB2312" w:hAnsi="仿宋_GB2312" w:cs="仿宋_GB2312" w:eastAsia="仿宋_GB2312"/>
              </w:rPr>
              <w:t>商务部分48.00分</w:t>
            </w:r>
          </w:p>
          <w:p>
            <w:pPr>
              <w:pStyle w:val="null3"/>
              <w:jc w:val="left"/>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服务方案-项目实施方案</w:t>
            </w:r>
          </w:p>
        </w:tc>
        <w:tc>
          <w:tcPr>
            <w:tcW w:type="dxa" w:w="2492"/>
          </w:tcPr>
          <w:p>
            <w:pPr>
              <w:pStyle w:val="null3"/>
              <w:jc w:val="left"/>
            </w:pPr>
            <w:r>
              <w:rPr>
                <w:rFonts w:ascii="仿宋_GB2312" w:hAnsi="仿宋_GB2312" w:cs="仿宋_GB2312" w:eastAsia="仿宋_GB2312"/>
              </w:rPr>
              <w:t>根据供应商针对本项目工作需求，提供的技术方案、人员和设备的组建与管理、时间进度安排和风险管控措施等进行总体评审： （1）方案规范合理，内容详细且条理清晰，优于项目需求得6分； （2）方案合理，内容不够详尽但条理清晰，有一定的针对性，能满足项目需求得4分； （3）方案合理，内容不够详尽且条理不够清晰，但有一定的可行性的得2分； （4）方案内容有严重缺陷，缺乏针对性和可行性的或未提供方案的得0分。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服务方案-重难点分析</w:t>
            </w:r>
          </w:p>
        </w:tc>
        <w:tc>
          <w:tcPr>
            <w:tcW w:type="dxa" w:w="2492"/>
          </w:tcPr>
          <w:p>
            <w:pPr>
              <w:pStyle w:val="null3"/>
              <w:jc w:val="left"/>
            </w:pPr>
            <w:r>
              <w:rPr>
                <w:rFonts w:ascii="仿宋_GB2312" w:hAnsi="仿宋_GB2312" w:cs="仿宋_GB2312" w:eastAsia="仿宋_GB2312"/>
              </w:rPr>
              <w:t>根据供应商针对本项目提供的项目背景和需求，进行重点和难点分析和提出针对性的内部质控操作流程等进行评审： （1）重难点分析内容详细具体、具有针对性、重点难点分析全面、深入的、切实可行的，掌握钻探成井，土壤及地下水采样的特点难点的，内部质控操作流程条理清晰，优于项目需求得6分； （2）重难点分析内容科学性、合理性和可操作性较为清晰，但不够详细，重点难点分析不够全面深入，内部质控操作流程基本条理清晰的得4分； （3）重难点分析内容科学性、合理性和可操作性较为清晰，但不够详细，重点难点分析不够全面深入，内部质控操作流程条理不够清晰的得2分； （4）重难点分析内容有严重缺陷的或未提供方案的得得0分；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服务方案-进度安排</w:t>
            </w:r>
          </w:p>
        </w:tc>
        <w:tc>
          <w:tcPr>
            <w:tcW w:type="dxa" w:w="2492"/>
          </w:tcPr>
          <w:p>
            <w:pPr>
              <w:pStyle w:val="null3"/>
              <w:jc w:val="left"/>
            </w:pPr>
            <w:r>
              <w:rPr>
                <w:rFonts w:ascii="仿宋_GB2312" w:hAnsi="仿宋_GB2312" w:cs="仿宋_GB2312" w:eastAsia="仿宋_GB2312"/>
              </w:rPr>
              <w:t>根据供应商针对本项目制定的人员投入和设备配置，分析进度安排计划是否科学合理： （1）进度安排科学合理，内容详细且条理清晰，优于项目需求得4分； （2）进度安排合理，内容不够详尽但条理清晰，有一定的针对性，能满足项目需求的得3分； （3）进度安排合理，内容不够详尽且条理不够清晰，但有一定的可行性的得2分； （4）方案内容有严重缺陷，缺乏针对性和可行性的或未提供方案的得0分。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服务方案-质量保证与质量控制</w:t>
            </w:r>
          </w:p>
        </w:tc>
        <w:tc>
          <w:tcPr>
            <w:tcW w:type="dxa" w:w="2492"/>
          </w:tcPr>
          <w:p>
            <w:pPr>
              <w:pStyle w:val="null3"/>
              <w:jc w:val="left"/>
            </w:pPr>
            <w:r>
              <w:rPr>
                <w:rFonts w:ascii="仿宋_GB2312" w:hAnsi="仿宋_GB2312" w:cs="仿宋_GB2312" w:eastAsia="仿宋_GB2312"/>
              </w:rPr>
              <w:t>根据供应商针对本项目提供质量保证与质量控制措施、拟投入建井和采样的人员等进行评审： （1）质量保证与质量控制措施科学合理，内容详细且条理清晰，优于项目需求，且主要施工人员具备建井和采样相关培训证书的得6分； （2）质量保证与质量控制措施合理，内容不够详尽但条理清晰，能满足项目需求，且主要施工人员具备建井和采样相关培训证书，得4分； （3）质量保证与质量控制措施合理，内容不够详尽且条理不够清晰，但有一定的可行性的，主要施工人员中具备建井和采样相关培训证书或资质，得2分。 （4）方案内容有严重缺陷，缺乏针对性和可行性的或未提供方案的得0分；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服务方案-建井安全生产</w:t>
            </w:r>
          </w:p>
        </w:tc>
        <w:tc>
          <w:tcPr>
            <w:tcW w:type="dxa" w:w="2492"/>
          </w:tcPr>
          <w:p>
            <w:pPr>
              <w:pStyle w:val="null3"/>
              <w:jc w:val="left"/>
            </w:pPr>
            <w:r>
              <w:rPr>
                <w:rFonts w:ascii="仿宋_GB2312" w:hAnsi="仿宋_GB2312" w:cs="仿宋_GB2312" w:eastAsia="仿宋_GB2312"/>
              </w:rPr>
              <w:t>根据供应商针对本项目制定的建井安全生产措施进行评审： （1）安全生产措施内容详细且条理清晰，优于项目需求，且供应商承诺为本项目的建井实施人员购买人身意外险，并提供承诺函的，得6分； （2）安全生产措施内容合理，内容不够详尽但条理清晰，能满足项目需求，且供应商承诺为本项目的建井实施人员购买人身意外险，并提供承诺函的，得4分； （3）安全生产措施内容合理，内容不够详尽且条理不够清晰，但有一定的可行性的，且供应商承诺为本项目的建井实施人员购买人身意外险，并提供承诺函的，得2分。 （4）安全生产措施内容有严重缺陷，缺乏针对性和可行性的或未承诺为本项目的建井实施人员购买人身意外险的或未提供方案的得0分。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服务方案-应急保障措施</w:t>
            </w:r>
          </w:p>
        </w:tc>
        <w:tc>
          <w:tcPr>
            <w:tcW w:type="dxa" w:w="2492"/>
          </w:tcPr>
          <w:p>
            <w:pPr>
              <w:pStyle w:val="null3"/>
              <w:jc w:val="left"/>
            </w:pPr>
            <w:r>
              <w:rPr>
                <w:rFonts w:ascii="仿宋_GB2312" w:hAnsi="仿宋_GB2312" w:cs="仿宋_GB2312" w:eastAsia="仿宋_GB2312"/>
              </w:rPr>
              <w:t>根据供应商针对本项目提供的应急服务保障措施和工作流程、应急服务响应时间、应急设备保障、重大或突发事件的人员配合等进行评审：（1）应急保障措施科学合理，内容详细且条理清晰，优于项目需求得5分； （2）应急保障措施合理，内容不够详尽但条理清晰，能满足项目需求得3分； （3）应急保障措施合理，内容不够详尽且条理不够清晰，但有一定的可行性的得1分； （4）方案内容有严重缺陷，缺乏针对性和可行性的或未提供方案的得0分。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服务方案-保密制度</w:t>
            </w:r>
          </w:p>
        </w:tc>
        <w:tc>
          <w:tcPr>
            <w:tcW w:type="dxa" w:w="2492"/>
          </w:tcPr>
          <w:p>
            <w:pPr>
              <w:pStyle w:val="null3"/>
              <w:jc w:val="left"/>
            </w:pPr>
            <w:r>
              <w:rPr>
                <w:rFonts w:ascii="仿宋_GB2312" w:hAnsi="仿宋_GB2312" w:cs="仿宋_GB2312" w:eastAsia="仿宋_GB2312"/>
              </w:rPr>
              <w:t>根据供应商针对本项目提供的保密制度进行评审： （1）保密制度科学合理，内容详细且适用性强，优于项目需求得4分； （2）保密制度合理，内容不够详尽但适用性强，能满足项目需求得3分； （3）保密制度合理，内容不够详尽且适用性不贴合，但有一定的可行性的得2分； （4）制度内容有严重缺陷，缺乏针对性和可行性的或未提供方案的得0分。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供应商相关资质</w:t>
            </w:r>
          </w:p>
        </w:tc>
        <w:tc>
          <w:tcPr>
            <w:tcW w:type="dxa" w:w="2492"/>
          </w:tcPr>
          <w:p>
            <w:pPr>
              <w:pStyle w:val="null3"/>
              <w:jc w:val="left"/>
            </w:pPr>
            <w:r>
              <w:rPr>
                <w:rFonts w:ascii="仿宋_GB2312" w:hAnsi="仿宋_GB2312" w:cs="仿宋_GB2312" w:eastAsia="仿宋_GB2312"/>
              </w:rPr>
              <w:t>供应商拟投入本项目技术人员持有设备操作相关证书，每提供1个得1分。此项最高得5分，不提供不得分。 证明材料：需出具相关证书复印件加盖供应商公章。（联合体各成员提供的证明材料视为供应商提供的证明材料）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同类业绩</w:t>
            </w:r>
          </w:p>
        </w:tc>
        <w:tc>
          <w:tcPr>
            <w:tcW w:type="dxa" w:w="2492"/>
          </w:tcPr>
          <w:p>
            <w:pPr>
              <w:pStyle w:val="null3"/>
              <w:jc w:val="left"/>
            </w:pPr>
            <w:r>
              <w:rPr>
                <w:rFonts w:ascii="仿宋_GB2312" w:hAnsi="仿宋_GB2312" w:cs="仿宋_GB2312" w:eastAsia="仿宋_GB2312"/>
              </w:rPr>
              <w:t>2022年1月1日至今(以合同签订时间为准)，供应商提供土壤和地下水等环境调查类项目业绩或需要建设地下水监测井的相关项目业绩，每提供1个相关业绩得1分，此项最多得8分，未提供不得分。 证明材料：提供项目合同或项目任务书或验收意见复印件等相关证明材料，并加盖公章。（联合体各成员提供的证明材料视为供应商提供的证明材料）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地下水监测井建设能力（设备）</w:t>
            </w:r>
          </w:p>
        </w:tc>
        <w:tc>
          <w:tcPr>
            <w:tcW w:type="dxa" w:w="2492"/>
          </w:tcPr>
          <w:p>
            <w:pPr>
              <w:pStyle w:val="null3"/>
              <w:jc w:val="left"/>
            </w:pPr>
            <w:r>
              <w:rPr>
                <w:rFonts w:ascii="仿宋_GB2312" w:hAnsi="仿宋_GB2312" w:cs="仿宋_GB2312" w:eastAsia="仿宋_GB2312"/>
              </w:rPr>
              <w:t>供应商具有监测井钻探建井设备，包括钻机、亚米级定位系统等，每提供一套得1分，此小项最高得6分。 证明材料：提供设备购置发票或租赁合同等相关证明材料，并加盖公章。（联合体各成员提供的证明材料视为供应商提供的证明材料）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地下水监测井建设能力（人员投入情况）</w:t>
            </w:r>
          </w:p>
        </w:tc>
        <w:tc>
          <w:tcPr>
            <w:tcW w:type="dxa" w:w="2492"/>
          </w:tcPr>
          <w:p>
            <w:pPr>
              <w:pStyle w:val="null3"/>
              <w:jc w:val="left"/>
            </w:pPr>
            <w:r>
              <w:rPr>
                <w:rFonts w:ascii="仿宋_GB2312" w:hAnsi="仿宋_GB2312" w:cs="仿宋_GB2312" w:eastAsia="仿宋_GB2312"/>
              </w:rPr>
              <w:t>拟投入本项目建井施工人员≥9人，得8分；9＞建井施工人员≥6人，得5分；6＞建井施工人员≥3人，得2分；建井施工人员＜3人不得分；此小项最高得8分。 证明材料：拟投入建井施工人员需提供供应商单位缴纳的2025年4月以来的任意3个月的社会保险缴费记录，或劳务合同和人员投入承诺函，并加盖公章。（联合体各成员提供的证明材料视为供应商提供的证明材料）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地下水、地表水和土壤样品采集能力（设备）</w:t>
            </w:r>
          </w:p>
        </w:tc>
        <w:tc>
          <w:tcPr>
            <w:tcW w:type="dxa" w:w="2492"/>
          </w:tcPr>
          <w:p>
            <w:pPr>
              <w:pStyle w:val="null3"/>
              <w:jc w:val="left"/>
            </w:pPr>
            <w:r>
              <w:rPr>
                <w:rFonts w:ascii="仿宋_GB2312" w:hAnsi="仿宋_GB2312" w:cs="仿宋_GB2312" w:eastAsia="仿宋_GB2312"/>
              </w:rPr>
              <w:t>供应商具有地下水洗井及采样专用设备、地下水便携式多参数现场检测设备等，每提供1套1分，此小项最高得6分。 证明材料：提供设备购置发票或租赁合同等相关证明材料，并加盖公章。（联合体各成员提供的证明材料视为供应商提供的证明材料）</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地下水、地表水和土壤样品采集能力（人员投入情况）</w:t>
            </w:r>
          </w:p>
        </w:tc>
        <w:tc>
          <w:tcPr>
            <w:tcW w:type="dxa" w:w="2492"/>
          </w:tcPr>
          <w:p>
            <w:pPr>
              <w:pStyle w:val="null3"/>
              <w:jc w:val="left"/>
            </w:pPr>
            <w:r>
              <w:rPr>
                <w:rFonts w:ascii="仿宋_GB2312" w:hAnsi="仿宋_GB2312" w:cs="仿宋_GB2312" w:eastAsia="仿宋_GB2312"/>
              </w:rPr>
              <w:t>拟投入本项目采样技术人员≥10人，得8分；10＞采样技术人员≥6人，得5分；6＞采样技术人员≥3人，得2分；采样技术人员＜3人不得分；此小项最高得8分 证明材料：拟投入建井施工人员需提供供应商单位缴纳的2025年4月以来的任意3个月的社会保险缴费记录，或劳务合同和人员投入承诺函，并加盖公章。（联合体各成员提供的证明材料视为供应商提供的证明材料）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项目负责人专业技术水平</w:t>
            </w:r>
          </w:p>
        </w:tc>
        <w:tc>
          <w:tcPr>
            <w:tcW w:type="dxa" w:w="2492"/>
          </w:tcPr>
          <w:p>
            <w:pPr>
              <w:pStyle w:val="null3"/>
              <w:jc w:val="left"/>
            </w:pPr>
            <w:r>
              <w:rPr>
                <w:rFonts w:ascii="仿宋_GB2312" w:hAnsi="仿宋_GB2312" w:cs="仿宋_GB2312" w:eastAsia="仿宋_GB2312"/>
              </w:rPr>
              <w:t>（1）具有环境、土壤或水文地质类相关专业正高级职称的得4分； （2）具有环境、土壤或水文地质类相关专业副高级职称的得3分； （3）具有环境、土壤或水文地质类相关专业中级职称的得1分。 证明材料：须提供人员职称证书复印件及由供应商单位缴纳的2025年4月以来的任意3个月的社会保险缴费记录，并加盖公章，本项满分为4分。（联合体各成员提供的证明材料视为供应商提供的证明材料）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质量负责人专业技术水平</w:t>
            </w:r>
          </w:p>
        </w:tc>
        <w:tc>
          <w:tcPr>
            <w:tcW w:type="dxa" w:w="2492"/>
          </w:tcPr>
          <w:p>
            <w:pPr>
              <w:pStyle w:val="null3"/>
              <w:jc w:val="left"/>
            </w:pPr>
            <w:r>
              <w:rPr>
                <w:rFonts w:ascii="仿宋_GB2312" w:hAnsi="仿宋_GB2312" w:cs="仿宋_GB2312" w:eastAsia="仿宋_GB2312"/>
              </w:rPr>
              <w:t>（1）具有环境、土壤或水文地质类相关专业正高级职称的得3分； （2）具有环境、土壤或水文地质类相关专业副高级职称的得2分； （3）具有环境、土壤或水文地质类相关专业中级职称的得1分。 证明材料：须提供人员职称证书复印件及由供应商单位缴纳的2025年4月以来的任意3个月的社会保险缴费记录，并加盖公章，本项满分为3分。（联合体各成员提供的证明材料视为供应商提供的证明材料）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4.00%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相应比例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技术部分38.00分</w:t>
            </w:r>
          </w:p>
          <w:p>
            <w:pPr>
              <w:pStyle w:val="null3"/>
              <w:jc w:val="left"/>
            </w:pPr>
            <w:r>
              <w:rPr>
                <w:rFonts w:ascii="仿宋_GB2312" w:hAnsi="仿宋_GB2312" w:cs="仿宋_GB2312" w:eastAsia="仿宋_GB2312"/>
              </w:rPr>
              <w:t>商务部分47.00分</w:t>
            </w:r>
          </w:p>
          <w:p>
            <w:pPr>
              <w:pStyle w:val="null3"/>
              <w:jc w:val="left"/>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服务方案-项目实施方案</w:t>
            </w:r>
          </w:p>
        </w:tc>
        <w:tc>
          <w:tcPr>
            <w:tcW w:type="dxa" w:w="2492"/>
          </w:tcPr>
          <w:p>
            <w:pPr>
              <w:pStyle w:val="null3"/>
              <w:jc w:val="left"/>
            </w:pPr>
            <w:r>
              <w:rPr>
                <w:rFonts w:ascii="仿宋_GB2312" w:hAnsi="仿宋_GB2312" w:cs="仿宋_GB2312" w:eastAsia="仿宋_GB2312"/>
              </w:rPr>
              <w:t>根据供应商针对本项目提供的实施方案从分析方法、人员和设备的组建与质量质控管理、时间进度安排和风险管控措施等进行总体评审： （1）方案科学合理，内容详细且条理清晰，优于项目需求的得6分； （2）方案合理，内容不够详尽但条理清晰，有一定的针对性，能满足项目需求得4分； （3）方案合理，内容不够详尽且条理不够清晰，但有一定的可行性的得2分； （4）方案内容有严重缺陷，缺乏针对性和可行性的或未提供方案的得0分。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服务方案-项目实施思路</w:t>
            </w:r>
          </w:p>
        </w:tc>
        <w:tc>
          <w:tcPr>
            <w:tcW w:type="dxa" w:w="2492"/>
          </w:tcPr>
          <w:p>
            <w:pPr>
              <w:pStyle w:val="null3"/>
              <w:jc w:val="left"/>
            </w:pPr>
            <w:r>
              <w:rPr>
                <w:rFonts w:ascii="仿宋_GB2312" w:hAnsi="仿宋_GB2312" w:cs="仿宋_GB2312" w:eastAsia="仿宋_GB2312"/>
              </w:rPr>
              <w:t>根据供应商针对本项目实施思路进行评价： （1）实施思路科学合理，内容详细且条理清晰，优于项目需求的得4分； （2）实施思路合理，内容不够详尽但条理清晰，有一定的针对性，能满足项目需求，得3分； （3）实施思路合理，内容不够详尽且条理不够清晰，但有一定的可行性的得2分； （4）实施思路内容有严重缺陷，缺乏针对性和可行性的或未提供方案的得0分。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服务方案-进度安排</w:t>
            </w:r>
          </w:p>
        </w:tc>
        <w:tc>
          <w:tcPr>
            <w:tcW w:type="dxa" w:w="2492"/>
          </w:tcPr>
          <w:p>
            <w:pPr>
              <w:pStyle w:val="null3"/>
              <w:jc w:val="left"/>
            </w:pPr>
            <w:r>
              <w:rPr>
                <w:rFonts w:ascii="仿宋_GB2312" w:hAnsi="仿宋_GB2312" w:cs="仿宋_GB2312" w:eastAsia="仿宋_GB2312"/>
              </w:rPr>
              <w:t>根据供应商针对本项目制定的人员投入和设备配置，分析进度安排计划是否科学合理： 1）进度安排科学合理，内容详细且条理清晰，优于项目需求得4分； （2）进度安排合理，内容不够详尽但条理清晰，能满足项目需求得3分； （3）进度安排合理，内容不够详尽且条理不够清晰，但有一定的可行性的得2分； （4）进度安排内容有严重缺陷，缺乏针对性和可行性的或未提供方案的得0分。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服务方案-重难点分析</w:t>
            </w:r>
          </w:p>
        </w:tc>
        <w:tc>
          <w:tcPr>
            <w:tcW w:type="dxa" w:w="2492"/>
          </w:tcPr>
          <w:p>
            <w:pPr>
              <w:pStyle w:val="null3"/>
              <w:jc w:val="left"/>
            </w:pPr>
            <w:r>
              <w:rPr>
                <w:rFonts w:ascii="仿宋_GB2312" w:hAnsi="仿宋_GB2312" w:cs="仿宋_GB2312" w:eastAsia="仿宋_GB2312"/>
              </w:rPr>
              <w:t>根据供应商针对本项目提供的项目背景和需求，进行重点和难点分析和提出针对性的内部质控操作流程等进行评审： （1）重难点分析内容配套合理，技术先进，完全满足测试质量及分析进度要求，水质样品流转、保存及检测能满足分析项目技术规定的要求时间的得6分； （2）重难点分析内容具有一定合理性、可行性，基本满足分析测试要求，得4分； （3）重难点分析内容基本满足所有分析项目需要，但合理性较差的得2分。 （4）重难点分析内容有严重缺陷，缺乏针对性和可行性的或未提供方案的得0分。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服务方案-异常数据响应</w:t>
            </w:r>
          </w:p>
        </w:tc>
        <w:tc>
          <w:tcPr>
            <w:tcW w:type="dxa" w:w="2492"/>
          </w:tcPr>
          <w:p>
            <w:pPr>
              <w:pStyle w:val="null3"/>
              <w:jc w:val="left"/>
            </w:pPr>
            <w:r>
              <w:rPr>
                <w:rFonts w:ascii="仿宋_GB2312" w:hAnsi="仿宋_GB2312" w:cs="仿宋_GB2312" w:eastAsia="仿宋_GB2312"/>
              </w:rPr>
              <w:t>根据供应商对分析测试过程中异常数据甄别与响应工作程序方法进行评审： （1）制定的异常数据甄别与响应工作程序科学合理，内容详细且条理清晰，针对性强的得6分； （2）制定的异常数据甄别与响应工作程序合理，内容不够详尽但条理清晰，能满足项目需求的得4分； （3）制定的异常数据甄别与响应工作程序基本合理，内容不够详尽且条理不清晰的得2分； （4）方案内容有缺陷严重缺陷或未提供方案的得0分。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服务方案-质量保证与质量控制</w:t>
            </w:r>
          </w:p>
        </w:tc>
        <w:tc>
          <w:tcPr>
            <w:tcW w:type="dxa" w:w="2492"/>
          </w:tcPr>
          <w:p>
            <w:pPr>
              <w:pStyle w:val="null3"/>
              <w:jc w:val="left"/>
            </w:pPr>
            <w:r>
              <w:rPr>
                <w:rFonts w:ascii="仿宋_GB2312" w:hAnsi="仿宋_GB2312" w:cs="仿宋_GB2312" w:eastAsia="仿宋_GB2312"/>
              </w:rPr>
              <w:t>根据供应商针对本项目提供质量保证与质量控制措施等进行评审： （1）质量保证与质量控制措施科学合理，内容详细且条理清晰，优于项目需求得6分； （2）质量保证与质量控制措施合理，内容不够详尽但条理清晰，能满足项目需求得4分； （3）质量保证与质量控制措施基本合理，但内容不够详尽且条理不清晰的得2分； （4）质量保证与质量控制措施内容有严重缺陷或未提供方案的得0分。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服务方案-应急保障措施</w:t>
            </w:r>
          </w:p>
        </w:tc>
        <w:tc>
          <w:tcPr>
            <w:tcW w:type="dxa" w:w="2492"/>
          </w:tcPr>
          <w:p>
            <w:pPr>
              <w:pStyle w:val="null3"/>
              <w:jc w:val="left"/>
            </w:pPr>
            <w:r>
              <w:rPr>
                <w:rFonts w:ascii="仿宋_GB2312" w:hAnsi="仿宋_GB2312" w:cs="仿宋_GB2312" w:eastAsia="仿宋_GB2312"/>
              </w:rPr>
              <w:t>根据供应商针对本项目提供的应急服务保障措施和工作流程、应急服务响应时间、应急设备保障、重大或突发事件的人员配合等进行评审：1）应急保障措施科学合理，内容详细且条理清晰，优于项目需求得6分； （2）应急保障措施合理，内容不够详尽但条理清晰，能满足项目需求得4分； （3）应急保障措施基本合理，内容不够详尽且条理不清晰的得2分； （4）应急保障措施内容有有严重缺陷或未提供方案的得0分。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供应商检测能力资质（一）</w:t>
            </w:r>
          </w:p>
        </w:tc>
        <w:tc>
          <w:tcPr>
            <w:tcW w:type="dxa" w:w="2492"/>
          </w:tcPr>
          <w:p>
            <w:pPr>
              <w:pStyle w:val="null3"/>
              <w:jc w:val="left"/>
            </w:pPr>
            <w:r>
              <w:rPr>
                <w:rFonts w:ascii="仿宋_GB2312" w:hAnsi="仿宋_GB2312" w:cs="仿宋_GB2312" w:eastAsia="仿宋_GB2312"/>
              </w:rPr>
              <w:t>提供2022年1月至今参加国家或省级能力验证计划，与本项目相关指标，获得国家级满意（合格）结果，每次得2分，获得省级满意（合格）结果，每次得1分，未提供不得分。本项最高得分8分。 证明材料：提供行业主管部门颁发的测试能力验证证书或证明材料复印件盖公章。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供应商检测能力资质（二）</w:t>
            </w:r>
          </w:p>
        </w:tc>
        <w:tc>
          <w:tcPr>
            <w:tcW w:type="dxa" w:w="2492"/>
          </w:tcPr>
          <w:p>
            <w:pPr>
              <w:pStyle w:val="null3"/>
              <w:jc w:val="left"/>
            </w:pPr>
            <w:r>
              <w:rPr>
                <w:rFonts w:ascii="仿宋_GB2312" w:hAnsi="仿宋_GB2312" w:cs="仿宋_GB2312" w:eastAsia="仿宋_GB2312"/>
              </w:rPr>
              <w:t>供应商实验室检测能力。 （1）具备本项目所需地下水、地表水、土壤检测指标非主体、非关键性特征检测指标项全部项CMA或CNAS资质或检测方法验证报告的得8分； （2）同时具备地下水34项（含）以上、地表水18项（含）以上和土壤53项（含）以上检测指标项CMA或CNAS资质或检测方法验证报告的得6分； （3）同时具备地下水25项（含）以上、地表水14项（含）以上和、土壤40项（含）以上检测指标项CMA或CNAS资质或检测方法验证报告的得4分； （4）同时具备地下水17项（含）以上、地表水10项（含）以上和土壤26项（含）以上检测指标项CMA或CNAS资质或检测方法验证报告的得2分。 （5）具备地下水17项以下、地表水10项以下或土壤26项以下检测指标项CMA或CNAS资质或检测方法验证报告的不得分。 证明材料：提供资质证书附表或检测方法验证报告复印件，并加盖供应商公章。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同类业绩</w:t>
            </w:r>
          </w:p>
        </w:tc>
        <w:tc>
          <w:tcPr>
            <w:tcW w:type="dxa" w:w="2492"/>
          </w:tcPr>
          <w:p>
            <w:pPr>
              <w:pStyle w:val="null3"/>
              <w:jc w:val="left"/>
            </w:pPr>
            <w:r>
              <w:rPr>
                <w:rFonts w:ascii="仿宋_GB2312" w:hAnsi="仿宋_GB2312" w:cs="仿宋_GB2312" w:eastAsia="仿宋_GB2312"/>
              </w:rPr>
              <w:t>2022年1月1日至今(以合同签订时间为准)，供应商承担过地下水或土壤类似检测项目，每提供一个国家级项目业绩得2分，每提供一个省级项目业绩得1分，区县级项目业绩得0.5分，本项最高得分8分。未提供不得分。 证明材料：提供项目合同或项目任务书或验收意见复印件等相关证明材料，并加盖公章。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投入本项目专业设备配置情况</w:t>
            </w:r>
          </w:p>
        </w:tc>
        <w:tc>
          <w:tcPr>
            <w:tcW w:type="dxa" w:w="2492"/>
          </w:tcPr>
          <w:p>
            <w:pPr>
              <w:pStyle w:val="null3"/>
              <w:jc w:val="left"/>
            </w:pPr>
            <w:r>
              <w:rPr>
                <w:rFonts w:ascii="仿宋_GB2312" w:hAnsi="仿宋_GB2312" w:cs="仿宋_GB2312" w:eastAsia="仿宋_GB2312"/>
              </w:rPr>
              <w:t>供应商应具备本项目检测指标相应专业检测设备。每提供一台高效液相色谱--质谱仪得2分；每提供一台气相色谱—质谱仪得1分；每提供一台电感耦合等离子体发射光谱仪得1分；每提供一台电感耦合等离子体发射光谱--质谱联用仪得1分；每提供一台电感耦合等离子体发射质谱仪得1分；每提供一台原子荧光光度计得1分；每提供一台气相色谱仪得1分；每提供一台原子吸收光谱仪得0.5分。同一设备最多按2个计分，本项最高得分10分。 证明材料：提供设备购置发票或租赁合同等相关证明材料及仪器有效期内计量检定/校准证书复印件，并加盖供应商公章。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项目负责人专业技术水平</w:t>
            </w:r>
          </w:p>
        </w:tc>
        <w:tc>
          <w:tcPr>
            <w:tcW w:type="dxa" w:w="2492"/>
          </w:tcPr>
          <w:p>
            <w:pPr>
              <w:pStyle w:val="null3"/>
              <w:jc w:val="left"/>
            </w:pPr>
            <w:r>
              <w:rPr>
                <w:rFonts w:ascii="仿宋_GB2312" w:hAnsi="仿宋_GB2312" w:cs="仿宋_GB2312" w:eastAsia="仿宋_GB2312"/>
              </w:rPr>
              <w:t>投标项目负责人专业技术水平。 （1）具有环境、土壤、水文地质、化学或检测类相关专业正高级职称得3分； （2）具有环境、土壤、水文地质或检测类相关专业副高级职称得2分； （3）其他得0分。 证明材料：须提供人员职称证书复印件及由供应商单位缴纳的2025年4月以来的任意3个月的社会保险缴费记录，并加盖公章。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质控负责人专业技术水平</w:t>
            </w:r>
          </w:p>
        </w:tc>
        <w:tc>
          <w:tcPr>
            <w:tcW w:type="dxa" w:w="2492"/>
          </w:tcPr>
          <w:p>
            <w:pPr>
              <w:pStyle w:val="null3"/>
              <w:jc w:val="left"/>
            </w:pPr>
            <w:r>
              <w:rPr>
                <w:rFonts w:ascii="仿宋_GB2312" w:hAnsi="仿宋_GB2312" w:cs="仿宋_GB2312" w:eastAsia="仿宋_GB2312"/>
              </w:rPr>
              <w:t>投标项目质控负责人专业技术水平。 （1）具有环境、土壤、水文地质、化学、质量或检测类相关专业正高级职称得2分； （2）具有环境、土壤、水文地质或检测类相关专业副高级职称得1分； （3）其他得0分。 证明材料：须提供人员职称证书复印件及由供应商单位缴纳的2025年4月以来的任意3个月的社会保险缴费记录，并加盖公章。</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投入本项目的检测技术人员配备情况</w:t>
            </w:r>
          </w:p>
        </w:tc>
        <w:tc>
          <w:tcPr>
            <w:tcW w:type="dxa" w:w="2492"/>
          </w:tcPr>
          <w:p>
            <w:pPr>
              <w:pStyle w:val="null3"/>
              <w:jc w:val="left"/>
            </w:pPr>
            <w:r>
              <w:rPr>
                <w:rFonts w:ascii="仿宋_GB2312" w:hAnsi="仿宋_GB2312" w:cs="仿宋_GB2312" w:eastAsia="仿宋_GB2312"/>
              </w:rPr>
              <w:t>拟投入本项目检测技术人员配备情况 拟参与本项目主要技术人员（不含项目负责人及质控负责人）具有环境、土壤、水文地质或检测类相关专业职称并持有上岗证。 （1）副高级及以上职称并持有上岗证的，每提供1人得1分；此小项最高得分4分。 （2）具有中级专业技术职称并持有上岗证的，每提供一人得0.5分，此小项最高得4分。 此项最高得分8分。 证明材料：须提供人员职称证书复印件及由供应商单位缴纳的2025年4月以来的任意3个月的社会保险缴费记录，并加盖公章，同一人具备不同专业的只计分一次。</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技术部分59.00分</w:t>
            </w:r>
          </w:p>
          <w:p>
            <w:pPr>
              <w:pStyle w:val="null3"/>
              <w:jc w:val="left"/>
            </w:pPr>
            <w:r>
              <w:rPr>
                <w:rFonts w:ascii="仿宋_GB2312" w:hAnsi="仿宋_GB2312" w:cs="仿宋_GB2312" w:eastAsia="仿宋_GB2312"/>
              </w:rPr>
              <w:t>商务部分11.00分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技术性能</w:t>
            </w:r>
          </w:p>
        </w:tc>
        <w:tc>
          <w:tcPr>
            <w:tcW w:type="dxa" w:w="2492"/>
          </w:tcPr>
          <w:p>
            <w:pPr>
              <w:pStyle w:val="null3"/>
              <w:jc w:val="left"/>
            </w:pPr>
            <w:r>
              <w:rPr>
                <w:rFonts w:ascii="仿宋_GB2312" w:hAnsi="仿宋_GB2312" w:cs="仿宋_GB2312" w:eastAsia="仿宋_GB2312"/>
              </w:rPr>
              <w:t>供应商提供的货物技术参数与磋商文件中的技术参数进行点对点比较：所有技术参数指标共计14项。每项满足或优于该指标的得2分，每项内任一分项指标不满足的该项指标得0分。此项满分28分。 证明材料：须逐条提供能直接证明有关参数的各项指标相关证明材料（包括但不限于测试报告、官网和功能截图、产品彩页或检测报告等材料），且自行承担因材料提供不全导致技术参数被视为不满足的风险。所有证明材料加盖公章。</w:t>
            </w:r>
          </w:p>
        </w:tc>
        <w:tc>
          <w:tcPr>
            <w:tcW w:type="dxa" w:w="831"/>
          </w:tcPr>
          <w:p>
            <w:pPr>
              <w:pStyle w:val="null3"/>
              <w:jc w:val="right"/>
            </w:pPr>
            <w:r>
              <w:rPr>
                <w:rFonts w:ascii="仿宋_GB2312" w:hAnsi="仿宋_GB2312" w:cs="仿宋_GB2312" w:eastAsia="仿宋_GB2312"/>
              </w:rPr>
              <w:t>28.0000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供货方案</w:t>
            </w:r>
          </w:p>
        </w:tc>
        <w:tc>
          <w:tcPr>
            <w:tcW w:type="dxa" w:w="2492"/>
          </w:tcPr>
          <w:p>
            <w:pPr>
              <w:pStyle w:val="null3"/>
              <w:jc w:val="left"/>
            </w:pPr>
            <w:r>
              <w:rPr>
                <w:rFonts w:ascii="仿宋_GB2312" w:hAnsi="仿宋_GB2312" w:cs="仿宋_GB2312" w:eastAsia="仿宋_GB2312"/>
              </w:rPr>
              <w:t>1.产品供货计划、供货方案；2.产品供货保障措施等。根据以上内容进行打分： A、供货方案内容完整详细、考虑问题周全，针对性强、思路清晰，安排科学合理、完全满足且优于采购人需求的，得6分； B、供货方案较完整详细、针对性较强、可行性较高，可以满足采购人需求，得4分； C、产品供货方案完整性、针对性、可行性一般，得2分； D、供货方案内容有欠缺、不完整，存在不合理叙述部分，得1分； 未提供者得0分。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安装调试方案</w:t>
            </w:r>
          </w:p>
        </w:tc>
        <w:tc>
          <w:tcPr>
            <w:tcW w:type="dxa" w:w="2492"/>
          </w:tcPr>
          <w:p>
            <w:pPr>
              <w:pStyle w:val="null3"/>
              <w:jc w:val="left"/>
            </w:pPr>
            <w:r>
              <w:rPr>
                <w:rFonts w:ascii="仿宋_GB2312" w:hAnsi="仿宋_GB2312" w:cs="仿宋_GB2312" w:eastAsia="仿宋_GB2312"/>
              </w:rPr>
              <w:t>供应商根据本项目采购需求编制安装调试方案，内容包括但不限于以下内容：1.安装调试计划、安装流程与规范；2.系统调试、功能验证。根据以上内容进行打分： A、安装调试方案内容完整详细、考虑问题周全，针对性强、思路清晰，售后人员配备科学合理、完全满足且优于采购人需求的，得6分； B、安装调试方案较完整详细、针对性较强、可行性较高，可以满足采购人需求，得4分； C、安装调试方案完整性、针对性、可行性一般，得2分； D、安装调试方案内容有欠缺、不完整，存在不合理叙述部分，得1分； 未提供者得0分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产品质量保证措施</w:t>
            </w:r>
          </w:p>
        </w:tc>
        <w:tc>
          <w:tcPr>
            <w:tcW w:type="dxa" w:w="2492"/>
          </w:tcPr>
          <w:p>
            <w:pPr>
              <w:pStyle w:val="null3"/>
              <w:jc w:val="left"/>
            </w:pPr>
            <w:r>
              <w:rPr>
                <w:rFonts w:ascii="仿宋_GB2312" w:hAnsi="仿宋_GB2312" w:cs="仿宋_GB2312" w:eastAsia="仿宋_GB2312"/>
              </w:rPr>
              <w:t>根据供应商本项目采购需求编制产品质量保证措施，内容包括但不限于以下内容：1.货物质量的承诺；2.质量保证体系及质量保证措施等。 根据以上内容进行打分： A、产品质量保证措施内容完整详细、考虑问题周全，针对性强、思路清晰，安排科学合理、完全满足且优于采购人需求的，得8分； B、产品质量保证措施较完整详细、针对性较强、可行性较高，可以满足采购人需求，得5分； C、产品质量保证措施完整性、针对性、可行性一般，得2分； D、产品质量保证措施内容有欠缺、不完整，存在不合理叙述部分，得1分； 未提供者得0分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供应商根据本项目采购需求编制售后服务方案，内容包括但不限于以下内容：1.售后服务方案、从售后服务响应时间、服务内容；2.售后人员的投入、售后维护方案及承诺等。 根据以上内容进行打分： A、售后服务方案内容完整详细、考虑问题周全，针对性强、思路清晰，安排科学合理、完全满足且优于采购人需求的，得5分； B、售后服务方案较完整详细、针对性较强、可行性较高，可以满足采购人需求，得3分； C、售后服务方案完整性、针对性、可行性一般，得2分； D、售后服务方案内容有欠缺、不完整，存在不合理叙述部分，得1分； 未提供者得0分。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根据供应商本项目采购需求编制培训方案，内容包括但不限于以下内容：1.培训时间安排、培训目的；2.培训范围、培训内容；3.培训人员等。 根据以上内容进行打分： A、培训方案内容完整详细、考虑问题周全，针对性强、思路清晰，安排科学合理、完全满足且优于采购人需求的，得6分； B、培训方案较完整详细、针对性较强、可行性较高，可以满足采购人需求，得4分； C、培训方案完整性、针对性、可行性一般，得2分； D、培训方案内容有欠缺、不完整，存在不合理叙述部分，得1分； 未提供者得0分。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同类业绩</w:t>
            </w:r>
          </w:p>
        </w:tc>
        <w:tc>
          <w:tcPr>
            <w:tcW w:type="dxa" w:w="2492"/>
          </w:tcPr>
          <w:p>
            <w:pPr>
              <w:pStyle w:val="null3"/>
              <w:jc w:val="left"/>
            </w:pPr>
            <w:r>
              <w:rPr>
                <w:rFonts w:ascii="仿宋_GB2312" w:hAnsi="仿宋_GB2312" w:cs="仿宋_GB2312" w:eastAsia="仿宋_GB2312"/>
              </w:rPr>
              <w:t>2022年1月1日至今(以合同签订时间为准)，供应商有类似项目业绩的每个得2分，本项最多得6分。 证明材料：提供项目合同或验收意见复印件等相关证明材料，并加盖公章 。</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质保期</w:t>
            </w:r>
          </w:p>
        </w:tc>
        <w:tc>
          <w:tcPr>
            <w:tcW w:type="dxa" w:w="2492"/>
          </w:tcPr>
          <w:p>
            <w:pPr>
              <w:pStyle w:val="null3"/>
              <w:jc w:val="left"/>
            </w:pPr>
            <w:r>
              <w:rPr>
                <w:rFonts w:ascii="仿宋_GB2312" w:hAnsi="仿宋_GB2312" w:cs="仿宋_GB2312" w:eastAsia="仿宋_GB2312"/>
              </w:rPr>
              <w:t>对各供应商投标质保期响应情况进行评审，质保期以2年为基数，质保期为3年得1分，质保期为4年得3分，质保期为5年得5分，此项最高5分。 证明材料：需提供承诺函加盖公章。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HNKY-HK-C2025038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海南省东方临港产业园（化工园区）地下水环境状况详细调查评价</w:t>
      </w:r>
    </w:p>
    <w:p>
      <w:pPr>
        <w:pStyle w:val="null3"/>
        <w:jc w:val="left"/>
      </w:pPr>
      <w:r>
        <w:rPr>
          <w:rFonts w:ascii="仿宋_GB2312" w:hAnsi="仿宋_GB2312" w:cs="仿宋_GB2312" w:eastAsia="仿宋_GB2312"/>
        </w:rPr>
        <w:t>采购包：</w:t>
      </w:r>
      <w:r>
        <w:rPr>
          <w:rFonts w:ascii="仿宋_GB2312" w:hAnsi="仿宋_GB2312" w:cs="仿宋_GB2312" w:eastAsia="仿宋_GB2312"/>
        </w:rPr>
        <w:t>建设地下水环境观测井和地下水、地表水、土壤样品采集</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建设地下水环境观测井和地下水、地表水、土壤样品采集</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664600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HNKY-HK-C2025038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海南省东方临港产业园（化工园区）地下水环境状况详细调查评价</w:t>
      </w:r>
    </w:p>
    <w:p>
      <w:pPr>
        <w:pStyle w:val="null3"/>
        <w:jc w:val="left"/>
      </w:pPr>
      <w:r>
        <w:rPr>
          <w:rFonts w:ascii="仿宋_GB2312" w:hAnsi="仿宋_GB2312" w:cs="仿宋_GB2312" w:eastAsia="仿宋_GB2312"/>
        </w:rPr>
        <w:t>采购包：</w:t>
      </w:r>
      <w:r>
        <w:rPr>
          <w:rFonts w:ascii="仿宋_GB2312" w:hAnsi="仿宋_GB2312" w:cs="仿宋_GB2312" w:eastAsia="仿宋_GB2312"/>
        </w:rPr>
        <w:t>样品分析测试</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样品分析测试</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1629387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HNKY-HK-C2025038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海南省东方临港产业园（化工园区）地下水环境状况详细调查评价</w:t>
      </w:r>
    </w:p>
    <w:p>
      <w:pPr>
        <w:pStyle w:val="null3"/>
        <w:jc w:val="left"/>
      </w:pPr>
      <w:r>
        <w:rPr>
          <w:rFonts w:ascii="仿宋_GB2312" w:hAnsi="仿宋_GB2312" w:cs="仿宋_GB2312" w:eastAsia="仿宋_GB2312"/>
        </w:rPr>
        <w:t>采购包：</w:t>
      </w:r>
      <w:r>
        <w:rPr>
          <w:rFonts w:ascii="仿宋_GB2312" w:hAnsi="仿宋_GB2312" w:cs="仿宋_GB2312" w:eastAsia="仿宋_GB2312"/>
        </w:rPr>
        <w:t>地下水水位计设备采购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地下水水位计设备采购</w:t>
            </w:r>
          </w:p>
        </w:tc>
        <w:tc>
          <w:tcPr>
            <w:tcW w:type="dxa" w:w="831"/>
          </w:tcPr>
          <w:p>
            <w:pPr>
              <w:pStyle w:val="null3"/>
              <w:jc w:val="left"/>
            </w:pPr>
            <w:r>
              <w:rPr>
                <w:rFonts w:ascii="仿宋_GB2312" w:hAnsi="仿宋_GB2312" w:cs="仿宋_GB2312" w:eastAsia="仿宋_GB2312"/>
              </w:rPr>
              <w:t xml:space="preserve"> 48.00台</w:t>
            </w:r>
          </w:p>
        </w:tc>
        <w:tc>
          <w:tcPr>
            <w:tcW w:type="dxa" w:w="831"/>
          </w:tcPr>
          <w:p>
            <w:pPr>
              <w:pStyle w:val="null3"/>
              <w:jc w:val="left"/>
            </w:pPr>
            <w:r>
              <w:rPr>
                <w:rFonts w:ascii="仿宋_GB2312" w:hAnsi="仿宋_GB2312" w:cs="仿宋_GB2312" w:eastAsia="仿宋_GB2312"/>
              </w:rPr>
              <w:t xml:space="preserve"> 633600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详见附件：联合体协议书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详见附件：信用记录承诺函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