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7A35D5A5">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4</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6</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04A530E9">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078243BC">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46BC78E0">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30BFFC56">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7028033F">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55C3287C">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380C542D">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bookmarkStart w:id="0" w:name="_GoBack"/>
            <w:bookmarkEnd w:id="0"/>
          </w:p>
        </w:tc>
        <w:tc>
          <w:tcPr>
            <w:tcW w:w="2419"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313C4A25">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6066ECC1">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55103F74">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1D2BB6CF">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19</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2025-03-17T03:13:39Z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ED4BD6E674D047F980502CEDDDA83256_11</vt:lpwstr>
  </property>
</Properties>
</file>