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0" w:firstLineChars="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第三章  采购需求</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0" w:firstLineChars="0"/>
        <w:jc w:val="center"/>
        <w:textAlignment w:val="auto"/>
        <w:rPr>
          <w:rFonts w:hint="eastAsia" w:ascii="宋体" w:hAnsi="宋体" w:eastAsia="宋体" w:cs="宋体"/>
          <w:b/>
          <w:bCs/>
          <w:sz w:val="52"/>
          <w:szCs w:val="52"/>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20" w:lineRule="exact"/>
        <w:ind w:left="0" w:leftChars="0" w:firstLine="0" w:firstLine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w:t>
      </w:r>
      <w:r>
        <w:rPr>
          <w:rFonts w:hint="eastAsia" w:ascii="楷体" w:hAnsi="楷体" w:eastAsia="楷体" w:cs="楷体"/>
          <w:b/>
          <w:bCs/>
          <w:sz w:val="32"/>
          <w:szCs w:val="32"/>
          <w:lang w:val="en-US" w:eastAsia="zh-CN"/>
        </w:rPr>
        <w:t>项目名称</w:t>
      </w:r>
      <w:r>
        <w:rPr>
          <w:rFonts w:hint="eastAsia" w:ascii="楷体" w:hAnsi="楷体" w:eastAsia="楷体" w:cs="楷体"/>
          <w:b w:val="0"/>
          <w:bCs w:val="0"/>
          <w:sz w:val="32"/>
          <w:szCs w:val="32"/>
          <w:lang w:val="en-US" w:eastAsia="zh-CN"/>
        </w:rPr>
        <w:t>：澄迈县存量农村污水治理工程委托运营（2024-2027年）；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w:t>
      </w:r>
      <w:r>
        <w:rPr>
          <w:rFonts w:hint="eastAsia" w:ascii="楷体" w:hAnsi="楷体" w:eastAsia="楷体" w:cs="楷体"/>
          <w:b/>
          <w:bCs/>
          <w:sz w:val="32"/>
          <w:szCs w:val="32"/>
          <w:lang w:val="en-US" w:eastAsia="zh-CN"/>
        </w:rPr>
        <w:t>项目预算</w:t>
      </w:r>
      <w:r>
        <w:rPr>
          <w:rFonts w:hint="eastAsia" w:ascii="楷体" w:hAnsi="楷体" w:eastAsia="楷体" w:cs="楷体"/>
          <w:b w:val="0"/>
          <w:bCs w:val="0"/>
          <w:sz w:val="32"/>
          <w:szCs w:val="32"/>
          <w:lang w:val="en-US" w:eastAsia="zh-CN"/>
        </w:rPr>
        <w:t>：1071.09万元，357.03 万元/年；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3、</w:t>
      </w:r>
      <w:r>
        <w:rPr>
          <w:rFonts w:hint="eastAsia" w:ascii="楷体" w:hAnsi="楷体" w:eastAsia="楷体" w:cs="楷体"/>
          <w:b/>
          <w:bCs/>
          <w:sz w:val="32"/>
          <w:szCs w:val="32"/>
          <w:lang w:val="en-US" w:eastAsia="zh-CN"/>
        </w:rPr>
        <w:t>资金来源</w:t>
      </w:r>
      <w:r>
        <w:rPr>
          <w:rFonts w:hint="eastAsia" w:ascii="楷体" w:hAnsi="楷体" w:eastAsia="楷体" w:cs="楷体"/>
          <w:b w:val="0"/>
          <w:bCs w:val="0"/>
          <w:sz w:val="32"/>
          <w:szCs w:val="32"/>
          <w:lang w:val="en-US" w:eastAsia="zh-CN"/>
        </w:rPr>
        <w:t>：财政资金；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4、</w:t>
      </w:r>
      <w:r>
        <w:rPr>
          <w:rFonts w:hint="eastAsia" w:ascii="楷体" w:hAnsi="楷体" w:eastAsia="楷体" w:cs="楷体"/>
          <w:b/>
          <w:bCs/>
          <w:sz w:val="32"/>
          <w:szCs w:val="32"/>
          <w:lang w:val="en-US" w:eastAsia="zh-CN"/>
        </w:rPr>
        <w:t>建设单位</w:t>
      </w:r>
      <w:r>
        <w:rPr>
          <w:rFonts w:hint="eastAsia" w:ascii="楷体" w:hAnsi="楷体" w:eastAsia="楷体" w:cs="楷体"/>
          <w:b w:val="0"/>
          <w:bCs w:val="0"/>
          <w:sz w:val="32"/>
          <w:szCs w:val="32"/>
          <w:lang w:val="en-US" w:eastAsia="zh-CN"/>
        </w:rPr>
        <w:t>：澄迈县水务局；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jc w:val="both"/>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32"/>
          <w:szCs w:val="32"/>
          <w:lang w:val="en-US" w:eastAsia="zh-CN"/>
        </w:rPr>
        <w:t>5、</w:t>
      </w:r>
      <w:r>
        <w:rPr>
          <w:rFonts w:hint="eastAsia" w:ascii="楷体" w:hAnsi="楷体" w:eastAsia="楷体" w:cs="楷体"/>
          <w:b/>
          <w:bCs/>
          <w:sz w:val="32"/>
          <w:szCs w:val="32"/>
          <w:lang w:val="en-US" w:eastAsia="zh-CN"/>
        </w:rPr>
        <w:t>运营范围</w:t>
      </w:r>
      <w:r>
        <w:rPr>
          <w:rFonts w:hint="eastAsia" w:ascii="楷体" w:hAnsi="楷体" w:eastAsia="楷体" w:cs="楷体"/>
          <w:b w:val="0"/>
          <w:bCs w:val="0"/>
          <w:sz w:val="32"/>
          <w:szCs w:val="32"/>
          <w:lang w:val="en-US" w:eastAsia="zh-CN"/>
        </w:rPr>
        <w:t>：</w:t>
      </w:r>
      <w:bookmarkStart w:id="0" w:name="_Hlk522436635"/>
      <w:r>
        <w:rPr>
          <w:rFonts w:hint="eastAsia" w:ascii="楷体" w:hAnsi="楷体" w:eastAsia="楷体" w:cs="楷体"/>
          <w:b w:val="0"/>
          <w:bCs w:val="0"/>
          <w:sz w:val="32"/>
          <w:szCs w:val="32"/>
          <w:lang w:val="en-US" w:eastAsia="zh-CN"/>
        </w:rPr>
        <w:t>本项目拟委托运营的农村污水治理工程包括了澄迈县水务局和生态环境局负责建设的存量工程，涉及金江镇、福山镇、永发镇、加乐镇、瑞溪镇、中兴镇等六个乡镇共计78个自然村。</w:t>
      </w:r>
    </w:p>
    <w:bookmarkEnd w:id="0"/>
    <w:p>
      <w:pPr>
        <w:keepNext w:val="0"/>
        <w:keepLines w:val="0"/>
        <w:pageBreakBefore w:val="0"/>
        <w:widowControl w:val="0"/>
        <w:numPr>
          <w:ilvl w:val="0"/>
          <w:numId w:val="1"/>
        </w:numPr>
        <w:kinsoku/>
        <w:wordWrap/>
        <w:overflowPunct/>
        <w:topLinePunct w:val="0"/>
        <w:autoSpaceDE/>
        <w:autoSpaceDN/>
        <w:bidi w:val="0"/>
        <w:adjustRightInd w:val="0"/>
        <w:snapToGrid w:val="0"/>
        <w:spacing w:line="620" w:lineRule="exact"/>
        <w:ind w:left="0" w:leftChars="0" w:firstLine="0" w:firstLineChars="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服务内容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Chars="0" w:firstLine="640" w:firstLineChars="200"/>
        <w:jc w:val="both"/>
        <w:textAlignment w:val="auto"/>
        <w:rPr>
          <w:rFonts w:hint="eastAsia" w:ascii="楷体" w:hAnsi="楷体" w:eastAsia="楷体" w:cs="楷体"/>
          <w:b w:val="0"/>
          <w:bCs w:val="0"/>
          <w:sz w:val="32"/>
          <w:szCs w:val="32"/>
          <w:highlight w:val="yellow"/>
          <w:lang w:val="en-US" w:eastAsia="zh-CN"/>
        </w:rPr>
      </w:pPr>
      <w:r>
        <w:rPr>
          <w:rFonts w:hint="eastAsia" w:ascii="楷体" w:hAnsi="楷体" w:eastAsia="楷体" w:cs="楷体"/>
          <w:b w:val="0"/>
          <w:bCs w:val="0"/>
          <w:sz w:val="32"/>
          <w:szCs w:val="32"/>
          <w:lang w:val="en-US" w:eastAsia="en-US"/>
        </w:rPr>
        <w:t>本项目涉及的7</w:t>
      </w:r>
      <w:r>
        <w:rPr>
          <w:rFonts w:hint="eastAsia" w:ascii="楷体" w:hAnsi="楷体" w:eastAsia="楷体" w:cs="楷体"/>
          <w:b w:val="0"/>
          <w:bCs w:val="0"/>
          <w:sz w:val="32"/>
          <w:szCs w:val="32"/>
          <w:lang w:val="en-US" w:eastAsia="zh-CN"/>
        </w:rPr>
        <w:t>8</w:t>
      </w:r>
      <w:r>
        <w:rPr>
          <w:rFonts w:hint="eastAsia" w:ascii="楷体" w:hAnsi="楷体" w:eastAsia="楷体" w:cs="楷体"/>
          <w:b w:val="0"/>
          <w:bCs w:val="0"/>
          <w:sz w:val="32"/>
          <w:szCs w:val="32"/>
          <w:lang w:val="en-US" w:eastAsia="en-US"/>
        </w:rPr>
        <w:t>个自然村污水处理设计规模为 5</w:t>
      </w:r>
      <w:r>
        <w:rPr>
          <w:rFonts w:hint="eastAsia" w:ascii="楷体" w:hAnsi="楷体" w:eastAsia="楷体" w:cs="楷体"/>
          <w:b w:val="0"/>
          <w:bCs w:val="0"/>
          <w:sz w:val="32"/>
          <w:szCs w:val="32"/>
          <w:lang w:val="en-US" w:eastAsia="zh-CN"/>
        </w:rPr>
        <w:t>021</w:t>
      </w:r>
      <w:r>
        <w:rPr>
          <w:rFonts w:hint="eastAsia" w:ascii="楷体" w:hAnsi="楷体" w:eastAsia="楷体" w:cs="楷体"/>
          <w:b w:val="0"/>
          <w:bCs w:val="0"/>
          <w:sz w:val="32"/>
          <w:szCs w:val="32"/>
          <w:lang w:val="en-US" w:eastAsia="en-US"/>
        </w:rPr>
        <w:t>.5m</w:t>
      </w:r>
      <w:r>
        <w:rPr>
          <w:rFonts w:hint="eastAsia" w:ascii="楷体" w:hAnsi="楷体" w:eastAsia="楷体" w:cs="楷体"/>
          <w:b w:val="0"/>
          <w:bCs w:val="0"/>
          <w:sz w:val="32"/>
          <w:szCs w:val="32"/>
          <w:vertAlign w:val="superscript"/>
          <w:lang w:val="en-US" w:eastAsia="en-US"/>
        </w:rPr>
        <w:t>3</w:t>
      </w:r>
      <w:r>
        <w:rPr>
          <w:rFonts w:hint="eastAsia" w:ascii="楷体" w:hAnsi="楷体" w:eastAsia="楷体" w:cs="楷体"/>
          <w:b w:val="0"/>
          <w:bCs w:val="0"/>
          <w:sz w:val="32"/>
          <w:szCs w:val="32"/>
          <w:lang w:val="en-US" w:eastAsia="en-US"/>
        </w:rPr>
        <w:t>/d；配套管网总长193.16km,其中主管长度为 86.29km， 接户管长度为106.87km。</w:t>
      </w:r>
    </w:p>
    <w:p>
      <w:pPr>
        <w:widowControl/>
        <w:kinsoku w:val="0"/>
        <w:autoSpaceDE w:val="0"/>
        <w:autoSpaceDN w:val="0"/>
        <w:spacing w:before="290" w:line="215" w:lineRule="auto"/>
        <w:ind w:left="1395" w:firstLine="0" w:firstLineChars="0"/>
        <w:jc w:val="left"/>
        <w:textAlignment w:val="baseline"/>
        <w:rPr>
          <w:rFonts w:ascii="仿宋" w:hAnsi="仿宋" w:eastAsia="仿宋" w:cs="仿宋"/>
          <w:snapToGrid w:val="0"/>
          <w:color w:val="000000"/>
          <w:spacing w:val="-1"/>
          <w:kern w:val="0"/>
          <w:sz w:val="24"/>
          <w:szCs w:val="24"/>
          <w:lang w:eastAsia="en-US"/>
        </w:rPr>
      </w:pPr>
    </w:p>
    <w:p>
      <w:pPr>
        <w:widowControl/>
        <w:kinsoku w:val="0"/>
        <w:autoSpaceDE w:val="0"/>
        <w:autoSpaceDN w:val="0"/>
        <w:spacing w:before="290" w:line="215" w:lineRule="auto"/>
        <w:ind w:left="0" w:leftChars="0" w:firstLine="0" w:firstLineChars="0"/>
        <w:jc w:val="center"/>
        <w:textAlignment w:val="baseline"/>
        <w:rPr>
          <w:rFonts w:hint="eastAsia" w:ascii="楷体" w:hAnsi="楷体" w:eastAsia="楷体" w:cs="楷体"/>
          <w:snapToGrid w:val="0"/>
          <w:color w:val="000000"/>
          <w:spacing w:val="-1"/>
          <w:kern w:val="0"/>
          <w:sz w:val="32"/>
          <w:szCs w:val="32"/>
          <w:highlight w:val="yellow"/>
          <w:lang w:eastAsia="en-US"/>
        </w:rPr>
      </w:pPr>
    </w:p>
    <w:p>
      <w:pPr>
        <w:widowControl/>
        <w:kinsoku w:val="0"/>
        <w:autoSpaceDE w:val="0"/>
        <w:autoSpaceDN w:val="0"/>
        <w:spacing w:before="290" w:line="215" w:lineRule="auto"/>
        <w:ind w:left="0" w:leftChars="0" w:firstLine="0" w:firstLineChars="0"/>
        <w:jc w:val="center"/>
        <w:textAlignment w:val="baseline"/>
        <w:rPr>
          <w:rFonts w:hint="eastAsia" w:ascii="楷体" w:hAnsi="楷体" w:eastAsia="楷体" w:cs="楷体"/>
          <w:snapToGrid w:val="0"/>
          <w:color w:val="000000"/>
          <w:spacing w:val="-1"/>
          <w:kern w:val="0"/>
          <w:sz w:val="32"/>
          <w:szCs w:val="32"/>
          <w:highlight w:val="none"/>
          <w:lang w:eastAsia="en-US"/>
        </w:rPr>
      </w:pPr>
    </w:p>
    <w:p>
      <w:pPr>
        <w:widowControl/>
        <w:kinsoku w:val="0"/>
        <w:autoSpaceDE w:val="0"/>
        <w:autoSpaceDN w:val="0"/>
        <w:spacing w:before="290" w:line="215" w:lineRule="auto"/>
        <w:ind w:left="0" w:leftChars="0" w:firstLine="0" w:firstLineChars="0"/>
        <w:jc w:val="center"/>
        <w:textAlignment w:val="baseline"/>
        <w:rPr>
          <w:rFonts w:hint="eastAsia" w:ascii="楷体" w:hAnsi="楷体" w:eastAsia="楷体" w:cs="楷体"/>
          <w:snapToGrid w:val="0"/>
          <w:color w:val="000000"/>
          <w:spacing w:val="-1"/>
          <w:kern w:val="0"/>
          <w:sz w:val="32"/>
          <w:szCs w:val="32"/>
          <w:highlight w:val="none"/>
          <w:lang w:eastAsia="en-US"/>
        </w:rPr>
      </w:pPr>
    </w:p>
    <w:p>
      <w:pPr>
        <w:widowControl/>
        <w:kinsoku w:val="0"/>
        <w:autoSpaceDE w:val="0"/>
        <w:autoSpaceDN w:val="0"/>
        <w:spacing w:before="290" w:line="215" w:lineRule="auto"/>
        <w:ind w:left="0" w:leftChars="0" w:firstLine="0" w:firstLineChars="0"/>
        <w:jc w:val="center"/>
        <w:textAlignment w:val="baseline"/>
        <w:rPr>
          <w:rFonts w:hint="eastAsia" w:ascii="楷体" w:hAnsi="楷体" w:eastAsia="楷体" w:cs="楷体"/>
          <w:snapToGrid w:val="0"/>
          <w:color w:val="000000"/>
          <w:spacing w:val="-1"/>
          <w:kern w:val="0"/>
          <w:sz w:val="32"/>
          <w:szCs w:val="32"/>
          <w:highlight w:val="none"/>
          <w:lang w:eastAsia="en-US"/>
        </w:rPr>
      </w:pPr>
    </w:p>
    <w:p>
      <w:pPr>
        <w:numPr>
          <w:ilvl w:val="0"/>
          <w:numId w:val="0"/>
        </w:numPr>
        <w:spacing w:line="360" w:lineRule="auto"/>
        <w:ind w:leftChars="0"/>
        <w:jc w:val="center"/>
        <w:rPr>
          <w:rFonts w:hint="eastAsia" w:ascii="楷体" w:hAnsi="楷体" w:eastAsia="楷体" w:cs="楷体"/>
          <w:snapToGrid w:val="0"/>
          <w:color w:val="000000"/>
          <w:spacing w:val="-1"/>
          <w:kern w:val="0"/>
          <w:sz w:val="32"/>
          <w:szCs w:val="32"/>
          <w:highlight w:val="none"/>
          <w:lang w:eastAsia="en-US"/>
        </w:rPr>
      </w:pPr>
    </w:p>
    <w:p>
      <w:pPr>
        <w:numPr>
          <w:ilvl w:val="0"/>
          <w:numId w:val="0"/>
        </w:numPr>
        <w:spacing w:line="360" w:lineRule="auto"/>
        <w:ind w:leftChars="0"/>
        <w:jc w:val="center"/>
        <w:rPr>
          <w:rFonts w:hint="eastAsia" w:ascii="楷体" w:hAnsi="楷体" w:eastAsia="楷体" w:cs="楷体"/>
          <w:snapToGrid w:val="0"/>
          <w:color w:val="000000"/>
          <w:spacing w:val="-2"/>
          <w:kern w:val="0"/>
          <w:sz w:val="32"/>
          <w:szCs w:val="32"/>
          <w:highlight w:val="none"/>
          <w:lang w:eastAsia="en-US"/>
        </w:rPr>
      </w:pPr>
      <w:r>
        <w:rPr>
          <w:rFonts w:hint="eastAsia" w:ascii="楷体" w:hAnsi="楷体" w:eastAsia="楷体" w:cs="楷体"/>
          <w:snapToGrid w:val="0"/>
          <w:color w:val="000000"/>
          <w:spacing w:val="-1"/>
          <w:kern w:val="0"/>
          <w:sz w:val="32"/>
          <w:szCs w:val="32"/>
          <w:highlight w:val="none"/>
          <w:lang w:eastAsia="en-US"/>
        </w:rPr>
        <w:t>存量农村污水治理工程工艺和处</w:t>
      </w:r>
      <w:r>
        <w:rPr>
          <w:rFonts w:hint="eastAsia" w:ascii="楷体" w:hAnsi="楷体" w:eastAsia="楷体" w:cs="楷体"/>
          <w:snapToGrid w:val="0"/>
          <w:color w:val="000000"/>
          <w:spacing w:val="-2"/>
          <w:kern w:val="0"/>
          <w:sz w:val="32"/>
          <w:szCs w:val="32"/>
          <w:highlight w:val="none"/>
          <w:lang w:eastAsia="en-US"/>
        </w:rPr>
        <w:t>理规模统计表</w:t>
      </w:r>
    </w:p>
    <w:tbl>
      <w:tblPr>
        <w:tblStyle w:val="9"/>
        <w:tblW w:w="73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9"/>
        <w:gridCol w:w="1998"/>
        <w:gridCol w:w="1789"/>
        <w:gridCol w:w="1126"/>
        <w:gridCol w:w="2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乡镇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行政村</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自然村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规模</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（单位：m³/d）</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工艺类型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大丰镇</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才存村村委会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才存村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儒俄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w:t>
            </w:r>
            <w:bookmarkStart w:id="1" w:name="_GoBack"/>
            <w:bookmarkEnd w:id="1"/>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荣友社区</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孝友村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儒扬村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花场村委会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花场村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儒堂村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前进队村委会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前进队</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加乐镇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长岭村委会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效古村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加朗村委会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田尾村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金江镇</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六山村委会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出头塘村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加龙墩村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六山村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面前六村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强朗村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土尾岭村委会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土尾岭村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夏富村委会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大茂村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封克村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内坡村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排坡村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坡尾园村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外坡村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溪边村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太平村委会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九京村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龙江村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乌什村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道南村委会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下岭村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春芳村委会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春芳村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东联村委会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溪下村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海仔村委会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白芒村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海仔村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黄琼村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下室岭村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新云村委会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新村仔上村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提升泵站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美亭村委会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那利村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天山村委会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北排山村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福龙村委会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福龙村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福龙墟村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龙生村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茂坡村委会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岸头黄村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岸头郑村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吉美村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令尾村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茂坡仔村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蒙加云村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下生村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洋心村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桥上村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长来村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新云村委会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新村仔下村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南墩村委会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宋岭村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高山朗村委会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高山朗村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山口村委会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加巨坡村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山口村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水朗村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文头山村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加来上村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加来下西村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加来下东村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飞树墩上村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新村沟村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大美村委会</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大美村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杨坤村委会</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美榔村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杨坤村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永发镇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赛玉村委会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赛玉村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卜厚村委会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道吉村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永丰村委会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儒音村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中兴镇</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横滩村委会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横滩村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永发镇</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东兴村委会</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秀灵村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南轩村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金江镇</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塘北村委会</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蔡宅村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竹常头村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大生美村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下大潭西村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下大潭东村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泉水村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小生美村</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一体化处理模式</w:t>
            </w:r>
          </w:p>
        </w:tc>
      </w:tr>
    </w:tbl>
    <w:p>
      <w:pPr>
        <w:numPr>
          <w:ilvl w:val="0"/>
          <w:numId w:val="0"/>
        </w:numPr>
        <w:spacing w:line="360" w:lineRule="auto"/>
        <w:ind w:leftChars="0" w:firstLine="643" w:firstLineChars="200"/>
        <w:jc w:val="both"/>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本项目出水水质标准按照 2019 年发布的《海南省地方标准农村生活污水处理设施水污染物排放标准》（DB46/483—2019）执行。若海南省颁布新的农村污水处理排放标准指导，则按最新污水处理排放标准要求执行。因按最新出水排放标准造成的运营成本增加或减少，由政府方和中标人进行协商。</w:t>
      </w:r>
    </w:p>
    <w:p>
      <w:pPr>
        <w:numPr>
          <w:ilvl w:val="0"/>
          <w:numId w:val="0"/>
        </w:numPr>
        <w:spacing w:line="360" w:lineRule="auto"/>
        <w:ind w:leftChars="0" w:firstLine="643" w:firstLineChars="200"/>
        <w:jc w:val="both"/>
        <w:rPr>
          <w:rFonts w:hint="eastAsia" w:ascii="楷体" w:hAnsi="楷体" w:eastAsia="楷体" w:cs="楷体"/>
          <w:b/>
          <w:bCs/>
          <w:color w:val="auto"/>
          <w:sz w:val="32"/>
          <w:szCs w:val="32"/>
          <w:lang w:val="en-US" w:eastAsia="zh-CN"/>
        </w:rPr>
      </w:pPr>
    </w:p>
    <w:p>
      <w:pPr>
        <w:numPr>
          <w:ilvl w:val="0"/>
          <w:numId w:val="0"/>
        </w:numPr>
        <w:spacing w:line="360" w:lineRule="auto"/>
        <w:ind w:leftChars="0"/>
        <w:jc w:val="both"/>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三、工作内容</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（一）项目运营维护范围</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本项目运营维护边界主要系本项目所建成各类设施设备， 包括：项目一体化处理站、检查井、主管网、入户管网（不含化粪池）等设施设备；支持上述设施发挥功能的必要的电气设备、水机设备。</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（二）设备大小修和管网养护工作内容</w:t>
      </w:r>
    </w:p>
    <w:p>
      <w:pPr>
        <w:bidi w:val="0"/>
        <w:spacing w:line="360" w:lineRule="auto"/>
        <w:ind w:left="0" w:leftChars="0" w:firstLine="640" w:firstLineChars="200"/>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1.设备大小修：设备维护包括设备大小修，大修指定期对设备进行 全面检修，达到全面消除修前存在的缺陷，回复设备规定的功能和精度，本项目设施的大修费用未计入委托运营费，运营方制定设备大修计划，报水务局审批通过后实施，相关费用由水务局承担；小修指针对日常点检、定期检查和状态监测诊断发现的问题，拆卸有关部件、进行检查、调整、更换或修复失效的零件，以恢复设备的正常功能。</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2.管网养护：参照《城镇市政设施养护维修工程投资估算指标》文件中规定管网养护工作内容如下：</w:t>
      </w:r>
    </w:p>
    <w:p>
      <w:pPr>
        <w:bidi w:val="0"/>
        <w:spacing w:line="360" w:lineRule="auto"/>
        <w:rPr>
          <w:rFonts w:hint="eastAsia" w:ascii="楷体" w:hAnsi="楷体" w:eastAsia="楷体" w:cs="楷体"/>
          <w:b/>
          <w:bCs/>
          <w:color w:val="auto"/>
          <w:sz w:val="32"/>
          <w:szCs w:val="32"/>
          <w:highlight w:val="yellow"/>
          <w:lang w:val="en-US" w:eastAsia="zh-CN"/>
        </w:rPr>
      </w:pPr>
      <w:r>
        <w:rPr>
          <w:rFonts w:hint="eastAsia" w:ascii="楷体" w:hAnsi="楷体" w:eastAsia="楷体" w:cs="楷体"/>
          <w:b/>
          <w:bCs/>
          <w:color w:val="auto"/>
          <w:sz w:val="32"/>
          <w:szCs w:val="32"/>
          <w:lang w:val="en-US" w:eastAsia="zh-CN"/>
        </w:rPr>
        <w:t>（1）雨水（包括合流）管道</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管道有害气体检测，通风，沟道疏通，清捞洗刷检查井、进水口、调换检查井及进水口盖座，修理检查井及进水口， 中、小型管道局部翻修，开挖路面恢复，潮、闸门保养，检查井及进水口内下药，污泥、弃渣外运。</w:t>
      </w:r>
    </w:p>
    <w:p>
      <w:pPr>
        <w:bidi w:val="0"/>
        <w:spacing w:line="360" w:lineRule="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（2）污水管道</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管道有害气体检测，通风，沟道疏通，清捞洗刷检查井、调换检查井盖座，修理检查井，中、小型管道局部翻修，开挖路面恢复，检查井内下药，污泥、弃渣外运。</w:t>
      </w:r>
    </w:p>
    <w:p>
      <w:pPr>
        <w:bidi w:val="0"/>
        <w:spacing w:line="360" w:lineRule="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（3）排水暗沟</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管道有害气体检测，通风，沟道疏通，清捞洗刷检查井、进水口、 调换检查井及进水口盖座， 修理检查井及进水口， 沟道局部翻修，开挖路面恢复，检查井及进水口内下药，污泥、弃渣外运。</w:t>
      </w:r>
    </w:p>
    <w:p>
      <w:pPr>
        <w:bidi w:val="0"/>
        <w:spacing w:line="360" w:lineRule="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（4）管涵出口</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清理出口，修理八字墙，翻修出口基础，护坡。</w:t>
      </w:r>
    </w:p>
    <w:p>
      <w:pPr>
        <w:bidi w:val="0"/>
        <w:spacing w:line="360" w:lineRule="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（5）泵站</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管道清洗、除锈、油漆，水池清淤、外运，水泵中小维修， 电力线路维修、更换，泵房清洗、保洁、维修，设施、设备定期检测、检验。</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（三）设备重置</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当本项目设备达到使用寿命，由运营方制定设备重置计划，报水务局审批通过后实施，相关费用由水务局承担。设备重置费用达到法定程序采购要求的，应按照法律法规要求执行政府采购程序。如果设备因为运营方管理维护不当，导致提前无法运行，相关的重置费由运营方承担，或者双方协商解决。</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（四）日常化验检测</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运营方应建立健全项目检测和检验制度，按照国家或行业规定的检测项目、检测频率和有关标准、方法定期检测进水水质、出水水质等内容，做好各项检测分析资料和水质报表的汇总、归档工作。</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（五）进水水质超标和水量超设计规模的处置</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 xml:space="preserve">1.进水主要水质指标超过本方案规定的进水水质标准 </w:t>
      </w:r>
      <w:r>
        <w:rPr>
          <w:rFonts w:hint="eastAsia" w:ascii="楷体" w:hAnsi="楷体" w:eastAsia="楷体" w:cs="楷体"/>
          <w:b w:val="0"/>
          <w:bCs w:val="0"/>
          <w:color w:val="auto"/>
          <w:sz w:val="32"/>
          <w:szCs w:val="32"/>
          <w:highlight w:val="none"/>
          <w:lang w:val="en-US" w:eastAsia="zh-CN"/>
        </w:rPr>
        <w:t>15%以内（含15%），</w:t>
      </w:r>
      <w:r>
        <w:rPr>
          <w:rFonts w:hint="eastAsia" w:ascii="楷体" w:hAnsi="楷体" w:eastAsia="楷体" w:cs="楷体"/>
          <w:b w:val="0"/>
          <w:bCs w:val="0"/>
          <w:color w:val="auto"/>
          <w:sz w:val="32"/>
          <w:szCs w:val="32"/>
          <w:lang w:val="en-US" w:eastAsia="zh-CN"/>
        </w:rPr>
        <w:t>则视此种超标在一体化处理站正常处理能力范围之内，运营方有义务保证出水水质符合本合同中规定的出水水质标准。进水 主要水质指标超过本方案规定的进水水质标准</w:t>
      </w:r>
      <w:r>
        <w:rPr>
          <w:rFonts w:hint="eastAsia" w:ascii="楷体" w:hAnsi="楷体" w:eastAsia="楷体" w:cs="楷体"/>
          <w:b w:val="0"/>
          <w:bCs w:val="0"/>
          <w:color w:val="auto"/>
          <w:sz w:val="32"/>
          <w:szCs w:val="32"/>
          <w:highlight w:val="none"/>
          <w:lang w:val="en-US" w:eastAsia="zh-CN"/>
        </w:rPr>
        <w:t>15%</w:t>
      </w:r>
      <w:r>
        <w:rPr>
          <w:rFonts w:hint="eastAsia" w:ascii="楷体" w:hAnsi="楷体" w:eastAsia="楷体" w:cs="楷体"/>
          <w:b w:val="0"/>
          <w:bCs w:val="0"/>
          <w:color w:val="auto"/>
          <w:sz w:val="32"/>
          <w:szCs w:val="32"/>
          <w:lang w:val="en-US" w:eastAsia="zh-CN"/>
        </w:rPr>
        <w:t>，运营方应立即将该等进水水质情况通知水务局及环保部门，并启动应急预案，按应急预案的要求进行处理。水务局应免除运营方因此而引起的出水超标的违约金。</w:t>
      </w:r>
    </w:p>
    <w:p>
      <w:pPr>
        <w:bidi w:val="0"/>
        <w:spacing w:line="360" w:lineRule="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2.污水进水水量超出设计能力15%（含）之内时，运营方应按照谨慎运营惯例尽量保证出水水质符合本合同规定的出水水质标准。当出现污水进水水量超出设计能力的 15%以上时，运营方应即刻将此等情况通知水务局和环保部门， 并启动应急预案。水务局不追究运营方因此而导致的出水水质超标责任。</w:t>
      </w:r>
    </w:p>
    <w:p>
      <w:pPr>
        <w:bidi w:val="0"/>
        <w:spacing w:line="360" w:lineRule="auto"/>
        <w:ind w:left="0" w:leftChars="0" w:firstLine="0" w:firstLineChars="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四、项目绩效评价办法及付费机制</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为了监管运营方项目管理工作标准化、规范化、制度化，切实提高污水处理设施设备及配套管网维护质量和管理水平，确保设施完好和正常运行，《海南省农村生活污水处理技术指引》和《海南省地方标准农村生活污水处理设施水污染物排放标准》（DB46/483—2019）结合项目实际，制定本考核办法。</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本考核办法适用于澄迈县存量农村污水治理工程委托运营考核， 由项目实施机构拟定， 并拥有最终解释权和修订权。原则上每季度进行一次考核，多次考核时，当季度考核分数取值各考核结果平均分。</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绩效考核采取随机抽检方式进行，由实施机构组织相关部门或委托第三方机构进行，如果委托第三方机构考核，相关费用由实施机构承担。具体考核评分标准在《委托运营绩效考核评分表》中详细规定。</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lang w:val="en-US" w:eastAsia="zh-CN"/>
        </w:rPr>
        <w:t>一</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考核范围</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澄迈县存量农村污水治理工程委托运营涉及的设备设施维护管理、运营实施管理、安全管理、社会综合评价、问题整改情况等要素考核。</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lang w:val="en-US" w:eastAsia="zh-CN"/>
        </w:rPr>
        <w:t>二</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考核主体</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由实施机构组织相关部门或委托第三方机构进行考核。</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lang w:val="en-US" w:eastAsia="zh-CN"/>
        </w:rPr>
        <w:t>三</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缺陷整改</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实施机构在考核过程中，如发现缺陷，则需在24小时内以书面形式通知运营方。运营方在接到书面通知后，应在合理的时间内修复缺陷或进行整改。否则实施机构可以自行组织整改，费用从维护移交保函兑取或者从应付给运营方的委托运营费中扣除。</w:t>
      </w:r>
    </w:p>
    <w:p>
      <w:pPr>
        <w:ind w:left="-140" w:leftChars="-50" w:firstLine="646" w:firstLineChars="202"/>
        <w:jc w:val="both"/>
        <w:rPr>
          <w:rFonts w:hint="eastAsia" w:ascii="楷体" w:hAnsi="楷体" w:eastAsia="楷体" w:cs="楷体"/>
          <w:b w:val="0"/>
          <w:bCs/>
          <w:kern w:val="0"/>
          <w:sz w:val="32"/>
          <w:szCs w:val="32"/>
        </w:rPr>
        <w:sectPr>
          <w:footerReference r:id="rId5" w:type="default"/>
          <w:pgSz w:w="11907" w:h="16839"/>
          <w:pgMar w:top="1431" w:right="1691" w:bottom="1383" w:left="1785" w:header="0" w:footer="1147" w:gutter="0"/>
          <w:pgNumType w:fmt="decimal"/>
          <w:cols w:space="720" w:num="1"/>
        </w:sectPr>
      </w:pP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lang w:val="en-US" w:eastAsia="zh-CN"/>
        </w:rPr>
        <w:t>四</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考核指标</w:t>
      </w:r>
    </w:p>
    <w:p>
      <w:pPr>
        <w:ind w:left="-140" w:leftChars="-50" w:firstLine="646" w:firstLineChars="202"/>
        <w:jc w:val="center"/>
        <w:rPr>
          <w:rFonts w:hint="eastAsia" w:ascii="楷体" w:hAnsi="楷体" w:eastAsia="楷体" w:cs="楷体"/>
          <w:b w:val="0"/>
          <w:bCs/>
          <w:kern w:val="0"/>
          <w:sz w:val="32"/>
          <w:szCs w:val="32"/>
        </w:rPr>
      </w:pPr>
      <w:r>
        <w:rPr>
          <w:rFonts w:hint="eastAsia" w:ascii="楷体" w:hAnsi="楷体" w:eastAsia="楷体" w:cs="楷体"/>
          <w:b w:val="0"/>
          <w:bCs/>
          <w:kern w:val="0"/>
          <w:sz w:val="32"/>
          <w:szCs w:val="32"/>
        </w:rPr>
        <w:t>考核指标详见《委托运营绩效考核评分表》。</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lang w:val="en-US" w:eastAsia="zh-CN"/>
        </w:rPr>
        <w:t>五</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绩效考核系数与付费机制</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绩效考核系数β根据项目绩效考核分数得出，将直接影响委托运营费的支付。即：</w:t>
      </w:r>
    </w:p>
    <w:p>
      <w:pPr>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实际支付季度委托运营费=季度委托运营费基数*绩效考核系数β-当季度违约处罚金额</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（1）当 100 分≥季度考核得分值≥90 分，绩效考核系数β为100%；</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（2）当 90 分&gt;季度考核得分值≥70 分，季度考核得分每比 90 少1 分， 绩效考核系数β减少 1%,即：绩效考核系数β=100%-（90-季度考核得分） ×1%；</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（3）当 70 分&gt;季度考核得分值≥60 分，季度考核得分每比 70 少1 分， 绩效考核系数β减少 2%,即：绩效考核系数β=80%-（70-季度考核得分） ×2%；</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（4）当 60 分&gt;季度考核得分值， 暂停支付委托运营费，待运营 方进行改善后，组织第二次考核，考核通过绩效考核系数β取值 60%，第二次考核不通过则不支付当季度运营费；</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若未来项目运营期内，运营方连续三次或者累计五个季度考核得分低于 60 分，则直接视为运营方违约，水务局有权按照合同条款提前终止协议。</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lang w:val="en-US" w:eastAsia="zh-CN"/>
        </w:rPr>
        <w:t>六</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其他奖惩办法</w:t>
      </w:r>
    </w:p>
    <w:p>
      <w:pPr>
        <w:ind w:left="-140" w:leftChars="-50" w:firstLine="646" w:firstLineChars="202"/>
        <w:jc w:val="both"/>
        <w:rPr>
          <w:rFonts w:hint="eastAsia" w:ascii="楷体" w:hAnsi="楷体" w:eastAsia="楷体" w:cs="楷体"/>
          <w:b w:val="0"/>
          <w:bCs/>
          <w:kern w:val="0"/>
          <w:sz w:val="32"/>
          <w:szCs w:val="32"/>
        </w:rPr>
      </w:pPr>
      <w:r>
        <w:rPr>
          <w:rFonts w:hint="eastAsia" w:ascii="楷体" w:hAnsi="楷体" w:eastAsia="楷体" w:cs="楷体"/>
          <w:b w:val="0"/>
          <w:bCs/>
          <w:kern w:val="0"/>
          <w:sz w:val="32"/>
          <w:szCs w:val="32"/>
        </w:rPr>
        <w:t>1</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如遇台风、洪涝灾害等，运营方需无条件服从管理单位的要求，突击安排人员或加班，抗灾救险，涉及的相关费用由相关单位自行负责。如遇到组织不力，造成不良后果，每发生一次，最低扣款 2万元。</w:t>
      </w:r>
    </w:p>
    <w:p>
      <w:pPr>
        <w:pStyle w:val="5"/>
        <w:numPr>
          <w:ilvl w:val="0"/>
          <w:numId w:val="0"/>
        </w:numPr>
        <w:ind w:firstLine="640" w:firstLineChars="200"/>
        <w:rPr>
          <w:rFonts w:hint="eastAsia" w:ascii="楷体" w:hAnsi="楷体" w:eastAsia="楷体" w:cs="楷体"/>
          <w:b w:val="0"/>
          <w:bCs/>
          <w:kern w:val="0"/>
          <w:sz w:val="32"/>
          <w:szCs w:val="32"/>
        </w:rPr>
      </w:pPr>
      <w:r>
        <w:rPr>
          <w:rFonts w:hint="eastAsia" w:ascii="楷体" w:hAnsi="楷体" w:eastAsia="楷体" w:cs="楷体"/>
          <w:b w:val="0"/>
          <w:bCs/>
          <w:kern w:val="0"/>
          <w:sz w:val="32"/>
          <w:szCs w:val="32"/>
        </w:rPr>
        <w:t>2</w:t>
      </w:r>
      <w:r>
        <w:rPr>
          <w:rFonts w:hint="eastAsia" w:ascii="楷体" w:hAnsi="楷体" w:eastAsia="楷体" w:cs="楷体"/>
          <w:b w:val="0"/>
          <w:bCs/>
          <w:kern w:val="0"/>
          <w:sz w:val="32"/>
          <w:szCs w:val="32"/>
          <w:lang w:eastAsia="zh-CN"/>
        </w:rPr>
        <w:t>.</w:t>
      </w:r>
      <w:r>
        <w:rPr>
          <w:rFonts w:hint="eastAsia" w:ascii="楷体" w:hAnsi="楷体" w:eastAsia="楷体" w:cs="楷体"/>
          <w:b w:val="0"/>
          <w:bCs/>
          <w:kern w:val="0"/>
          <w:sz w:val="32"/>
          <w:szCs w:val="32"/>
        </w:rPr>
        <w:t>实施机构拥有项目运营绩效考评办法及付费机制解释权，由实施机构作为牵头单位， 与运营方经协商更新项目运营绩效考评办法。</w:t>
      </w:r>
    </w:p>
    <w:p>
      <w:pPr>
        <w:pStyle w:val="5"/>
        <w:numPr>
          <w:ilvl w:val="0"/>
          <w:numId w:val="0"/>
        </w:numPr>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五、商务要求</w:t>
      </w:r>
    </w:p>
    <w:p>
      <w:pPr>
        <w:bidi w:val="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1.服务地点：澄迈县；</w:t>
      </w:r>
    </w:p>
    <w:p>
      <w:pPr>
        <w:bidi w:val="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2.合同履行期限（服务期）：自合同签订之日起3年；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color w:val="000000" w:themeColor="text1"/>
          <w:sz w:val="32"/>
          <w:szCs w:val="32"/>
          <w:lang w:val="en-US" w:eastAsia="zh-CN"/>
          <w14:textFill>
            <w14:solidFill>
              <w14:schemeClr w14:val="tx1"/>
            </w14:solidFill>
          </w14:textFill>
        </w:rPr>
        <w:t>3.付款方式：</w:t>
      </w:r>
      <w:r>
        <w:rPr>
          <w:rFonts w:hint="eastAsia" w:ascii="楷体" w:hAnsi="楷体" w:eastAsia="楷体" w:cs="楷体"/>
          <w:color w:val="000000" w:themeColor="text1"/>
          <w:kern w:val="0"/>
          <w:sz w:val="32"/>
          <w:szCs w:val="32"/>
          <w:lang w:val="en-US" w:eastAsia="zh-CN" w:bidi="ar"/>
          <w14:textFill>
            <w14:solidFill>
              <w14:schemeClr w14:val="tx1"/>
            </w14:solidFill>
          </w14:textFill>
        </w:rPr>
        <w:t>为了保证运营方管理资金充足，确保服务的正常运转，每季度考核结束后，采购人按考核结果向中标人结清每季度委托运营费，具体付款要求以合同签订为准。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b/>
          <w:bCs/>
          <w:color w:val="auto"/>
          <w:sz w:val="32"/>
          <w:szCs w:val="32"/>
          <w:lang w:val="en-US" w:eastAsia="zh-CN"/>
        </w:rPr>
        <w:t>六、其他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1.其他未尽事宜以合同约定为准。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2.投标人须以保证优质的服务质量为目标，不得恶意低价竞标。评标委员会认为投标人的报价明显低于其他通过符合性审查的中标人的报价，有可能影响服务质量或者不能诚信履约的，将要求其在评标现场合理的时间内提供书面说明，必要时提交相.关证明材料；投标人不能证明其报价合理性的，评标委员会将其作为无效投标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3.违约责任：如项目实施过程中出现中标人不按响应文件或合同内容要求执行，无法满足于项目服务标准要求、降低质量标准、超过服务期、采购人有权终止合同，中标人对此造成的损失负全责。</w:t>
      </w:r>
    </w:p>
    <w:p>
      <w:pPr>
        <w:ind w:left="-140" w:leftChars="-50" w:firstLine="568" w:firstLineChars="202"/>
        <w:jc w:val="both"/>
        <w:rPr>
          <w:rFonts w:hint="eastAsia" w:ascii="仿宋" w:hAnsi="仿宋" w:eastAsia="仿宋"/>
          <w:b/>
          <w:kern w:val="0"/>
        </w:rPr>
        <w:sectPr>
          <w:footerReference r:id="rId6" w:type="default"/>
          <w:pgSz w:w="11907" w:h="16839"/>
          <w:pgMar w:top="1431" w:right="1555" w:bottom="1383" w:left="1785" w:header="0" w:footer="1147" w:gutter="0"/>
          <w:pgNumType w:fmt="decimal"/>
          <w:cols w:space="720" w:num="1"/>
        </w:sectPr>
      </w:pPr>
    </w:p>
    <w:p>
      <w:pPr>
        <w:widowControl/>
        <w:spacing w:line="240" w:lineRule="auto"/>
        <w:ind w:firstLine="0" w:firstLineChars="0"/>
        <w:jc w:val="both"/>
      </w:pPr>
      <w:r>
        <w:drawing>
          <wp:inline distT="0" distB="0" distL="114300" distR="114300">
            <wp:extent cx="8735695" cy="539051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8735695" cy="5390515"/>
                    </a:xfrm>
                    <a:prstGeom prst="rect">
                      <a:avLst/>
                    </a:prstGeom>
                    <a:noFill/>
                    <a:ln>
                      <a:noFill/>
                    </a:ln>
                  </pic:spPr>
                </pic:pic>
              </a:graphicData>
            </a:graphic>
          </wp:inline>
        </w:drawing>
      </w:r>
    </w:p>
    <w:p>
      <w:pPr>
        <w:widowControl/>
        <w:spacing w:line="240" w:lineRule="auto"/>
        <w:ind w:firstLine="0" w:firstLineChars="0"/>
        <w:jc w:val="both"/>
      </w:pPr>
      <w:r>
        <w:drawing>
          <wp:inline distT="0" distB="0" distL="114300" distR="114300">
            <wp:extent cx="8856345" cy="4980940"/>
            <wp:effectExtent l="0" t="0" r="825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8856345" cy="4980940"/>
                    </a:xfrm>
                    <a:prstGeom prst="rect">
                      <a:avLst/>
                    </a:prstGeom>
                    <a:noFill/>
                    <a:ln>
                      <a:noFill/>
                    </a:ln>
                  </pic:spPr>
                </pic:pic>
              </a:graphicData>
            </a:graphic>
          </wp:inline>
        </w:drawing>
      </w:r>
    </w:p>
    <w:p>
      <w:pPr>
        <w:widowControl/>
        <w:spacing w:line="240" w:lineRule="auto"/>
        <w:ind w:firstLine="0" w:firstLineChars="0"/>
        <w:jc w:val="both"/>
      </w:pPr>
    </w:p>
    <w:p>
      <w:pPr>
        <w:widowControl/>
        <w:spacing w:line="240" w:lineRule="auto"/>
        <w:ind w:firstLine="0" w:firstLineChars="0"/>
        <w:jc w:val="both"/>
        <w:rPr>
          <w:rFonts w:hint="eastAsia"/>
          <w:lang w:val="en-US" w:eastAsia="zh-CN"/>
        </w:rPr>
      </w:pPr>
      <w:r>
        <w:rPr>
          <w:rFonts w:hint="eastAsia"/>
          <w:lang w:val="en-US" w:eastAsia="zh-CN"/>
        </w:rPr>
        <w:drawing>
          <wp:inline distT="0" distB="0" distL="114300" distR="114300">
            <wp:extent cx="8858250" cy="4767580"/>
            <wp:effectExtent l="0" t="0" r="0" b="1397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1"/>
                    <a:stretch>
                      <a:fillRect/>
                    </a:stretch>
                  </pic:blipFill>
                  <pic:spPr>
                    <a:xfrm>
                      <a:off x="0" y="0"/>
                      <a:ext cx="8858250" cy="4767580"/>
                    </a:xfrm>
                    <a:prstGeom prst="rect">
                      <a:avLst/>
                    </a:prstGeom>
                  </pic:spPr>
                </pic:pic>
              </a:graphicData>
            </a:graphic>
          </wp:inline>
        </w:drawing>
      </w:r>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01"/>
      <w:rPr>
        <w:rFonts w:ascii="宋体" w:hAnsi="宋体" w:eastAsia="宋体" w:cs="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01"/>
      <w:rPr>
        <w:rFonts w:ascii="宋体" w:hAnsi="宋体" w:eastAsia="宋体" w:cs="宋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0" w:leftChars="0" w:firstLine="0" w:firstLineChars="0"/>
      <w:rPr>
        <w:rFonts w:ascii="宋体" w:hAnsi="宋体" w:eastAsia="宋体" w:cs="宋体"/>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86151"/>
    <w:multiLevelType w:val="singleLevel"/>
    <w:tmpl w:val="EA8861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Njc5MjE2MGJkNTA4ZjYxMGM3YTNiOTJmM2RiMGEifQ=="/>
  </w:docVars>
  <w:rsids>
    <w:rsidRoot w:val="00172A27"/>
    <w:rsid w:val="01717969"/>
    <w:rsid w:val="01C43BC8"/>
    <w:rsid w:val="03C34DA2"/>
    <w:rsid w:val="03E72B61"/>
    <w:rsid w:val="041A6755"/>
    <w:rsid w:val="073A70F4"/>
    <w:rsid w:val="09264516"/>
    <w:rsid w:val="0B8710C9"/>
    <w:rsid w:val="115B60A1"/>
    <w:rsid w:val="115E49D4"/>
    <w:rsid w:val="12130C2E"/>
    <w:rsid w:val="12445976"/>
    <w:rsid w:val="12727D38"/>
    <w:rsid w:val="164A6CD9"/>
    <w:rsid w:val="1D1E690E"/>
    <w:rsid w:val="1DBC53CB"/>
    <w:rsid w:val="226A0D65"/>
    <w:rsid w:val="23073B84"/>
    <w:rsid w:val="238A77D5"/>
    <w:rsid w:val="257F4F67"/>
    <w:rsid w:val="28465695"/>
    <w:rsid w:val="28A137D2"/>
    <w:rsid w:val="28E736B1"/>
    <w:rsid w:val="296600D4"/>
    <w:rsid w:val="2C5F332D"/>
    <w:rsid w:val="2E756E38"/>
    <w:rsid w:val="32563D7B"/>
    <w:rsid w:val="36370E76"/>
    <w:rsid w:val="36475BB9"/>
    <w:rsid w:val="36981EDB"/>
    <w:rsid w:val="388C36FB"/>
    <w:rsid w:val="3A941DF0"/>
    <w:rsid w:val="3B9C2AE9"/>
    <w:rsid w:val="3E9F7A61"/>
    <w:rsid w:val="3F9C38E8"/>
    <w:rsid w:val="43394480"/>
    <w:rsid w:val="43F24A44"/>
    <w:rsid w:val="46067475"/>
    <w:rsid w:val="4781205B"/>
    <w:rsid w:val="47CA1BB9"/>
    <w:rsid w:val="47DC300A"/>
    <w:rsid w:val="482D289F"/>
    <w:rsid w:val="49A22CE4"/>
    <w:rsid w:val="49CC3D98"/>
    <w:rsid w:val="49F349E5"/>
    <w:rsid w:val="4BF06D45"/>
    <w:rsid w:val="4C526437"/>
    <w:rsid w:val="51894768"/>
    <w:rsid w:val="52317E52"/>
    <w:rsid w:val="5361394D"/>
    <w:rsid w:val="54040A02"/>
    <w:rsid w:val="54063F0A"/>
    <w:rsid w:val="545E2569"/>
    <w:rsid w:val="54C94F38"/>
    <w:rsid w:val="57177051"/>
    <w:rsid w:val="57B36157"/>
    <w:rsid w:val="59070F8D"/>
    <w:rsid w:val="5B9763EF"/>
    <w:rsid w:val="5C7017BD"/>
    <w:rsid w:val="5CE84AF5"/>
    <w:rsid w:val="60664A3D"/>
    <w:rsid w:val="658E402B"/>
    <w:rsid w:val="661A3845"/>
    <w:rsid w:val="67614133"/>
    <w:rsid w:val="6BE345DF"/>
    <w:rsid w:val="6C384E91"/>
    <w:rsid w:val="6C513706"/>
    <w:rsid w:val="6C7A311A"/>
    <w:rsid w:val="6CA34594"/>
    <w:rsid w:val="6F5C41B3"/>
    <w:rsid w:val="6FB47484"/>
    <w:rsid w:val="72F969D5"/>
    <w:rsid w:val="746A1E3C"/>
    <w:rsid w:val="76A77B74"/>
    <w:rsid w:val="7A8E1E86"/>
    <w:rsid w:val="7B164183"/>
    <w:rsid w:val="7BD101D8"/>
    <w:rsid w:val="7D335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360" w:lineRule="auto"/>
      <w:ind w:firstLine="643" w:firstLineChars="200"/>
      <w:jc w:val="both"/>
    </w:pPr>
    <w:rPr>
      <w:rFonts w:ascii="仿宋" w:hAnsi="仿宋" w:eastAsia="仿宋" w:cs="仿宋"/>
      <w:kern w:val="2"/>
      <w:sz w:val="28"/>
      <w:szCs w:val="28"/>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spacing w:line="360" w:lineRule="auto"/>
      <w:ind w:firstLine="420"/>
    </w:pPr>
    <w:rPr>
      <w:rFonts w:ascii="宋体" w:hAnsi="宋体"/>
    </w:rPr>
  </w:style>
  <w:style w:type="paragraph" w:styleId="5">
    <w:name w:val="Body Text"/>
    <w:basedOn w:val="1"/>
    <w:autoRedefine/>
    <w:unhideWhenUsed/>
    <w:qFormat/>
    <w:uiPriority w:val="0"/>
    <w:pPr>
      <w:spacing w:after="120"/>
    </w:pPr>
    <w:rPr>
      <w:rFonts w:ascii="Times New Roman" w:eastAsia="宋体"/>
      <w:sz w:val="24"/>
      <w:szCs w:val="22"/>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autoRedefine/>
    <w:unhideWhenUsed/>
    <w:qFormat/>
    <w:uiPriority w:val="39"/>
    <w:pPr>
      <w:ind w:left="210"/>
      <w:jc w:val="left"/>
    </w:pPr>
    <w:rPr>
      <w:smallCaps/>
      <w:sz w:val="20"/>
      <w:szCs w:val="20"/>
    </w:rPr>
  </w:style>
  <w:style w:type="character" w:customStyle="1" w:styleId="11">
    <w:name w:val="NormalCharacter"/>
    <w:autoRedefine/>
    <w:semiHidden/>
    <w:qFormat/>
    <w:uiPriority w:val="0"/>
  </w:style>
  <w:style w:type="paragraph" w:customStyle="1" w:styleId="12">
    <w:name w:val="Table Text"/>
    <w:basedOn w:val="1"/>
    <w:autoRedefine/>
    <w:semiHidden/>
    <w:qFormat/>
    <w:uiPriority w:val="0"/>
    <w:rPr>
      <w:rFonts w:ascii="仿宋" w:hAnsi="仿宋" w:eastAsia="仿宋" w:cs="仿宋"/>
      <w:sz w:val="24"/>
      <w:szCs w:val="24"/>
      <w:lang w:val="en-US" w:eastAsia="en-US"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customStyle="1" w:styleId="14">
    <w:name w:val="正文v"/>
    <w:basedOn w:val="1"/>
    <w:autoRedefine/>
    <w:qFormat/>
    <w:uiPriority w:val="0"/>
    <w:pPr>
      <w:spacing w:before="50" w:beforeLines="50" w:after="50" w:afterLines="50"/>
    </w:pPr>
    <w:rPr>
      <w:rFonts w:ascii="Times New Roman" w:eastAsia="仿宋"/>
      <w:szCs w:val="22"/>
    </w:rPr>
  </w:style>
  <w:style w:type="table" w:customStyle="1" w:styleId="15">
    <w:name w:val="网格型6"/>
    <w:basedOn w:val="9"/>
    <w:autoRedefine/>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7984</Words>
  <Characters>9103</Characters>
  <Lines>1</Lines>
  <Paragraphs>1</Paragraphs>
  <TotalTime>21</TotalTime>
  <ScaleCrop>false</ScaleCrop>
  <LinksUpToDate>false</LinksUpToDate>
  <CharactersWithSpaces>9103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2022-10-19T06:33:00Z</dcterms:created>
  <dc:creator>Administrator</dc:creator>
  <cp:lastModifiedBy> </cp:lastModifiedBy>
  <cp:lastPrinted>2023-08-23T01:08:00Z</cp:lastPrinted>
  <dcterms:modified xsi:type="dcterms:W3CDTF">2024-04-15T02:10:26Z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B742CD10A85443218C5B1B0E659B3AB4_13</vt:lpwstr>
  </property>
</Properties>
</file>