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bidi w:val="0"/>
        <w:jc w:val="center"/>
        <w:rPr>
          <w:rFonts w:hint="eastAsia"/>
          <w:color w:val="auto"/>
        </w:rPr>
      </w:pPr>
      <w:bookmarkStart w:id="0" w:name="_Toc8678"/>
      <w:bookmarkStart w:id="1" w:name="_Toc22855"/>
      <w:bookmarkStart w:id="15" w:name="_GoBack"/>
      <w:bookmarkEnd w:id="15"/>
      <w:r>
        <w:rPr>
          <w:rFonts w:hint="eastAsia"/>
          <w:color w:val="auto"/>
          <w:lang w:val="en-US" w:eastAsia="zh-CN"/>
        </w:rPr>
        <w:t>采购需求</w:t>
      </w:r>
      <w:bookmarkEnd w:id="0"/>
      <w:bookmarkEnd w:id="1"/>
    </w:p>
    <w:p>
      <w:pPr>
        <w:pStyle w:val="5"/>
        <w:numPr>
          <w:ilvl w:val="0"/>
          <w:numId w:val="1"/>
        </w:numPr>
        <w:bidi w:val="0"/>
        <w:ind w:left="0" w:leftChars="0" w:firstLine="420" w:firstLineChars="0"/>
        <w:jc w:val="left"/>
        <w:rPr>
          <w:rFonts w:hint="eastAsia"/>
          <w:color w:val="auto"/>
          <w:lang w:val="en-US" w:eastAsia="zh-CN"/>
        </w:rPr>
      </w:pPr>
      <w:bookmarkStart w:id="2" w:name="_Toc14219"/>
      <w:bookmarkStart w:id="3" w:name="_Toc19408"/>
      <w:r>
        <w:rPr>
          <w:rFonts w:hint="eastAsia"/>
          <w:color w:val="auto"/>
          <w:lang w:val="en-US" w:eastAsia="zh-CN"/>
        </w:rPr>
        <w:t>项目需求一览表（包括但不限于以下）</w:t>
      </w:r>
      <w:bookmarkEnd w:id="2"/>
      <w:bookmarkEnd w:id="3"/>
    </w:p>
    <w:tbl>
      <w:tblPr>
        <w:tblStyle w:val="6"/>
        <w:tblW w:w="961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11"/>
        <w:gridCol w:w="4247"/>
        <w:gridCol w:w="1117"/>
        <w:gridCol w:w="789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需求参数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一、展示展具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1、外场休闲区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外场落地花篮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落地三层竹编花篮，仿真绿植或鲜绿植，造型设计900mmH×500mmW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外场墙面花篮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1.墙面上三层花篮，仿真绿植或鲜绿植，造型设计900mmH×500mmW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外场落地A字牌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1.落地A字牌，600mmW×1000mmH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外场立柱灯箱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1.定制不锈钢打底，内嵌绿植，正面画面1200mm×3500mmH×4面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绿植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1.真绿植，800-2000mm高度，组成造型不少于两种植物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木质软围挡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1.木色方柱围挡，6500mmW×1000mmH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隔断区域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1.圆形软膜灯箱，1100mm直径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绿植围挡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1.圆管铁架结构，9000mm×3500mmH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绿植围挡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1.高大叶仿真绿植或鲜绿植，9000mm×2000mmH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门头立体字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1.铁架打底，灯管折弯字/发光立体字，镂空雕刻，需展现出项目名称和功能内容，2700mmW×700mmH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锈钢立牌导览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1.发光立体字，铁架打底发光立体字，铁架打底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户外休闲桌椅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1.定制户外防水桌椅，座椅符合人体工学、抗压耐磨损，桌子不易生锈、耐高温防晒，每套一桌三或四椅（以实际测量尺寸调整摆放），6套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2、收银区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收银台背柜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1.整体材质：木结构框架+多层+木质烤漆+烤漆收口封边，含层板发光灯；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2.4000W×3000H*400mmD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收银柜台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1.整体材质：木结构框架+多层造型+木质烤漆+大理石台面+内嵌储物阁预留，折弯收口封边烤漆，6000W×1200H*800mmD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收银台储物架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1.整体材质：木结构框架+多层+木质烤漆，折弯收口封边烤漆，2组，1300mmH×1500mmW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背部宣传电视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1.55寸电视，4K显示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收银导视牌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1.收银区金属导视牌，不锈钢边框+发光字，展现收银台名称，820mmW×200mmH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展示墙面logo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1.logoPVC雕刻，450mm×380mmH×2组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展示墙面发光字组套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1.项目全名及线上商城，雕刻发光字；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2.整块尺寸，830mmW×380mmH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3、琼山礼物区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屏风</w:t>
            </w:r>
          </w:p>
        </w:tc>
        <w:tc>
          <w:tcPr>
            <w:tcW w:w="42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1.定制屏风，4者造型，品牌色喷漆或金属封边，2400mmW×1800mmH</w:t>
            </w:r>
          </w:p>
        </w:tc>
        <w:tc>
          <w:tcPr>
            <w:tcW w:w="1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4.32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装饰屋檐造型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1.木质雕刻，造型烤漆或牌色喷漆，砖瓦造型雕刻，1100mmW×440mm×430mmH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装饰道具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1.手工装饰雨伞道具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墙面造型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1.金属饰面板定制，4000W×3000H×100mmD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三十六曲溪雕刻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1.金属底板+不锈钢雕刻,4000mmW×100mmH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木柱造型道具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1.木制装饰柱子，直径400mm×高1000mm；直径300mm×高800mm；直径300×高600mm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显示器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名称:55寸显示器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2.规格:55寸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top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3.支持4K显示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靠墙高柜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1.整体材质：木结构框架+多层+木质烤漆，含层板发光灯或软膜，含储物柜，外框尺寸6600mmW×2200mmH×400mmD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14.52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靠墙高柜置物架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1.铁艺框架焊接长虹玻璃或亚克力+ 雕刻字，1500mmW×600mmH ，3个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靠墙高柜柜体灯箱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1.型材卡布灯箱，1750mmH×700mmW，3张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造型绿植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1.造型盆栽绿植，高度不低于1300mm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产品中岛展示柜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1.整体材质：木结构框架+多层+木质烤漆，发光灯带，折弯收口封边烤漆，2000W×800H×800mmD，2组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精品烤漆组合1柜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1.展台主体：木质烤漆，折弯收口封边烤漆，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4000W×2000×1200mmH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2.顶部结构：大型材软膜灯箱+外圈铁艺框架+烤漆或品牌色喷漆结构，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3.灯箱3400W×1200×200mmH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4.外圈4000mmW×2000mm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精品烤漆组合柜2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1.柜体卡布型材灯箱，2200mmW×450mmH，2组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精品烤漆组合柜3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1.木质烤漆框架结构+多层+内嵌发光灯带4000mm×2000mm×1200mmH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4、体验区吧台区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吧台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1.整体材质：木结构框架+木质烤漆+人造石饰面，定制设计，折弯收口封边烤漆，发光灯带，8300mmW×800mm×1000mmH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靠墙高柜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1.整体材质：木结构框架+多层+木质烤漆，定制设计，发光灯带，2600W×2800H×400mmD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7.28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吧台精品冰柜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1.高效制冷全屏大三门或四门冰柜，高清除雾+风冷无霜+节能省电+智能温控，超大存储空间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5、体验区图片展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墙体展示区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1.整体材质：木质烤漆结构+异型框架，折弯收口封边烤漆，定制设计，背部渗光；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2.6000mmW×1000mmH，3组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靠墙边柜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1.整体材质：木结构框架+多层+木质烤漆，折弯收口封边烤漆；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2.1000W×1500H×300mmD，3组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落地图文展示区1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1.异型半圆地台定制+金属镜面贴；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2.不小于17平方米、50mm厚，2套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落地图文展示区2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1.异型金属框架结构焊接，半圆弧造型；2.7000mmW×3000mmH，2套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落地图文展示区3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1.图片展板定制设计、印刷，尺寸500mm×500mm到800mm×800mm不等，展板数量不少于60张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洽谈区家具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定制优质室内洽谈桌椅，座椅符合人体工学、优质皮质或布艺、抗压耐磨损，桌子不易生锈，每套一桌六椅（以实际测量尺寸调整摆放），2套搭配洽谈区内部装饰灯具，具有民族特色文化装饰灯，10-20瓦亮度，4个×2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公共区域家具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1.定制室内豪华休闲桌椅，座椅符合人体工学、优质皮质或布艺、抗压耐磨损，桌子不易生锈，每套一桌四椅（以实际测量尺寸调整摆放），至少5套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6、琼山肉铺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靠墙货柜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1.整体材质：木结构框架+多层+木质烤漆，发光灯带，含货柜灯箱或写真，5500W×2800H×650mmD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冷冻展示柜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1.商用直冷款展示柜，制冷强劲、节能省电，品牌压缩机，高性能蒸发器，静音低噪，2500mmW 、2000mmW、1200mmW ，共3台，具体根据现场最终情况而定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置物架发光字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1.吊顶铁艺置物架焊接，5000mmW×600mmH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2.琼山肉铺雕刻发光字，1200mmW×400mmH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地台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1.肉铺地台定制+金属镜面贴，不小于22平方米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雕塑造型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1.琼山农业元素造型雕刻，不少与6个，200mm-1000mm长度不等，高度不限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7、科普区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高档花车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1.定制logo大台面高档花车，喷漆工艺，防锈耐磨，有储物功能，可移动，带万向轮，1400mmW×2000H×70mmD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科普区柜体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1.靠墙高柜9400mm×3000mm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科普区互动展板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1.三面翻转展板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二、展厅数字化设备与VR体验设备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1、入口区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琼境定制门框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1.琼镜入口门框，定制铝合金门框，全息纳米膜1800mm×3500mmH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琼境AR全息系统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AR全息系统，采用Unity和Unreal Engine开发引擎，针对琼山农业的环境做出完整的场景规划以及AR的界面设计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设计完毕后经过程序转换开发，安装到纳米屏中进行测试，完成不低于3日的设备测试。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琼境互动门程序与授权服务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1.互动门程序采用公版程序+二次开发的方式，公版程序需要每年进行授权，授权年限3年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琼境场景拍摄制作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1.针对琼山农业的环境和场景进行实地考察和拍摄，把拍摄的成果进行筛选，并交付策划书。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琼境裸眼3D情景制作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1.将拍摄的内容进行美术加工，把不低于4个实景的场景通过视频制作的方式变化成裸眼3D的情景，并交给程序员。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秒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数字人应用系统制作与测试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1.采用数字人应用系统制作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2.兼容Android操作系统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3.其中数字人展示柜体不低于2米，宽度不低于0.8米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4.前端采用透明显示设备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5.分辨率高于1280×720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6.ROM 8G ROM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7.RAM 1G RAM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8.编解码器JPEG;BMP;GIF;PNG;MPEG AUDIO;WAV AUDIO;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9.工作包含数字人的语料导入程序员需进行现场不低于3日的设备测试。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数字人互动程序与授权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1.配套互动程序采用公版程序+二次开发的方式，公版程序需要每年进行授权，授权年限3年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数字人用户对话场景程序制作与优化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策划数字人需要与用户对话的问题，针对以下2个对话场景进行内容优化：1，普通用户，基于用户缺乏琼山农业的了解，进行基础性的知识普及；2，农业主管部门及相关从业者，针对琼山农业的未来和规划进行内容优化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数字人语料情况与内容程序制作与优化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1.收集琼山农业的语料库，包括但不仅限于琼山农业的环境、特色、政策、规划等，并将内容导入给数字人，让数字人可以有完整的琼山农业知识体系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智能屏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1.显示区域 698.40(H) x 196.425 (V)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2.分辨率 1920 × 540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3.像素间距 0.36375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4.系统版本 Android 7.1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5.中央处理器 RK3288W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6.触点材料 偏光片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7.触控技术 LG Incell touch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8.ROM 8G ROM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9.RAM 1G RAM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10.编解码器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11.JPEG;BMP;GIF;PNG;MPEG AUDIO;WAV AUDIO;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12.输出特性 Output 12 V / 3A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13.输入特性 input100-240Vac 50/60Hz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14.OGG AUDIO;FLAC AUDIO;MIDI AUDIO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H.263;VP8;MPEG 2 VIDEO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WLan Built-in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Bluetooth Built-in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VR体验区基础造型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1.VR体验区基础造型，主材质为木质烤漆，搭配木质雕刻；部分造型为木质烤漆异形结构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亚克力发光字；亚克力热弯异形结构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VR眼镜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1.VR眼镜设备及配套设备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VR场景搭建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1.采用Unity和Unreal Engine开发引擎，针对琼山农业做出完整的场景规划及功能设计。对于琼山农业进行场景设计，同时包含交互设计；美术要进行琼山的概念设计，以及VR的界面设计。设计完毕后经过程序转换开发，安装到VR中进行测试，完成不低于3日的设备测试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全屋音响音效系统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1.配置1台攻放，3区蓝牙独立主机独立功放机，室外，室内两区可单独控制音响。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2.不低于16个发声单元，发声单元全部采用吸顶或者壁挂音响，内置电池，采用蓝牙连接。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3.4只麦克风。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4.发生单元7米音程，确保室内声音均匀有力。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5.频率范围615-665MHz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6.信道数量大于32个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7.综合信噪比 105db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8.音频响应 40Hz-18KHz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9.综合失真 小于0.3%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中央控制主机全展厅中央控制软件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1.安装AR系统内容更新平台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2.安装VR系统内容跟新平台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3.安装数字人系统内容平台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4.集成智能屏系统服务器端管理平台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5.安装音频系统播放器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6.实现单机全屋管理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立体沙盘模型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1.琼山农业地理沙盘模型定制、制作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2、监控系统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摄像头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连接方式wifi+网口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防水防尘IP67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录像机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1.16路录像机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硬盘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1.8TB硬盘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1.16口千兆POE交换机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显示器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1.显示器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注：1.规格尺寸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、重量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类参数允许不超过±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%的偏差（上表中注明的除外）。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文件中所有的技术参数及其性能（配置）仅起参考作用，目的是为了满足采购人工作的基本要求，投标产品满足（实质相当于）或优于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采购文件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的采购需求均可。</w:t>
      </w:r>
    </w:p>
    <w:p>
      <w:pPr>
        <w:ind w:left="0" w:leftChars="0" w:firstLine="964" w:firstLineChars="400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2.核心产品为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：数字人应用系统制作与测试、琼境AR全息系统</w:t>
      </w:r>
    </w:p>
    <w:p>
      <w:pPr>
        <w:pStyle w:val="5"/>
        <w:numPr>
          <w:ilvl w:val="0"/>
          <w:numId w:val="1"/>
        </w:numPr>
        <w:bidi w:val="0"/>
        <w:ind w:left="0" w:leftChars="0" w:firstLine="420" w:firstLineChars="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4" w:name="_Toc12195"/>
      <w:bookmarkStart w:id="5" w:name="_Toc8467"/>
      <w:bookmarkStart w:id="6" w:name="_Toc21512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项目运营推广</w:t>
      </w:r>
      <w:bookmarkEnd w:id="4"/>
      <w:bookmarkEnd w:id="5"/>
      <w:bookmarkEnd w:id="6"/>
    </w:p>
    <w:p>
      <w:pPr>
        <w:numPr>
          <w:ilvl w:val="0"/>
          <w:numId w:val="0"/>
        </w:numPr>
        <w:ind w:firstLine="48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本项目建设完成后由中标单位负责运营，运营期为3年，自本项目验收合格之日起算。项目属于公益性展示服务，自负盈亏。日常经营性收益主要为：特色农产品销售、VR体验、广告收入等。同时，本项目可接入现代农业产业园商务平台以及各大相关电子商务平台，既可作为线下体验中心，可同时实现线上和线下的销售收益。本项目利用自身优势，通过联农助农方式，与“农村合作社”加强紧密联系，对时令优质农产品及时进行展示展销，体现农产品的时鲜性和原产地标志；同时“农村合作社”也为本项目提供长期稳定的产品供应保障，也为本项目运营节省了大量的产品采购成本。</w:t>
      </w:r>
    </w:p>
    <w:p>
      <w:pPr>
        <w:pStyle w:val="5"/>
        <w:numPr>
          <w:ilvl w:val="0"/>
          <w:numId w:val="1"/>
        </w:numPr>
        <w:bidi w:val="0"/>
        <w:ind w:left="0" w:leftChars="0" w:firstLine="420" w:firstLineChars="0"/>
        <w:jc w:val="left"/>
        <w:rPr>
          <w:rFonts w:hint="eastAsia"/>
          <w:color w:val="auto"/>
          <w:lang w:val="en-US" w:eastAsia="zh-CN"/>
        </w:rPr>
      </w:pPr>
      <w:bookmarkStart w:id="7" w:name="_Toc2736"/>
      <w:bookmarkStart w:id="8" w:name="_Toc2198"/>
      <w:r>
        <w:rPr>
          <w:rFonts w:hint="eastAsia" w:ascii="Arial" w:hAnsi="Arial" w:eastAsia="宋体" w:cs="Times New Roman"/>
          <w:b/>
          <w:bCs/>
          <w:color w:val="auto"/>
          <w:lang w:val="en-US" w:eastAsia="zh-CN"/>
        </w:rPr>
        <w:t>质量</w:t>
      </w:r>
      <w:r>
        <w:rPr>
          <w:rFonts w:hint="eastAsia"/>
          <w:color w:val="auto"/>
          <w:lang w:val="en-US" w:eastAsia="zh-CN"/>
        </w:rPr>
        <w:t>保证要求</w:t>
      </w:r>
      <w:bookmarkEnd w:id="7"/>
      <w:bookmarkEnd w:id="8"/>
    </w:p>
    <w:p>
      <w:pPr>
        <w:rPr>
          <w:rFonts w:hint="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提供的货物质保期应不少于1年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（有法律法规规定的按相关法律法规实行），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自验收合格之日起计算。质保期内，凡因正常使用出现质量问题，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应提供免费维修或咨询等服务，承担因此产生的一切费用，并从货物或服务正常使用或更换当日起重新计算质保期。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在接到买方故障通知后12小时内响应，24小时内到达用户现场并排除缺陷，修理相关货物或解决相关问题，质保期结束后，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仍应负责对货物提供终生维修服务或对服务提供咨询服务，只收取配件成本或服务成本。</w:t>
      </w:r>
    </w:p>
    <w:p>
      <w:pPr>
        <w:pStyle w:val="5"/>
        <w:numPr>
          <w:ilvl w:val="0"/>
          <w:numId w:val="1"/>
        </w:numPr>
        <w:bidi w:val="0"/>
        <w:ind w:left="0" w:leftChars="0" w:firstLine="420" w:firstLineChars="0"/>
        <w:jc w:val="left"/>
        <w:rPr>
          <w:rFonts w:hint="eastAsia" w:eastAsia="宋体"/>
          <w:color w:val="auto"/>
          <w:lang w:val="en-US" w:eastAsia="zh-CN"/>
        </w:rPr>
      </w:pPr>
      <w:bookmarkStart w:id="9" w:name="_Toc9273"/>
      <w:bookmarkStart w:id="10" w:name="_Toc32059"/>
      <w:r>
        <w:rPr>
          <w:rFonts w:hint="eastAsia" w:ascii="宋体" w:hAnsi="宋体" w:eastAsia="宋体" w:cs="宋体"/>
          <w:color w:val="auto"/>
          <w:lang w:val="en-US" w:eastAsia="zh-CN"/>
        </w:rPr>
        <w:t>合同履行期限</w:t>
      </w:r>
      <w:r>
        <w:rPr>
          <w:rFonts w:hint="eastAsia"/>
          <w:color w:val="auto"/>
          <w:lang w:eastAsia="zh-CN"/>
        </w:rPr>
        <w:t>、履约地点和方式</w:t>
      </w:r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1.</w:t>
      </w:r>
      <w:r>
        <w:rPr>
          <w:rFonts w:hint="eastAsia" w:ascii="宋体" w:hAnsi="宋体" w:eastAsia="宋体" w:cs="宋体"/>
          <w:color w:val="auto"/>
          <w:lang w:val="en-US" w:eastAsia="zh-CN"/>
        </w:rPr>
        <w:t>合同履行期限</w:t>
      </w:r>
      <w:r>
        <w:rPr>
          <w:rFonts w:hint="eastAsia" w:ascii="宋体" w:hAnsi="宋体" w:eastAsia="宋体" w:cs="宋体"/>
          <w:color w:val="auto"/>
        </w:rPr>
        <w:t>：合同签订之日起</w:t>
      </w:r>
      <w:r>
        <w:rPr>
          <w:rFonts w:hint="eastAsia" w:ascii="宋体" w:hAnsi="宋体" w:eastAsia="宋体" w:cs="宋体"/>
          <w:color w:val="auto"/>
          <w:lang w:val="en-US" w:eastAsia="zh-CN"/>
        </w:rPr>
        <w:t>45</w:t>
      </w:r>
      <w:r>
        <w:rPr>
          <w:rFonts w:hint="eastAsia" w:ascii="宋体" w:hAnsi="宋体" w:eastAsia="宋体" w:cs="宋体"/>
          <w:color w:val="auto"/>
        </w:rPr>
        <w:t>天内交货并完成安装调试。</w:t>
      </w:r>
    </w:p>
    <w:p>
      <w:pPr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2.履约地点：采购人指定地点。</w:t>
      </w:r>
    </w:p>
    <w:p>
      <w:pPr>
        <w:bidi w:val="0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3.履约方式：按</w:t>
      </w:r>
      <w:r>
        <w:rPr>
          <w:rFonts w:hint="eastAsia" w:ascii="宋体" w:hAnsi="宋体" w:eastAsia="宋体" w:cs="宋体"/>
          <w:color w:val="auto"/>
          <w:lang w:eastAsia="zh-CN"/>
        </w:rPr>
        <w:t>采购文件、响应</w:t>
      </w:r>
      <w:r>
        <w:rPr>
          <w:rFonts w:hint="eastAsia" w:ascii="宋体" w:hAnsi="宋体" w:eastAsia="宋体" w:cs="宋体"/>
          <w:color w:val="auto"/>
        </w:rPr>
        <w:t>文件以及后续合同约定实施。</w:t>
      </w:r>
    </w:p>
    <w:p>
      <w:pPr>
        <w:pStyle w:val="5"/>
        <w:numPr>
          <w:ilvl w:val="0"/>
          <w:numId w:val="1"/>
        </w:numPr>
        <w:bidi w:val="0"/>
        <w:ind w:left="0" w:leftChars="0" w:firstLine="420" w:firstLineChars="0"/>
        <w:jc w:val="left"/>
        <w:rPr>
          <w:rFonts w:hint="eastAsia"/>
          <w:b/>
          <w:bCs/>
          <w:color w:val="auto"/>
          <w:lang w:val="en-US" w:eastAsia="zh-CN"/>
        </w:rPr>
      </w:pPr>
      <w:bookmarkStart w:id="11" w:name="_Toc14720"/>
      <w:bookmarkStart w:id="12" w:name="_Toc14991"/>
      <w:r>
        <w:rPr>
          <w:rFonts w:hint="eastAsia"/>
          <w:color w:val="auto"/>
          <w:lang w:val="en-US" w:eastAsia="zh-CN"/>
        </w:rPr>
        <w:t>付款时间、方式及条件</w:t>
      </w:r>
      <w:bookmarkEnd w:id="11"/>
      <w:bookmarkEnd w:id="12"/>
    </w:p>
    <w:p>
      <w:pPr>
        <w:bidi w:val="0"/>
        <w:rPr>
          <w:rFonts w:hint="eastAsia" w:ascii="宋体" w:hAnsi="宋体" w:cs="宋体"/>
          <w:color w:val="auto"/>
          <w:kern w:val="0"/>
          <w:highlight w:val="none"/>
          <w:u w:val="none"/>
          <w:lang w:val="en-US" w:eastAsia="zh-CN"/>
        </w:rPr>
      </w:pPr>
      <w:r>
        <w:rPr>
          <w:rFonts w:hint="eastAsia"/>
          <w:color w:val="auto"/>
          <w:lang w:val="en-US" w:eastAsia="zh-CN"/>
        </w:rPr>
        <w:t>签订合同后，招标人凭中标人提供的等额、有效、合法发票等请款材料支付项目中标金额的30%作为预付款；剩余部分按进度进行拨付。（具体以合同约定为准）</w:t>
      </w:r>
      <w:r>
        <w:rPr>
          <w:rFonts w:hint="eastAsia" w:ascii="宋体" w:hAnsi="宋体" w:cs="宋体"/>
          <w:color w:val="auto"/>
          <w:kern w:val="0"/>
          <w:highlight w:val="none"/>
          <w:u w:val="none"/>
          <w:lang w:val="en-US" w:eastAsia="zh-CN"/>
        </w:rPr>
        <w:t>。</w:t>
      </w:r>
    </w:p>
    <w:p>
      <w:pPr>
        <w:pStyle w:val="5"/>
        <w:numPr>
          <w:ilvl w:val="0"/>
          <w:numId w:val="1"/>
        </w:numPr>
        <w:bidi w:val="0"/>
        <w:ind w:left="0" w:leftChars="0" w:firstLine="420" w:firstLineChars="0"/>
        <w:jc w:val="left"/>
        <w:rPr>
          <w:rFonts w:hint="eastAsia"/>
          <w:color w:val="auto"/>
          <w:lang w:eastAsia="zh-CN"/>
        </w:rPr>
      </w:pPr>
      <w:bookmarkStart w:id="13" w:name="_Toc28216"/>
      <w:bookmarkStart w:id="14" w:name="_Toc31290"/>
      <w:r>
        <w:rPr>
          <w:rFonts w:hint="eastAsia"/>
          <w:color w:val="auto"/>
          <w:lang w:eastAsia="zh-CN"/>
        </w:rPr>
        <w:t>其他</w:t>
      </w:r>
      <w:bookmarkEnd w:id="13"/>
      <w:bookmarkEnd w:id="14"/>
    </w:p>
    <w:p>
      <w:pPr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1.项目的实质性要求：按本采购文件要求和成交供应商响应文件内容实施。</w:t>
      </w:r>
    </w:p>
    <w:p>
      <w:pPr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2.合同的实质性条款：采购人与成交供应商的名称和住所、标的、数量、质量、价款或者报酬、履行期限及地点和方式、验收要求、违约责任、解决争议的方法等内容。</w:t>
      </w:r>
    </w:p>
    <w:p>
      <w:pPr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3.安全标准：符合国家、地方及行业的相关政策、法规及规定要求。</w:t>
      </w:r>
    </w:p>
    <w:p>
      <w:pPr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4.验收方法及标准：按采购文件和响应文件的内容及国家、地方和行业的相关政策、法规实施。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5.法律法规规定的强制性标准：无。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6.</w:t>
      </w:r>
      <w:r>
        <w:rPr>
          <w:rFonts w:hint="eastAsia"/>
          <w:color w:val="auto"/>
        </w:rPr>
        <w:t>本项目要求专款专用，</w:t>
      </w:r>
      <w:r>
        <w:rPr>
          <w:rFonts w:hint="eastAsia"/>
          <w:color w:val="auto"/>
          <w:lang w:val="en-US" w:eastAsia="zh-CN"/>
        </w:rPr>
        <w:t>成交供应商</w:t>
      </w:r>
      <w:r>
        <w:rPr>
          <w:rFonts w:hint="eastAsia"/>
          <w:color w:val="auto"/>
        </w:rPr>
        <w:t>应就本项目设置专账管理，编制专款专用项目财务报表，并在项目执行过程中配合业主单位提交项目进度有关佐证材料。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80" w:leftChars="200"/>
        <w:textAlignment w:val="auto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color w:val="auto"/>
          <w:lang w:val="en-US" w:eastAsia="zh-CN"/>
        </w:rPr>
        <w:t>7.</w:t>
      </w:r>
      <w:r>
        <w:rPr>
          <w:rFonts w:hint="eastAsia"/>
          <w:color w:val="auto"/>
        </w:rPr>
        <w:t>其他未尽事宜</w:t>
      </w:r>
      <w:r>
        <w:rPr>
          <w:rFonts w:hint="eastAsia"/>
          <w:color w:val="auto"/>
          <w:lang w:val="en-US" w:eastAsia="zh-CN"/>
        </w:rPr>
        <w:t>以</w:t>
      </w:r>
      <w:r>
        <w:rPr>
          <w:rFonts w:hint="eastAsia"/>
          <w:color w:val="auto"/>
        </w:rPr>
        <w:t>合同中约定</w:t>
      </w:r>
      <w:r>
        <w:rPr>
          <w:rFonts w:hint="eastAsia"/>
          <w:color w:val="auto"/>
          <w:lang w:val="en-US" w:eastAsia="zh-CN"/>
        </w:rPr>
        <w:t>为准</w:t>
      </w:r>
      <w:r>
        <w:rPr>
          <w:rFonts w:hint="eastAsia"/>
          <w:color w:val="auto"/>
        </w:rPr>
        <w:t>。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b/>
          <w:bCs/>
          <w:color w:val="auto"/>
          <w:highlight w:val="none"/>
          <w:lang w:val="en-GB" w:eastAsia="zh-CN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供应商</w:t>
      </w:r>
      <w:r>
        <w:rPr>
          <w:rFonts w:hint="eastAsia"/>
          <w:b/>
          <w:bCs/>
          <w:color w:val="auto"/>
          <w:highlight w:val="none"/>
        </w:rPr>
        <w:t>需针对本项目提供详细的项目实施方案</w:t>
      </w:r>
      <w:r>
        <w:rPr>
          <w:rFonts w:hint="eastAsia"/>
          <w:b/>
          <w:bCs/>
          <w:color w:val="auto"/>
          <w:highlight w:val="none"/>
          <w:lang w:eastAsia="zh-CN"/>
        </w:rPr>
        <w:t>、</w:t>
      </w:r>
      <w:r>
        <w:rPr>
          <w:rFonts w:hint="eastAsia"/>
          <w:b/>
          <w:bCs/>
          <w:color w:val="auto"/>
          <w:highlight w:val="none"/>
        </w:rPr>
        <w:t>质量保证方案</w:t>
      </w:r>
      <w:r>
        <w:rPr>
          <w:rFonts w:hint="eastAsia"/>
          <w:b/>
          <w:bCs/>
          <w:color w:val="auto"/>
          <w:highlight w:val="none"/>
          <w:lang w:eastAsia="zh-CN"/>
        </w:rPr>
        <w:t>、</w:t>
      </w:r>
      <w:r>
        <w:rPr>
          <w:rFonts w:hint="eastAsia"/>
          <w:b/>
          <w:bCs/>
          <w:color w:val="auto"/>
          <w:highlight w:val="none"/>
        </w:rPr>
        <w:t>售后服务方案</w:t>
      </w:r>
      <w:r>
        <w:rPr>
          <w:rFonts w:hint="eastAsia"/>
          <w:b/>
          <w:bCs/>
          <w:color w:val="auto"/>
          <w:highlight w:val="none"/>
          <w:lang w:eastAsia="zh-CN"/>
        </w:rPr>
        <w:t>、</w:t>
      </w:r>
      <w:r>
        <w:rPr>
          <w:rFonts w:hint="eastAsia"/>
          <w:b/>
          <w:bCs/>
          <w:color w:val="auto"/>
          <w:highlight w:val="none"/>
        </w:rPr>
        <w:t>运营推广方案</w:t>
      </w:r>
      <w:r>
        <w:rPr>
          <w:rFonts w:hint="eastAsia"/>
          <w:b/>
          <w:bCs/>
          <w:color w:val="auto"/>
          <w:highlight w:val="none"/>
          <w:lang w:eastAsia="zh-CN"/>
        </w:rPr>
        <w:t>、</w:t>
      </w:r>
      <w:r>
        <w:rPr>
          <w:rFonts w:hint="eastAsia"/>
          <w:b/>
          <w:bCs/>
          <w:color w:val="auto"/>
          <w:highlight w:val="none"/>
        </w:rPr>
        <w:t>合理化建议</w:t>
      </w:r>
      <w:r>
        <w:rPr>
          <w:rFonts w:hint="eastAsia"/>
          <w:b/>
          <w:bCs/>
          <w:color w:val="auto"/>
          <w:highlight w:val="none"/>
          <w:lang w:eastAsia="zh-CN"/>
        </w:rPr>
        <w:t>等</w:t>
      </w:r>
      <w:r>
        <w:rPr>
          <w:rFonts w:hint="eastAsia"/>
          <w:b/>
          <w:bCs/>
          <w:color w:val="auto"/>
          <w:highlight w:val="none"/>
          <w:lang w:val="en-US" w:eastAsia="zh-CN"/>
        </w:rPr>
        <w:t>内容</w:t>
      </w:r>
      <w:r>
        <w:rPr>
          <w:rFonts w:hint="eastAsia"/>
          <w:b/>
          <w:bCs/>
          <w:color w:val="auto"/>
          <w:highlight w:val="none"/>
        </w:rPr>
        <w:t>。</w:t>
      </w:r>
    </w:p>
    <w:p>
      <w:pPr>
        <w:pStyle w:val="2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8CFF4"/>
    <w:multiLevelType w:val="singleLevel"/>
    <w:tmpl w:val="B7B8CF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2896CA"/>
    <w:multiLevelType w:val="singleLevel"/>
    <w:tmpl w:val="CE2896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EF3572"/>
    <w:multiLevelType w:val="singleLevel"/>
    <w:tmpl w:val="EBEF35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D68E3DF"/>
    <w:multiLevelType w:val="singleLevel"/>
    <w:tmpl w:val="3D68E3D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50B7A03B"/>
    <w:multiLevelType w:val="singleLevel"/>
    <w:tmpl w:val="50B7A0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zE5MWY1YmE5MmVhMTFmOTYxMjgwMjUxM2E3OWMifQ=="/>
  </w:docVars>
  <w:rsids>
    <w:rsidRoot w:val="730F2D3B"/>
    <w:rsid w:val="08D52CDA"/>
    <w:rsid w:val="730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386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36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line="360" w:lineRule="auto"/>
      <w:ind w:firstLine="0"/>
      <w:jc w:val="center"/>
      <w:outlineLvl w:val="1"/>
    </w:pPr>
    <w:rPr>
      <w:rFonts w:ascii="Arial" w:hAnsi="Arial"/>
      <w:b/>
      <w:bCs/>
      <w:kern w:val="0"/>
      <w:sz w:val="30"/>
      <w:szCs w:val="3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rFonts w:ascii="Calibri" w:hAnsi="Calibri"/>
      <w:sz w:val="21"/>
      <w:szCs w:val="22"/>
    </w:rPr>
  </w:style>
  <w:style w:type="paragraph" w:styleId="3">
    <w:name w:val="Body Text Indent"/>
    <w:basedOn w:val="1"/>
    <w:next w:val="2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2023-12-13T07:04:00Z</dcterms:created>
  <dc:creator>宋剑英</dc:creator>
  <cp:lastModifiedBy>宋剑英</cp:lastModifiedBy>
  <dcterms:modified xsi:type="dcterms:W3CDTF">2023-12-13T07:05:15Z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FD175D2D9F5542988EF3D911E4D97AC6_11</vt:lpwstr>
  </property>
</Properties>
</file>