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80" w:lineRule="auto"/>
        <w:jc w:val="center"/>
        <w:rPr>
          <w:rFonts w:hint="eastAsia" w:ascii="宋体" w:hAnsi="宋体" w:eastAsia="宋体" w:cs="宋体"/>
          <w:b/>
          <w:bCs/>
          <w:color w:val="auto"/>
        </w:rPr>
      </w:pPr>
      <w:r>
        <w:rPr>
          <w:rFonts w:hint="eastAsia" w:ascii="宋体" w:hAnsi="宋体" w:eastAsia="宋体" w:cs="宋体"/>
          <w:b/>
          <w:bCs/>
          <w:color w:val="auto"/>
        </w:rPr>
        <w:t>第三章 采购需求</w:t>
      </w:r>
    </w:p>
    <w:p>
      <w:pPr>
        <w:keepNext w:val="0"/>
        <w:keepLines w:val="0"/>
        <w:pageBreakBefore w:val="0"/>
        <w:widowControl w:val="0"/>
        <w:numPr>
          <w:ilvl w:val="0"/>
          <w:numId w:val="1"/>
        </w:numPr>
        <w:kinsoku/>
        <w:wordWrap/>
        <w:overflowPunct/>
        <w:topLinePunct w:val="0"/>
        <w:autoSpaceDE/>
        <w:autoSpaceDN/>
        <w:bidi w:val="0"/>
        <w:adjustRightInd/>
        <w:spacing w:line="520" w:lineRule="exact"/>
        <w:jc w:val="both"/>
        <w:textAlignment w:val="auto"/>
        <w:rPr>
          <w:rFonts w:hint="eastAsia" w:ascii="宋体" w:hAnsi="宋体" w:eastAsia="宋体" w:cs="宋体"/>
          <w:b/>
          <w:bCs/>
          <w:color w:val="auto"/>
          <w:szCs w:val="24"/>
        </w:rPr>
      </w:pPr>
      <w:bookmarkStart w:id="0" w:name="_Toc27141"/>
      <w:bookmarkStart w:id="1" w:name="_Toc17172"/>
      <w:bookmarkStart w:id="2" w:name="_Toc302477541"/>
      <w:r>
        <w:rPr>
          <w:rFonts w:hint="eastAsia" w:ascii="宋体" w:hAnsi="宋体" w:eastAsia="宋体" w:cs="宋体"/>
          <w:b/>
          <w:bCs/>
          <w:color w:val="auto"/>
          <w:szCs w:val="24"/>
        </w:rPr>
        <w:t>项目概况</w:t>
      </w:r>
    </w:p>
    <w:p>
      <w:pPr>
        <w:keepNext w:val="0"/>
        <w:keepLines w:val="0"/>
        <w:pageBreakBefore w:val="0"/>
        <w:widowControl w:val="0"/>
        <w:numPr>
          <w:ilvl w:val="0"/>
          <w:numId w:val="2"/>
        </w:numPr>
        <w:kinsoku/>
        <w:wordWrap/>
        <w:overflowPunct/>
        <w:topLinePunct w:val="0"/>
        <w:autoSpaceDE/>
        <w:autoSpaceDN/>
        <w:bidi w:val="0"/>
        <w:adjustRightInd/>
        <w:spacing w:line="520" w:lineRule="exact"/>
        <w:jc w:val="both"/>
        <w:textAlignment w:val="auto"/>
        <w:rPr>
          <w:rFonts w:hint="eastAsia" w:ascii="宋体" w:hAnsi="宋体" w:eastAsia="宋体" w:cs="宋体"/>
          <w:color w:val="auto"/>
          <w:szCs w:val="24"/>
        </w:rPr>
      </w:pPr>
      <w:r>
        <w:rPr>
          <w:rFonts w:hint="eastAsia" w:ascii="宋体" w:hAnsi="宋体" w:eastAsia="宋体" w:cs="宋体"/>
          <w:color w:val="auto"/>
          <w:szCs w:val="24"/>
        </w:rPr>
        <w:t>项目名称：“绿水青山就是金山银山”实践创新基地建设跟踪评估技术服务工作</w:t>
      </w:r>
    </w:p>
    <w:p>
      <w:pPr>
        <w:keepNext w:val="0"/>
        <w:keepLines w:val="0"/>
        <w:pageBreakBefore w:val="0"/>
        <w:widowControl w:val="0"/>
        <w:numPr>
          <w:ilvl w:val="0"/>
          <w:numId w:val="2"/>
        </w:numPr>
        <w:kinsoku/>
        <w:wordWrap/>
        <w:overflowPunct/>
        <w:topLinePunct w:val="0"/>
        <w:autoSpaceDE/>
        <w:autoSpaceDN/>
        <w:bidi w:val="0"/>
        <w:adjustRightInd/>
        <w:spacing w:line="520" w:lineRule="exact"/>
        <w:jc w:val="both"/>
        <w:textAlignment w:val="auto"/>
        <w:rPr>
          <w:rFonts w:hint="eastAsia" w:ascii="宋体" w:hAnsi="宋体" w:eastAsia="宋体" w:cs="宋体"/>
          <w:color w:val="auto"/>
          <w:szCs w:val="24"/>
        </w:rPr>
      </w:pPr>
      <w:r>
        <w:rPr>
          <w:rFonts w:hint="eastAsia" w:ascii="宋体" w:hAnsi="宋体" w:eastAsia="宋体" w:cs="宋体"/>
          <w:color w:val="auto"/>
          <w:szCs w:val="24"/>
        </w:rPr>
        <w:t>服务期限：自合同签订之日起至生态环境部对白沙黎族自治县“绿水青山就是金山银山”实践创新基地三年建设后评估全部工作结束止。</w:t>
      </w:r>
    </w:p>
    <w:p>
      <w:pPr>
        <w:keepNext w:val="0"/>
        <w:keepLines w:val="0"/>
        <w:pageBreakBefore w:val="0"/>
        <w:widowControl w:val="0"/>
        <w:numPr>
          <w:ilvl w:val="0"/>
          <w:numId w:val="2"/>
        </w:numPr>
        <w:kinsoku/>
        <w:wordWrap/>
        <w:overflowPunct/>
        <w:topLinePunct w:val="0"/>
        <w:autoSpaceDE/>
        <w:autoSpaceDN/>
        <w:bidi w:val="0"/>
        <w:adjustRightInd/>
        <w:spacing w:line="520" w:lineRule="exact"/>
        <w:jc w:val="both"/>
        <w:textAlignment w:val="auto"/>
        <w:rPr>
          <w:rFonts w:hint="eastAsia" w:ascii="宋体" w:hAnsi="宋体" w:eastAsia="宋体" w:cs="宋体"/>
          <w:color w:val="auto"/>
          <w:szCs w:val="24"/>
        </w:rPr>
      </w:pPr>
      <w:r>
        <w:rPr>
          <w:rFonts w:hint="eastAsia" w:ascii="宋体" w:hAnsi="宋体" w:eastAsia="宋体" w:cs="宋体"/>
          <w:color w:val="auto"/>
          <w:szCs w:val="24"/>
        </w:rPr>
        <w:t>服务地点：采购人指定地点。</w:t>
      </w:r>
    </w:p>
    <w:p>
      <w:pPr>
        <w:keepNext w:val="0"/>
        <w:keepLines w:val="0"/>
        <w:pageBreakBefore w:val="0"/>
        <w:widowControl w:val="0"/>
        <w:numPr>
          <w:ilvl w:val="0"/>
          <w:numId w:val="1"/>
        </w:numPr>
        <w:kinsoku/>
        <w:wordWrap/>
        <w:overflowPunct/>
        <w:topLinePunct w:val="0"/>
        <w:autoSpaceDE/>
        <w:autoSpaceDN/>
        <w:bidi w:val="0"/>
        <w:adjustRightInd/>
        <w:spacing w:line="520" w:lineRule="exact"/>
        <w:jc w:val="both"/>
        <w:textAlignment w:val="auto"/>
        <w:rPr>
          <w:rFonts w:hint="eastAsia" w:ascii="宋体" w:hAnsi="宋体" w:eastAsia="宋体" w:cs="宋体"/>
          <w:b/>
          <w:bCs/>
          <w:color w:val="auto"/>
          <w:szCs w:val="24"/>
        </w:rPr>
      </w:pPr>
      <w:r>
        <w:rPr>
          <w:rFonts w:hint="eastAsia" w:ascii="宋体" w:hAnsi="宋体" w:eastAsia="宋体" w:cs="宋体"/>
          <w:b/>
          <w:bCs/>
          <w:color w:val="auto"/>
          <w:szCs w:val="24"/>
        </w:rPr>
        <w:t>服务内容及要求</w:t>
      </w:r>
    </w:p>
    <w:p>
      <w:pPr>
        <w:keepNext w:val="0"/>
        <w:keepLines w:val="0"/>
        <w:pageBreakBefore w:val="0"/>
        <w:widowControl w:val="0"/>
        <w:numPr>
          <w:ilvl w:val="0"/>
          <w:numId w:val="3"/>
        </w:numPr>
        <w:kinsoku/>
        <w:wordWrap/>
        <w:overflowPunct/>
        <w:topLinePunct w:val="0"/>
        <w:autoSpaceDE/>
        <w:autoSpaceDN/>
        <w:bidi w:val="0"/>
        <w:adjustRightInd/>
        <w:spacing w:line="520" w:lineRule="exact"/>
        <w:ind w:left="11" w:hanging="11"/>
        <w:textAlignment w:val="auto"/>
        <w:rPr>
          <w:rFonts w:hint="eastAsia" w:ascii="宋体" w:hAnsi="宋体" w:eastAsia="宋体" w:cs="宋体"/>
          <w:b/>
          <w:color w:val="auto"/>
          <w:szCs w:val="24"/>
        </w:rPr>
      </w:pPr>
      <w:r>
        <w:rPr>
          <w:rFonts w:hint="eastAsia" w:ascii="宋体" w:hAnsi="宋体" w:eastAsia="宋体" w:cs="宋体"/>
          <w:b/>
          <w:color w:val="auto"/>
          <w:szCs w:val="24"/>
        </w:rPr>
        <w:t>服务依据与工作内容</w:t>
      </w:r>
    </w:p>
    <w:p>
      <w:pPr>
        <w:keepNext w:val="0"/>
        <w:keepLines w:val="0"/>
        <w:pageBreakBefore w:val="0"/>
        <w:widowControl w:val="0"/>
        <w:kinsoku/>
        <w:wordWrap/>
        <w:overflowPunct/>
        <w:topLinePunct w:val="0"/>
        <w:autoSpaceDE/>
        <w:autoSpaceDN/>
        <w:bidi w:val="0"/>
        <w:adjustRightInd/>
        <w:spacing w:line="520" w:lineRule="exact"/>
        <w:ind w:firstLine="42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本项目依据《关于印发&lt;国家生态文明建设示范市县建设指标&gt;&lt;国家生态文明建设示范市县管理规程&gt;和&lt;“绿水青山就是金山银山”实践创新基地建设管理规程（试行）&gt;的通知》（环生态〔2019〕76号），具体工作内容包括：</w:t>
      </w:r>
    </w:p>
    <w:p>
      <w:pPr>
        <w:keepNext w:val="0"/>
        <w:keepLines w:val="0"/>
        <w:pageBreakBefore w:val="0"/>
        <w:widowControl w:val="0"/>
        <w:numPr>
          <w:ilvl w:val="0"/>
          <w:numId w:val="4"/>
        </w:numPr>
        <w:kinsoku/>
        <w:wordWrap/>
        <w:overflowPunct/>
        <w:topLinePunct w:val="0"/>
        <w:autoSpaceDE/>
        <w:autoSpaceDN/>
        <w:bidi w:val="0"/>
        <w:adjustRightInd/>
        <w:spacing w:line="520" w:lineRule="exact"/>
        <w:ind w:left="9" w:hanging="9"/>
        <w:textAlignment w:val="auto"/>
        <w:rPr>
          <w:rFonts w:hint="eastAsia" w:ascii="宋体" w:hAnsi="宋体" w:eastAsia="宋体" w:cs="宋体"/>
          <w:b/>
          <w:color w:val="auto"/>
          <w:szCs w:val="24"/>
        </w:rPr>
      </w:pPr>
      <w:bookmarkStart w:id="3" w:name="_Toc63588318"/>
      <w:bookmarkStart w:id="4" w:name="_Toc66984376"/>
      <w:r>
        <w:rPr>
          <w:rFonts w:hint="eastAsia" w:ascii="宋体" w:hAnsi="宋体" w:eastAsia="宋体" w:cs="宋体"/>
          <w:b/>
          <w:color w:val="auto"/>
          <w:szCs w:val="24"/>
        </w:rPr>
        <w:t>开展“两山”专班</w:t>
      </w:r>
      <w:r>
        <w:rPr>
          <w:rFonts w:hint="eastAsia" w:ascii="宋体" w:hAnsi="宋体" w:eastAsia="宋体" w:cs="宋体"/>
          <w:b/>
          <w:bCs/>
          <w:color w:val="auto"/>
          <w:szCs w:val="24"/>
        </w:rPr>
        <w:t>技术咨询</w:t>
      </w:r>
      <w:r>
        <w:rPr>
          <w:rFonts w:hint="eastAsia" w:ascii="宋体" w:hAnsi="宋体" w:eastAsia="宋体" w:cs="宋体"/>
          <w:b/>
          <w:color w:val="auto"/>
          <w:szCs w:val="24"/>
        </w:rPr>
        <w:t>服务</w:t>
      </w:r>
    </w:p>
    <w:p>
      <w:pPr>
        <w:keepNext w:val="0"/>
        <w:keepLines w:val="0"/>
        <w:pageBreakBefore w:val="0"/>
        <w:widowControl w:val="0"/>
        <w:kinsoku/>
        <w:wordWrap/>
        <w:overflowPunct/>
        <w:topLinePunct w:val="0"/>
        <w:autoSpaceDE/>
        <w:autoSpaceDN/>
        <w:bidi w:val="0"/>
        <w:adjustRightInd/>
        <w:spacing w:line="520" w:lineRule="exact"/>
        <w:ind w:firstLine="42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中标单位成立工作组，协助我县“两山”专班做好“两山”建设年度工作计划、年度工作总结，按月总结我县“两山”基地建设进展情况。</w:t>
      </w:r>
    </w:p>
    <w:p>
      <w:pPr>
        <w:keepNext w:val="0"/>
        <w:keepLines w:val="0"/>
        <w:pageBreakBefore w:val="0"/>
        <w:widowControl w:val="0"/>
        <w:numPr>
          <w:ilvl w:val="0"/>
          <w:numId w:val="4"/>
        </w:numPr>
        <w:kinsoku/>
        <w:wordWrap/>
        <w:overflowPunct/>
        <w:topLinePunct w:val="0"/>
        <w:autoSpaceDE/>
        <w:autoSpaceDN/>
        <w:bidi w:val="0"/>
        <w:adjustRightInd/>
        <w:spacing w:line="520" w:lineRule="exact"/>
        <w:ind w:left="9" w:hanging="9"/>
        <w:textAlignment w:val="auto"/>
        <w:rPr>
          <w:rFonts w:hint="eastAsia" w:ascii="宋体" w:hAnsi="宋体" w:eastAsia="宋体" w:cs="宋体"/>
          <w:b/>
          <w:color w:val="auto"/>
          <w:szCs w:val="24"/>
        </w:rPr>
      </w:pPr>
      <w:r>
        <w:rPr>
          <w:rFonts w:hint="eastAsia" w:ascii="宋体" w:hAnsi="宋体" w:eastAsia="宋体" w:cs="宋体"/>
          <w:b/>
          <w:color w:val="auto"/>
          <w:szCs w:val="24"/>
        </w:rPr>
        <w:t>开展“两山”基地建设成效评估工作</w:t>
      </w:r>
    </w:p>
    <w:p>
      <w:pPr>
        <w:keepNext w:val="0"/>
        <w:keepLines w:val="0"/>
        <w:pageBreakBefore w:val="0"/>
        <w:widowControl w:val="0"/>
        <w:numPr>
          <w:ilvl w:val="0"/>
          <w:numId w:val="5"/>
        </w:numPr>
        <w:kinsoku/>
        <w:wordWrap/>
        <w:overflowPunct/>
        <w:topLinePunct w:val="0"/>
        <w:autoSpaceDE/>
        <w:autoSpaceDN/>
        <w:bidi w:val="0"/>
        <w:adjustRightInd/>
        <w:spacing w:line="520" w:lineRule="exact"/>
        <w:ind w:left="221" w:firstLine="0"/>
        <w:textAlignment w:val="auto"/>
        <w:rPr>
          <w:rFonts w:hint="eastAsia" w:ascii="宋体" w:hAnsi="宋体" w:eastAsia="宋体" w:cs="宋体"/>
          <w:bCs/>
          <w:color w:val="auto"/>
          <w:szCs w:val="24"/>
        </w:rPr>
      </w:pPr>
      <w:r>
        <w:rPr>
          <w:rFonts w:hint="eastAsia" w:ascii="宋体" w:hAnsi="宋体" w:eastAsia="宋体" w:cs="宋体"/>
          <w:bCs/>
          <w:color w:val="auto"/>
          <w:szCs w:val="24"/>
        </w:rPr>
        <w:t>开展“两山”基地建设过程评估</w:t>
      </w:r>
    </w:p>
    <w:p>
      <w:pPr>
        <w:keepNext w:val="0"/>
        <w:keepLines w:val="0"/>
        <w:pageBreakBefore w:val="0"/>
        <w:widowControl w:val="0"/>
        <w:kinsoku/>
        <w:wordWrap/>
        <w:overflowPunct/>
        <w:topLinePunct w:val="0"/>
        <w:autoSpaceDE/>
        <w:autoSpaceDN/>
        <w:bidi w:val="0"/>
        <w:adjustRightInd/>
        <w:spacing w:line="520" w:lineRule="exact"/>
        <w:ind w:firstLine="420" w:firstLineChars="200"/>
        <w:textAlignment w:val="auto"/>
        <w:rPr>
          <w:rFonts w:hint="eastAsia" w:ascii="宋体" w:hAnsi="宋体" w:eastAsia="宋体" w:cs="宋体"/>
          <w:bCs/>
          <w:color w:val="auto"/>
          <w:szCs w:val="24"/>
        </w:rPr>
      </w:pPr>
      <w:r>
        <w:rPr>
          <w:rFonts w:hint="eastAsia" w:ascii="宋体" w:hAnsi="宋体" w:eastAsia="宋体" w:cs="宋体"/>
          <w:bCs/>
          <w:color w:val="auto"/>
          <w:szCs w:val="24"/>
        </w:rPr>
        <w:t>对我县“两山”基地建设全过程进行跟踪评估，及时评价我县“两山”建设成效，及早发现并解决“两山”建设过程中所遇到的困难和问题，并根据实际情况动态调整建设内容。</w:t>
      </w:r>
    </w:p>
    <w:bookmarkEnd w:id="3"/>
    <w:bookmarkEnd w:id="4"/>
    <w:p>
      <w:pPr>
        <w:keepNext w:val="0"/>
        <w:keepLines w:val="0"/>
        <w:pageBreakBefore w:val="0"/>
        <w:widowControl w:val="0"/>
        <w:numPr>
          <w:ilvl w:val="0"/>
          <w:numId w:val="5"/>
        </w:numPr>
        <w:kinsoku/>
        <w:wordWrap/>
        <w:overflowPunct/>
        <w:topLinePunct w:val="0"/>
        <w:autoSpaceDE/>
        <w:autoSpaceDN/>
        <w:bidi w:val="0"/>
        <w:adjustRightInd/>
        <w:spacing w:line="520" w:lineRule="exact"/>
        <w:ind w:left="221" w:firstLine="0"/>
        <w:textAlignment w:val="auto"/>
        <w:rPr>
          <w:rFonts w:hint="eastAsia" w:ascii="宋体" w:hAnsi="宋体" w:eastAsia="宋体" w:cs="宋体"/>
          <w:bCs/>
          <w:color w:val="auto"/>
          <w:szCs w:val="24"/>
        </w:rPr>
      </w:pPr>
      <w:r>
        <w:rPr>
          <w:rFonts w:hint="eastAsia" w:ascii="宋体" w:hAnsi="宋体" w:eastAsia="宋体" w:cs="宋体"/>
          <w:bCs/>
          <w:color w:val="auto"/>
          <w:szCs w:val="24"/>
        </w:rPr>
        <w:t>开展“两山指数”评估</w:t>
      </w:r>
    </w:p>
    <w:p>
      <w:pPr>
        <w:keepNext w:val="0"/>
        <w:keepLines w:val="0"/>
        <w:pageBreakBefore w:val="0"/>
        <w:widowControl w:val="0"/>
        <w:kinsoku/>
        <w:wordWrap/>
        <w:overflowPunct/>
        <w:topLinePunct w:val="0"/>
        <w:autoSpaceDE/>
        <w:autoSpaceDN/>
        <w:bidi w:val="0"/>
        <w:adjustRightInd/>
        <w:spacing w:line="520" w:lineRule="exact"/>
        <w:ind w:firstLine="420" w:firstLineChars="200"/>
        <w:textAlignment w:val="auto"/>
        <w:rPr>
          <w:rFonts w:hint="eastAsia" w:ascii="宋体" w:hAnsi="宋体" w:eastAsia="宋体" w:cs="宋体"/>
          <w:bCs/>
          <w:color w:val="auto"/>
          <w:szCs w:val="24"/>
        </w:rPr>
      </w:pPr>
      <w:r>
        <w:rPr>
          <w:rFonts w:hint="eastAsia" w:ascii="宋体" w:hAnsi="宋体" w:eastAsia="宋体" w:cs="宋体"/>
          <w:bCs/>
          <w:color w:val="auto"/>
          <w:szCs w:val="24"/>
        </w:rPr>
        <w:t>按照生态环境部要求，以《白沙黎族自治县“绿水青山就是金山银山”实践创新基地实施方案》为基础，结合我县“两山”基地建设的实际情况，开展“两山指数”评估工作。</w:t>
      </w:r>
    </w:p>
    <w:p>
      <w:pPr>
        <w:keepNext w:val="0"/>
        <w:keepLines w:val="0"/>
        <w:pageBreakBefore w:val="0"/>
        <w:widowControl w:val="0"/>
        <w:numPr>
          <w:ilvl w:val="0"/>
          <w:numId w:val="5"/>
        </w:numPr>
        <w:kinsoku/>
        <w:wordWrap/>
        <w:overflowPunct/>
        <w:topLinePunct w:val="0"/>
        <w:autoSpaceDE/>
        <w:autoSpaceDN/>
        <w:bidi w:val="0"/>
        <w:adjustRightInd/>
        <w:spacing w:line="520" w:lineRule="exact"/>
        <w:ind w:left="221" w:firstLine="0"/>
        <w:textAlignment w:val="auto"/>
        <w:rPr>
          <w:rFonts w:hint="eastAsia" w:ascii="宋体" w:hAnsi="宋体" w:eastAsia="宋体" w:cs="宋体"/>
          <w:bCs/>
          <w:color w:val="auto"/>
          <w:szCs w:val="24"/>
        </w:rPr>
      </w:pPr>
      <w:r>
        <w:rPr>
          <w:rFonts w:hint="eastAsia" w:ascii="宋体" w:hAnsi="宋体" w:eastAsia="宋体" w:cs="宋体"/>
          <w:bCs/>
          <w:color w:val="auto"/>
          <w:szCs w:val="24"/>
        </w:rPr>
        <w:t>开展“两山”基地建设佐证材料汇编</w:t>
      </w:r>
    </w:p>
    <w:p>
      <w:pPr>
        <w:keepNext w:val="0"/>
        <w:keepLines w:val="0"/>
        <w:pageBreakBefore w:val="0"/>
        <w:widowControl w:val="0"/>
        <w:kinsoku/>
        <w:wordWrap/>
        <w:overflowPunct/>
        <w:topLinePunct w:val="0"/>
        <w:autoSpaceDE/>
        <w:autoSpaceDN/>
        <w:bidi w:val="0"/>
        <w:adjustRightInd/>
        <w:spacing w:line="520" w:lineRule="exact"/>
        <w:ind w:firstLine="420" w:firstLineChars="200"/>
        <w:textAlignment w:val="auto"/>
        <w:rPr>
          <w:rFonts w:hint="eastAsia" w:ascii="宋体" w:hAnsi="宋体" w:eastAsia="宋体" w:cs="宋体"/>
          <w:bCs/>
          <w:color w:val="auto"/>
          <w:szCs w:val="24"/>
        </w:rPr>
      </w:pPr>
      <w:r>
        <w:rPr>
          <w:rFonts w:hint="eastAsia" w:ascii="宋体" w:hAnsi="宋体" w:eastAsia="宋体" w:cs="宋体"/>
          <w:bCs/>
          <w:color w:val="auto"/>
          <w:szCs w:val="24"/>
        </w:rPr>
        <w:t>按照生态环境部要求，动态更新我县“两山”基地建设工作成效相关材料，汇编成册作为佐证材料，并按要求在国家生态文明建设管理平台填报相关信息和数据。</w:t>
      </w:r>
    </w:p>
    <w:p>
      <w:pPr>
        <w:keepNext w:val="0"/>
        <w:keepLines w:val="0"/>
        <w:pageBreakBefore w:val="0"/>
        <w:widowControl w:val="0"/>
        <w:numPr>
          <w:ilvl w:val="0"/>
          <w:numId w:val="5"/>
        </w:numPr>
        <w:kinsoku/>
        <w:wordWrap/>
        <w:overflowPunct/>
        <w:topLinePunct w:val="0"/>
        <w:autoSpaceDE/>
        <w:autoSpaceDN/>
        <w:bidi w:val="0"/>
        <w:adjustRightInd/>
        <w:spacing w:line="520" w:lineRule="exact"/>
        <w:ind w:left="221" w:firstLine="0"/>
        <w:textAlignment w:val="auto"/>
        <w:rPr>
          <w:rFonts w:hint="eastAsia" w:ascii="宋体" w:hAnsi="宋体" w:eastAsia="宋体" w:cs="宋体"/>
          <w:bCs/>
          <w:color w:val="auto"/>
          <w:szCs w:val="24"/>
        </w:rPr>
      </w:pPr>
      <w:r>
        <w:rPr>
          <w:rFonts w:hint="eastAsia" w:ascii="宋体" w:hAnsi="宋体" w:eastAsia="宋体" w:cs="宋体"/>
          <w:bCs/>
          <w:color w:val="auto"/>
          <w:szCs w:val="24"/>
        </w:rPr>
        <w:t>开展“两山”基地建设后评估现场检查</w:t>
      </w:r>
    </w:p>
    <w:p>
      <w:pPr>
        <w:keepNext w:val="0"/>
        <w:keepLines w:val="0"/>
        <w:pageBreakBefore w:val="0"/>
        <w:widowControl w:val="0"/>
        <w:kinsoku/>
        <w:wordWrap/>
        <w:overflowPunct/>
        <w:topLinePunct w:val="0"/>
        <w:autoSpaceDE/>
        <w:autoSpaceDN/>
        <w:bidi w:val="0"/>
        <w:adjustRightInd/>
        <w:spacing w:line="520" w:lineRule="exact"/>
        <w:ind w:firstLine="420" w:firstLineChars="200"/>
        <w:textAlignment w:val="auto"/>
        <w:rPr>
          <w:rFonts w:hint="eastAsia" w:ascii="宋体" w:hAnsi="宋体" w:eastAsia="宋体" w:cs="宋体"/>
          <w:color w:val="auto"/>
          <w:szCs w:val="24"/>
        </w:rPr>
      </w:pPr>
      <w:r>
        <w:rPr>
          <w:rFonts w:hint="eastAsia" w:ascii="宋体" w:hAnsi="宋体" w:eastAsia="宋体" w:cs="宋体"/>
          <w:bCs/>
          <w:color w:val="auto"/>
          <w:szCs w:val="24"/>
        </w:rPr>
        <w:t>按照</w:t>
      </w:r>
      <w:r>
        <w:rPr>
          <w:rFonts w:hint="eastAsia" w:ascii="宋体" w:hAnsi="宋体" w:eastAsia="宋体" w:cs="宋体"/>
          <w:color w:val="auto"/>
          <w:szCs w:val="24"/>
        </w:rPr>
        <w:t>相关要求，编制“两山”基地后评估迎检工作方案、“两山”基地建设专题汇报等材料，协助县政府筹备迎接生态环境部专家现场核查工作事宜。</w:t>
      </w:r>
    </w:p>
    <w:p>
      <w:pPr>
        <w:keepNext w:val="0"/>
        <w:keepLines w:val="0"/>
        <w:pageBreakBefore w:val="0"/>
        <w:widowControl w:val="0"/>
        <w:numPr>
          <w:ilvl w:val="0"/>
          <w:numId w:val="1"/>
        </w:numPr>
        <w:kinsoku/>
        <w:wordWrap/>
        <w:overflowPunct/>
        <w:topLinePunct w:val="0"/>
        <w:autoSpaceDE/>
        <w:autoSpaceDN/>
        <w:bidi w:val="0"/>
        <w:adjustRightInd/>
        <w:spacing w:line="520" w:lineRule="exact"/>
        <w:jc w:val="both"/>
        <w:textAlignment w:val="auto"/>
        <w:rPr>
          <w:rFonts w:hint="eastAsia" w:ascii="宋体" w:hAnsi="宋体" w:eastAsia="宋体" w:cs="宋体"/>
          <w:b/>
          <w:bCs/>
          <w:color w:val="auto"/>
          <w:szCs w:val="24"/>
        </w:rPr>
      </w:pPr>
      <w:r>
        <w:rPr>
          <w:rFonts w:hint="eastAsia" w:ascii="宋体" w:hAnsi="宋体" w:eastAsia="宋体" w:cs="宋体"/>
          <w:b/>
          <w:bCs/>
          <w:color w:val="auto"/>
          <w:szCs w:val="24"/>
        </w:rPr>
        <w:t>工作成果及要求</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宋体" w:hAnsi="宋体" w:eastAsia="宋体" w:cs="宋体"/>
          <w:b/>
          <w:color w:val="auto"/>
          <w:szCs w:val="24"/>
        </w:rPr>
      </w:pPr>
      <w:r>
        <w:rPr>
          <w:rFonts w:hint="eastAsia" w:ascii="宋体" w:hAnsi="宋体" w:eastAsia="宋体" w:cs="宋体"/>
          <w:b/>
          <w:color w:val="auto"/>
          <w:szCs w:val="24"/>
        </w:rPr>
        <w:t>1、项目要求</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宋体" w:hAnsi="宋体" w:eastAsia="宋体" w:cs="宋体"/>
          <w:b/>
          <w:color w:val="auto"/>
          <w:szCs w:val="24"/>
        </w:rPr>
      </w:pPr>
      <w:r>
        <w:rPr>
          <w:rFonts w:hint="eastAsia" w:ascii="宋体" w:hAnsi="宋体" w:eastAsia="宋体" w:cs="宋体"/>
          <w:b/>
          <w:color w:val="auto"/>
          <w:szCs w:val="24"/>
        </w:rPr>
        <w:t>（1）完成时间</w:t>
      </w:r>
    </w:p>
    <w:p>
      <w:pPr>
        <w:keepNext w:val="0"/>
        <w:keepLines w:val="0"/>
        <w:pageBreakBefore w:val="0"/>
        <w:widowControl w:val="0"/>
        <w:kinsoku/>
        <w:wordWrap/>
        <w:overflowPunct/>
        <w:topLinePunct w:val="0"/>
        <w:autoSpaceDE/>
        <w:autoSpaceDN/>
        <w:bidi w:val="0"/>
        <w:adjustRightInd/>
        <w:spacing w:line="520" w:lineRule="exact"/>
        <w:ind w:firstLine="42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合同签订生效后，按月提交《白沙黎族自治县“绿水青山就是金山银山”实践创新基地建设专班工作月报》，按年度提交《白沙黎族自治县“绿水青山就是金山银山”指数评估报告》《白沙黎族自治县“绿水青山就是金山银山”实践创新基地建设年度评估报告》《白沙黎族自治县“绿水青山就是金山银山”实践创新基地建设佐证材料汇编》。合同签订生效后，需在30日内完成当月月报与《2022年白沙黎族自治县“绿水青山就是金山银山”实践创新基地建设年度评估报告》。</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宋体" w:hAnsi="宋体" w:eastAsia="宋体" w:cs="宋体"/>
          <w:b/>
          <w:color w:val="auto"/>
          <w:szCs w:val="24"/>
        </w:rPr>
      </w:pPr>
      <w:r>
        <w:rPr>
          <w:rFonts w:hint="eastAsia" w:ascii="宋体" w:hAnsi="宋体" w:eastAsia="宋体" w:cs="宋体"/>
          <w:b/>
          <w:color w:val="auto"/>
          <w:szCs w:val="24"/>
        </w:rPr>
        <w:t>（2）工作成果</w:t>
      </w:r>
    </w:p>
    <w:p>
      <w:pPr>
        <w:keepNext w:val="0"/>
        <w:keepLines w:val="0"/>
        <w:pageBreakBefore w:val="0"/>
        <w:widowControl w:val="0"/>
        <w:numPr>
          <w:ilvl w:val="0"/>
          <w:numId w:val="6"/>
        </w:numPr>
        <w:kinsoku/>
        <w:wordWrap/>
        <w:overflowPunct/>
        <w:topLinePunct w:val="0"/>
        <w:autoSpaceDE/>
        <w:autoSpaceDN/>
        <w:bidi w:val="0"/>
        <w:adjustRightInd/>
        <w:spacing w:line="520" w:lineRule="exact"/>
        <w:ind w:left="0" w:firstLine="420" w:firstLineChars="200"/>
        <w:textAlignment w:val="auto"/>
        <w:rPr>
          <w:rFonts w:hint="eastAsia" w:ascii="宋体" w:hAnsi="宋体" w:eastAsia="宋体" w:cs="宋体"/>
          <w:bCs/>
          <w:color w:val="auto"/>
          <w:szCs w:val="24"/>
        </w:rPr>
      </w:pPr>
      <w:r>
        <w:rPr>
          <w:rFonts w:hint="eastAsia" w:ascii="宋体" w:hAnsi="宋体" w:eastAsia="宋体" w:cs="宋体"/>
          <w:bCs/>
          <w:color w:val="auto"/>
          <w:szCs w:val="24"/>
        </w:rPr>
        <w:t>《白沙黎族自治县“绿水青山就是金山银山”指数评估报告》；</w:t>
      </w:r>
    </w:p>
    <w:p>
      <w:pPr>
        <w:keepNext w:val="0"/>
        <w:keepLines w:val="0"/>
        <w:pageBreakBefore w:val="0"/>
        <w:widowControl w:val="0"/>
        <w:numPr>
          <w:ilvl w:val="0"/>
          <w:numId w:val="6"/>
        </w:numPr>
        <w:kinsoku/>
        <w:wordWrap/>
        <w:overflowPunct/>
        <w:topLinePunct w:val="0"/>
        <w:autoSpaceDE/>
        <w:autoSpaceDN/>
        <w:bidi w:val="0"/>
        <w:adjustRightInd/>
        <w:spacing w:line="520" w:lineRule="exact"/>
        <w:ind w:left="0" w:firstLine="420" w:firstLineChars="200"/>
        <w:textAlignment w:val="auto"/>
        <w:rPr>
          <w:rFonts w:hint="eastAsia" w:ascii="宋体" w:hAnsi="宋体" w:eastAsia="宋体" w:cs="宋体"/>
          <w:bCs/>
          <w:color w:val="auto"/>
          <w:szCs w:val="24"/>
        </w:rPr>
      </w:pPr>
      <w:r>
        <w:rPr>
          <w:rFonts w:hint="eastAsia" w:ascii="宋体" w:hAnsi="宋体" w:eastAsia="宋体" w:cs="宋体"/>
          <w:bCs/>
          <w:color w:val="auto"/>
          <w:szCs w:val="24"/>
        </w:rPr>
        <w:t>《白沙黎族自治县“绿水青山就是金山银山”实践创新基地建设年度评估报告》；</w:t>
      </w:r>
    </w:p>
    <w:p>
      <w:pPr>
        <w:keepNext w:val="0"/>
        <w:keepLines w:val="0"/>
        <w:pageBreakBefore w:val="0"/>
        <w:widowControl w:val="0"/>
        <w:numPr>
          <w:ilvl w:val="0"/>
          <w:numId w:val="6"/>
        </w:numPr>
        <w:kinsoku/>
        <w:wordWrap/>
        <w:overflowPunct/>
        <w:topLinePunct w:val="0"/>
        <w:autoSpaceDE/>
        <w:autoSpaceDN/>
        <w:bidi w:val="0"/>
        <w:adjustRightInd/>
        <w:spacing w:line="520" w:lineRule="exact"/>
        <w:ind w:left="0" w:firstLine="420" w:firstLineChars="200"/>
        <w:textAlignment w:val="auto"/>
        <w:rPr>
          <w:rFonts w:hint="eastAsia" w:ascii="宋体" w:hAnsi="宋体" w:eastAsia="宋体" w:cs="宋体"/>
          <w:bCs/>
          <w:color w:val="auto"/>
          <w:szCs w:val="24"/>
        </w:rPr>
      </w:pPr>
      <w:r>
        <w:rPr>
          <w:rFonts w:hint="eastAsia" w:ascii="宋体" w:hAnsi="宋体" w:eastAsia="宋体" w:cs="宋体"/>
          <w:bCs/>
          <w:color w:val="auto"/>
          <w:szCs w:val="24"/>
        </w:rPr>
        <w:t>《白沙黎族自治县“绿水青山就是金山银山”实践创新基地建设专班工作月报》；</w:t>
      </w:r>
    </w:p>
    <w:p>
      <w:pPr>
        <w:keepNext w:val="0"/>
        <w:keepLines w:val="0"/>
        <w:pageBreakBefore w:val="0"/>
        <w:widowControl w:val="0"/>
        <w:numPr>
          <w:ilvl w:val="0"/>
          <w:numId w:val="6"/>
        </w:numPr>
        <w:kinsoku/>
        <w:wordWrap/>
        <w:overflowPunct/>
        <w:topLinePunct w:val="0"/>
        <w:autoSpaceDE/>
        <w:autoSpaceDN/>
        <w:bidi w:val="0"/>
        <w:adjustRightInd/>
        <w:spacing w:line="520" w:lineRule="exact"/>
        <w:ind w:left="0" w:firstLine="420" w:firstLineChars="200"/>
        <w:textAlignment w:val="auto"/>
        <w:rPr>
          <w:rFonts w:hint="eastAsia" w:ascii="宋体" w:hAnsi="宋体" w:eastAsia="宋体" w:cs="宋体"/>
          <w:bCs/>
          <w:color w:val="auto"/>
          <w:szCs w:val="24"/>
        </w:rPr>
      </w:pPr>
      <w:r>
        <w:rPr>
          <w:rFonts w:hint="eastAsia" w:ascii="宋体" w:hAnsi="宋体" w:eastAsia="宋体" w:cs="宋体"/>
          <w:bCs/>
          <w:color w:val="auto"/>
          <w:szCs w:val="24"/>
        </w:rPr>
        <w:t>《白沙黎族自治县“绿水青山就是金山银山”实践创新基地建设佐证材料汇编》。</w:t>
      </w:r>
    </w:p>
    <w:p>
      <w:pPr>
        <w:keepNext w:val="0"/>
        <w:keepLines w:val="0"/>
        <w:pageBreakBefore w:val="0"/>
        <w:widowControl w:val="0"/>
        <w:numPr>
          <w:ilvl w:val="0"/>
          <w:numId w:val="3"/>
        </w:numPr>
        <w:kinsoku/>
        <w:wordWrap/>
        <w:overflowPunct/>
        <w:topLinePunct w:val="0"/>
        <w:autoSpaceDE/>
        <w:autoSpaceDN/>
        <w:bidi w:val="0"/>
        <w:adjustRightInd/>
        <w:spacing w:line="520" w:lineRule="exact"/>
        <w:ind w:left="231" w:hanging="11"/>
        <w:textAlignment w:val="auto"/>
        <w:rPr>
          <w:rFonts w:hint="eastAsia" w:ascii="宋体" w:hAnsi="宋体" w:eastAsia="宋体" w:cs="宋体"/>
          <w:b/>
          <w:color w:val="auto"/>
          <w:szCs w:val="24"/>
        </w:rPr>
      </w:pPr>
      <w:r>
        <w:rPr>
          <w:rFonts w:hint="eastAsia" w:ascii="宋体" w:hAnsi="宋体" w:eastAsia="宋体" w:cs="宋体"/>
          <w:b/>
          <w:color w:val="auto"/>
          <w:szCs w:val="24"/>
        </w:rPr>
        <w:t>验收标准</w:t>
      </w:r>
    </w:p>
    <w:p>
      <w:pPr>
        <w:pStyle w:val="5"/>
        <w:keepNext w:val="0"/>
        <w:keepLines w:val="0"/>
        <w:pageBreakBefore w:val="0"/>
        <w:widowControl w:val="0"/>
        <w:kinsoku/>
        <w:wordWrap/>
        <w:overflowPunct/>
        <w:topLinePunct w:val="0"/>
        <w:autoSpaceDE/>
        <w:autoSpaceDN/>
        <w:bidi w:val="0"/>
        <w:adjustRightInd/>
        <w:spacing w:line="520" w:lineRule="exact"/>
        <w:ind w:left="10" w:firstLine="530" w:firstLineChars="22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第三方技术服务单位提供的服务应符合生态环境部的相关标准和要求，按时完成全部工作内容，并提交全部工作成果。</w:t>
      </w:r>
    </w:p>
    <w:p>
      <w:pPr>
        <w:keepNext w:val="0"/>
        <w:keepLines w:val="0"/>
        <w:pageBreakBefore w:val="0"/>
        <w:widowControl w:val="0"/>
        <w:numPr>
          <w:ilvl w:val="0"/>
          <w:numId w:val="3"/>
        </w:numPr>
        <w:kinsoku/>
        <w:wordWrap/>
        <w:overflowPunct/>
        <w:topLinePunct w:val="0"/>
        <w:autoSpaceDE/>
        <w:autoSpaceDN/>
        <w:bidi w:val="0"/>
        <w:adjustRightInd/>
        <w:spacing w:line="520" w:lineRule="exact"/>
        <w:ind w:left="231" w:hanging="11"/>
        <w:textAlignment w:val="auto"/>
        <w:rPr>
          <w:rFonts w:hint="eastAsia" w:ascii="宋体" w:hAnsi="宋体" w:eastAsia="宋体" w:cs="宋体"/>
          <w:b/>
          <w:color w:val="auto"/>
          <w:szCs w:val="24"/>
        </w:rPr>
      </w:pPr>
      <w:r>
        <w:rPr>
          <w:rFonts w:hint="eastAsia" w:ascii="宋体" w:hAnsi="宋体" w:eastAsia="宋体" w:cs="宋体"/>
          <w:b/>
          <w:color w:val="auto"/>
          <w:szCs w:val="24"/>
        </w:rPr>
        <w:t>付款方式、时间、条件</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宋体" w:hAnsi="宋体" w:eastAsia="宋体" w:cs="宋体"/>
          <w:color w:val="auto"/>
          <w:kern w:val="2"/>
          <w:szCs w:val="24"/>
        </w:rPr>
      </w:pPr>
      <w:r>
        <w:rPr>
          <w:rFonts w:hint="eastAsia" w:ascii="宋体" w:hAnsi="宋体" w:eastAsia="宋体" w:cs="宋体"/>
          <w:color w:val="auto"/>
          <w:kern w:val="2"/>
          <w:szCs w:val="24"/>
        </w:rPr>
        <w:t>（1）完成《2022年白沙黎族自治县“绿水青山就是金山银山”指数评估报告》</w:t>
      </w:r>
      <w:r>
        <w:rPr>
          <w:rFonts w:hint="eastAsia" w:ascii="宋体" w:hAnsi="宋体" w:eastAsia="宋体" w:cs="宋体"/>
          <w:color w:val="auto"/>
          <w:kern w:val="2"/>
          <w:szCs w:val="24"/>
        </w:rPr>
        <w:tab/>
      </w:r>
      <w:r>
        <w:rPr>
          <w:rFonts w:hint="eastAsia" w:ascii="宋体" w:hAnsi="宋体" w:eastAsia="宋体" w:cs="宋体"/>
          <w:color w:val="auto"/>
          <w:kern w:val="2"/>
          <w:szCs w:val="24"/>
        </w:rPr>
        <w:t>《2022年白沙黎族自治县“绿水青山就是金山银山”实践创新基地建设年度评估报告》</w:t>
      </w:r>
      <w:r>
        <w:rPr>
          <w:rFonts w:hint="eastAsia" w:ascii="宋体" w:hAnsi="宋体" w:eastAsia="宋体" w:cs="宋体"/>
          <w:color w:val="auto"/>
          <w:kern w:val="2"/>
          <w:szCs w:val="24"/>
        </w:rPr>
        <w:tab/>
      </w:r>
      <w:r>
        <w:rPr>
          <w:rFonts w:hint="eastAsia" w:ascii="宋体" w:hAnsi="宋体" w:eastAsia="宋体" w:cs="宋体"/>
          <w:color w:val="auto"/>
          <w:kern w:val="2"/>
          <w:szCs w:val="24"/>
        </w:rPr>
        <w:t>《2022年白沙黎族自治县“绿水青山就是金山银山”实践创新基地建设佐证材料汇编》并在国家生态文明建设管理平台完成提交后的10个工作日内支付合同额的30%；</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宋体" w:hAnsi="宋体" w:eastAsia="宋体" w:cs="宋体"/>
          <w:color w:val="auto"/>
          <w:kern w:val="2"/>
          <w:szCs w:val="24"/>
        </w:rPr>
      </w:pPr>
      <w:r>
        <w:rPr>
          <w:rFonts w:hint="eastAsia" w:ascii="宋体" w:hAnsi="宋体" w:eastAsia="宋体" w:cs="宋体"/>
          <w:color w:val="auto"/>
          <w:kern w:val="2"/>
          <w:szCs w:val="24"/>
        </w:rPr>
        <w:t>（2）完成《2023年白沙黎族自治县“绿水青山就是金山银山”指数评估报告》</w:t>
      </w:r>
      <w:r>
        <w:rPr>
          <w:rFonts w:hint="eastAsia" w:ascii="宋体" w:hAnsi="宋体" w:eastAsia="宋体" w:cs="宋体"/>
          <w:color w:val="auto"/>
          <w:kern w:val="2"/>
          <w:szCs w:val="24"/>
        </w:rPr>
        <w:tab/>
      </w:r>
      <w:r>
        <w:rPr>
          <w:rFonts w:hint="eastAsia" w:ascii="宋体" w:hAnsi="宋体" w:eastAsia="宋体" w:cs="宋体"/>
          <w:color w:val="auto"/>
          <w:kern w:val="2"/>
          <w:szCs w:val="24"/>
        </w:rPr>
        <w:t>《2023年白沙黎族自治县“绿水青山就是金山银山”实践创新基地建设年度评估报告》</w:t>
      </w:r>
      <w:r>
        <w:rPr>
          <w:rFonts w:hint="eastAsia" w:ascii="宋体" w:hAnsi="宋体" w:eastAsia="宋体" w:cs="宋体"/>
          <w:color w:val="auto"/>
          <w:kern w:val="2"/>
          <w:szCs w:val="24"/>
        </w:rPr>
        <w:tab/>
      </w:r>
      <w:r>
        <w:rPr>
          <w:rFonts w:hint="eastAsia" w:ascii="宋体" w:hAnsi="宋体" w:eastAsia="宋体" w:cs="宋体"/>
          <w:color w:val="auto"/>
          <w:kern w:val="2"/>
          <w:szCs w:val="24"/>
        </w:rPr>
        <w:t>《2023年白沙黎族自治县“绿水青山就是金山银山”实践创新基地建设佐证材料汇编》并在国家生态文明建设管理平台完成提交后的10个工作日内支付合同额的30%；</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宋体" w:hAnsi="宋体" w:eastAsia="宋体" w:cs="宋体"/>
          <w:color w:val="auto"/>
          <w:kern w:val="2"/>
          <w:szCs w:val="24"/>
        </w:rPr>
      </w:pPr>
      <w:r>
        <w:rPr>
          <w:rFonts w:hint="eastAsia" w:ascii="宋体" w:hAnsi="宋体" w:eastAsia="宋体" w:cs="宋体"/>
          <w:color w:val="auto"/>
          <w:kern w:val="2"/>
          <w:szCs w:val="24"/>
        </w:rPr>
        <w:t>（3）完成《2024年白沙黎族自治县“绿水青山就是金山银山”指数评估报告》</w:t>
      </w:r>
      <w:r>
        <w:rPr>
          <w:rFonts w:hint="eastAsia" w:ascii="宋体" w:hAnsi="宋体" w:eastAsia="宋体" w:cs="宋体"/>
          <w:color w:val="auto"/>
          <w:kern w:val="2"/>
          <w:szCs w:val="24"/>
        </w:rPr>
        <w:tab/>
      </w:r>
      <w:r>
        <w:rPr>
          <w:rFonts w:hint="eastAsia" w:ascii="宋体" w:hAnsi="宋体" w:eastAsia="宋体" w:cs="宋体"/>
          <w:color w:val="auto"/>
          <w:kern w:val="2"/>
          <w:szCs w:val="24"/>
        </w:rPr>
        <w:t>《2024年白沙黎族自治县“绿水青山就是金山银山”实践创新基地建设年度评估报告》</w:t>
      </w:r>
      <w:r>
        <w:rPr>
          <w:rFonts w:hint="eastAsia" w:ascii="宋体" w:hAnsi="宋体" w:eastAsia="宋体" w:cs="宋体"/>
          <w:color w:val="auto"/>
          <w:kern w:val="2"/>
          <w:szCs w:val="24"/>
        </w:rPr>
        <w:tab/>
      </w:r>
      <w:r>
        <w:rPr>
          <w:rFonts w:hint="eastAsia" w:ascii="宋体" w:hAnsi="宋体" w:eastAsia="宋体" w:cs="宋体"/>
          <w:color w:val="auto"/>
          <w:kern w:val="2"/>
          <w:szCs w:val="24"/>
        </w:rPr>
        <w:t>《2024年白沙黎族自治县“绿水青山就是金山银山”实践创新基地建设佐证材料汇编》并在国家生态文明建设管理平台完成提交后的10个工作日内支付合同额的30%；</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宋体" w:hAnsi="宋体" w:eastAsia="宋体" w:cs="宋体"/>
          <w:color w:val="auto"/>
          <w:kern w:val="2"/>
          <w:szCs w:val="24"/>
        </w:rPr>
      </w:pPr>
      <w:r>
        <w:rPr>
          <w:rFonts w:hint="eastAsia" w:ascii="宋体" w:hAnsi="宋体" w:eastAsia="宋体" w:cs="宋体"/>
          <w:color w:val="auto"/>
          <w:kern w:val="2"/>
          <w:szCs w:val="24"/>
        </w:rPr>
        <w:t>（4）白沙黎族自治县通过生态环境部/海南省生态环境厅组织的“绿水青山就是金山银山”实践创新基地建设评估后，10个工作日内支付合同额的10%。</w:t>
      </w:r>
    </w:p>
    <w:p>
      <w:pPr>
        <w:keepNext w:val="0"/>
        <w:keepLines w:val="0"/>
        <w:pageBreakBefore w:val="0"/>
        <w:widowControl w:val="0"/>
        <w:numPr>
          <w:ilvl w:val="0"/>
          <w:numId w:val="1"/>
        </w:numPr>
        <w:kinsoku/>
        <w:wordWrap/>
        <w:overflowPunct/>
        <w:topLinePunct w:val="0"/>
        <w:autoSpaceDE/>
        <w:autoSpaceDN/>
        <w:bidi w:val="0"/>
        <w:adjustRightInd/>
        <w:spacing w:line="520" w:lineRule="exact"/>
        <w:jc w:val="both"/>
        <w:textAlignment w:val="auto"/>
        <w:rPr>
          <w:rFonts w:hint="eastAsia" w:ascii="宋体" w:hAnsi="宋体" w:eastAsia="宋体" w:cs="宋体"/>
          <w:b/>
          <w:bCs/>
          <w:color w:val="auto"/>
          <w:szCs w:val="24"/>
        </w:rPr>
      </w:pPr>
      <w:r>
        <w:rPr>
          <w:rFonts w:hint="eastAsia" w:ascii="宋体" w:hAnsi="宋体" w:eastAsia="宋体" w:cs="宋体"/>
          <w:b/>
          <w:bCs/>
          <w:color w:val="auto"/>
          <w:szCs w:val="24"/>
        </w:rPr>
        <w:t>其他要求</w:t>
      </w:r>
    </w:p>
    <w:p>
      <w:pPr>
        <w:keepNext w:val="0"/>
        <w:keepLines w:val="0"/>
        <w:pageBreakBefore w:val="0"/>
        <w:widowControl w:val="0"/>
        <w:numPr>
          <w:ilvl w:val="0"/>
          <w:numId w:val="7"/>
        </w:numPr>
        <w:kinsoku/>
        <w:wordWrap/>
        <w:overflowPunct/>
        <w:topLinePunct w:val="0"/>
        <w:autoSpaceDE/>
        <w:autoSpaceDN/>
        <w:bidi w:val="0"/>
        <w:adjustRightInd/>
        <w:snapToGrid/>
        <w:spacing w:line="520" w:lineRule="exact"/>
        <w:textAlignment w:val="auto"/>
        <w:rPr>
          <w:rFonts w:hint="eastAsia" w:ascii="宋体" w:hAnsi="宋体" w:eastAsia="宋体" w:cs="宋体"/>
          <w:color w:val="auto"/>
          <w:kern w:val="2"/>
          <w:szCs w:val="24"/>
        </w:rPr>
      </w:pPr>
      <w:r>
        <w:rPr>
          <w:rFonts w:hint="eastAsia" w:ascii="宋体" w:hAnsi="宋体" w:eastAsia="宋体" w:cs="宋体"/>
          <w:color w:val="auto"/>
          <w:kern w:val="2"/>
          <w:szCs w:val="24"/>
        </w:rPr>
        <w:t>为避免出现投标人为达到成交目的而刻意削价竞争，可能影响项目质量或者不能诚信履约。若投标人报价低于预算金额的80%(含) 或评标委员会认为投标人的报价明显低于其他通过资格审查的投标人报价的，则投标人还须提供相关低价竞标的佐证依据，该等佐证文件将作为响应文件的组成部分并获得评标委员会评审通过，若投标人不提供或提供的佐证文件未能通过评标委员会评审，均视为无效报价。</w:t>
      </w:r>
    </w:p>
    <w:p>
      <w:pPr>
        <w:keepNext w:val="0"/>
        <w:keepLines w:val="0"/>
        <w:pageBreakBefore w:val="0"/>
        <w:widowControl w:val="0"/>
        <w:numPr>
          <w:ilvl w:val="0"/>
          <w:numId w:val="7"/>
        </w:numPr>
        <w:kinsoku/>
        <w:wordWrap/>
        <w:overflowPunct/>
        <w:topLinePunct w:val="0"/>
        <w:autoSpaceDE/>
        <w:autoSpaceDN/>
        <w:bidi w:val="0"/>
        <w:adjustRightInd/>
        <w:snapToGrid/>
        <w:spacing w:line="520" w:lineRule="exact"/>
        <w:textAlignment w:val="auto"/>
        <w:rPr>
          <w:rFonts w:hint="eastAsia" w:ascii="宋体" w:hAnsi="宋体" w:eastAsia="宋体" w:cs="宋体"/>
          <w:color w:val="auto"/>
          <w:kern w:val="2"/>
          <w:szCs w:val="24"/>
        </w:rPr>
      </w:pPr>
      <w:r>
        <w:rPr>
          <w:rFonts w:hint="eastAsia" w:ascii="宋体" w:hAnsi="宋体" w:eastAsia="宋体" w:cs="宋体"/>
          <w:color w:val="auto"/>
        </w:rPr>
        <w:t>如项目实施过程中出现中标人不按投标文件或合同内容要求执行，无法满足于项目实施标准要求、偷工减料、降低质量标准等行为，采购人有权终止合同，并报政府采购管理部门严肃处理。</w:t>
      </w:r>
    </w:p>
    <w:bookmarkEnd w:id="0"/>
    <w:bookmarkEnd w:id="1"/>
    <w:bookmarkEnd w:id="2"/>
    <w:p>
      <w:pPr>
        <w:spacing w:line="480" w:lineRule="auto"/>
        <w:rPr>
          <w:rFonts w:hint="eastAsia" w:ascii="宋体" w:hAnsi="宋体" w:eastAsia="宋体" w:cs="宋体"/>
          <w:color w:val="auto"/>
        </w:rPr>
      </w:pPr>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roman"/>
    <w:pitch w:val="default"/>
    <w:sig w:usb0="00000000" w:usb1="00000000"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948218"/>
    <w:multiLevelType w:val="singleLevel"/>
    <w:tmpl w:val="D8948218"/>
    <w:lvl w:ilvl="0" w:tentative="0">
      <w:start w:val="1"/>
      <w:numFmt w:val="decimal"/>
      <w:suff w:val="nothing"/>
      <w:lvlText w:val="%1、"/>
      <w:lvlJc w:val="left"/>
    </w:lvl>
  </w:abstractNum>
  <w:abstractNum w:abstractNumId="1">
    <w:nsid w:val="18104BBB"/>
    <w:multiLevelType w:val="multilevel"/>
    <w:tmpl w:val="18104BBB"/>
    <w:lvl w:ilvl="0" w:tentative="0">
      <w:start w:val="1"/>
      <w:numFmt w:val="decimal"/>
      <w:lvlText w:val="%1)"/>
      <w:lvlJc w:val="left"/>
      <w:pPr>
        <w:ind w:left="981" w:hanging="420"/>
      </w:pPr>
      <w:rPr>
        <w:rFonts w:hint="eastAsia"/>
      </w:rPr>
    </w:lvl>
    <w:lvl w:ilvl="1" w:tentative="0">
      <w:start w:val="1"/>
      <w:numFmt w:val="lowerLetter"/>
      <w:lvlText w:val="%2)"/>
      <w:lvlJc w:val="left"/>
      <w:pPr>
        <w:ind w:left="1401" w:hanging="420"/>
      </w:pPr>
    </w:lvl>
    <w:lvl w:ilvl="2" w:tentative="0">
      <w:start w:val="1"/>
      <w:numFmt w:val="lowerRoman"/>
      <w:lvlText w:val="%3."/>
      <w:lvlJc w:val="right"/>
      <w:pPr>
        <w:ind w:left="1821" w:hanging="420"/>
      </w:pPr>
    </w:lvl>
    <w:lvl w:ilvl="3" w:tentative="0">
      <w:start w:val="1"/>
      <w:numFmt w:val="decimal"/>
      <w:lvlText w:val="%4."/>
      <w:lvlJc w:val="left"/>
      <w:pPr>
        <w:ind w:left="2241" w:hanging="420"/>
      </w:pPr>
    </w:lvl>
    <w:lvl w:ilvl="4" w:tentative="0">
      <w:start w:val="1"/>
      <w:numFmt w:val="lowerLetter"/>
      <w:lvlText w:val="%5)"/>
      <w:lvlJc w:val="left"/>
      <w:pPr>
        <w:ind w:left="2661" w:hanging="420"/>
      </w:pPr>
    </w:lvl>
    <w:lvl w:ilvl="5" w:tentative="0">
      <w:start w:val="1"/>
      <w:numFmt w:val="lowerRoman"/>
      <w:lvlText w:val="%6."/>
      <w:lvlJc w:val="right"/>
      <w:pPr>
        <w:ind w:left="3081" w:hanging="420"/>
      </w:pPr>
    </w:lvl>
    <w:lvl w:ilvl="6" w:tentative="0">
      <w:start w:val="1"/>
      <w:numFmt w:val="decimal"/>
      <w:lvlText w:val="%7."/>
      <w:lvlJc w:val="left"/>
      <w:pPr>
        <w:ind w:left="3501" w:hanging="420"/>
      </w:pPr>
    </w:lvl>
    <w:lvl w:ilvl="7" w:tentative="0">
      <w:start w:val="1"/>
      <w:numFmt w:val="lowerLetter"/>
      <w:lvlText w:val="%8)"/>
      <w:lvlJc w:val="left"/>
      <w:pPr>
        <w:ind w:left="3921" w:hanging="420"/>
      </w:pPr>
    </w:lvl>
    <w:lvl w:ilvl="8" w:tentative="0">
      <w:start w:val="1"/>
      <w:numFmt w:val="lowerRoman"/>
      <w:lvlText w:val="%9."/>
      <w:lvlJc w:val="right"/>
      <w:pPr>
        <w:ind w:left="4341" w:hanging="420"/>
      </w:pPr>
    </w:lvl>
  </w:abstractNum>
  <w:abstractNum w:abstractNumId="2">
    <w:nsid w:val="18576A73"/>
    <w:multiLevelType w:val="multilevel"/>
    <w:tmpl w:val="18576A73"/>
    <w:lvl w:ilvl="0" w:tentative="0">
      <w:start w:val="1"/>
      <w:numFmt w:val="decimal"/>
      <w:lvlText w:val="%1、"/>
      <w:lvlJc w:val="left"/>
      <w:pPr>
        <w:ind w:left="991" w:hanging="430"/>
      </w:pPr>
      <w:rPr>
        <w:rFonts w:hint="default"/>
      </w:rPr>
    </w:lvl>
    <w:lvl w:ilvl="1" w:tentative="0">
      <w:start w:val="1"/>
      <w:numFmt w:val="lowerLetter"/>
      <w:lvlText w:val="%2)"/>
      <w:lvlJc w:val="left"/>
      <w:pPr>
        <w:ind w:left="1401" w:hanging="420"/>
      </w:pPr>
    </w:lvl>
    <w:lvl w:ilvl="2" w:tentative="0">
      <w:start w:val="1"/>
      <w:numFmt w:val="lowerRoman"/>
      <w:lvlText w:val="%3."/>
      <w:lvlJc w:val="right"/>
      <w:pPr>
        <w:ind w:left="1821" w:hanging="420"/>
      </w:pPr>
    </w:lvl>
    <w:lvl w:ilvl="3" w:tentative="0">
      <w:start w:val="1"/>
      <w:numFmt w:val="decimal"/>
      <w:lvlText w:val="%4."/>
      <w:lvlJc w:val="left"/>
      <w:pPr>
        <w:ind w:left="2241" w:hanging="420"/>
      </w:pPr>
    </w:lvl>
    <w:lvl w:ilvl="4" w:tentative="0">
      <w:start w:val="1"/>
      <w:numFmt w:val="lowerLetter"/>
      <w:lvlText w:val="%5)"/>
      <w:lvlJc w:val="left"/>
      <w:pPr>
        <w:ind w:left="2661" w:hanging="420"/>
      </w:pPr>
    </w:lvl>
    <w:lvl w:ilvl="5" w:tentative="0">
      <w:start w:val="1"/>
      <w:numFmt w:val="lowerRoman"/>
      <w:lvlText w:val="%6."/>
      <w:lvlJc w:val="right"/>
      <w:pPr>
        <w:ind w:left="3081" w:hanging="420"/>
      </w:pPr>
    </w:lvl>
    <w:lvl w:ilvl="6" w:tentative="0">
      <w:start w:val="1"/>
      <w:numFmt w:val="decimal"/>
      <w:lvlText w:val="%7."/>
      <w:lvlJc w:val="left"/>
      <w:pPr>
        <w:ind w:left="3501" w:hanging="420"/>
      </w:pPr>
    </w:lvl>
    <w:lvl w:ilvl="7" w:tentative="0">
      <w:start w:val="1"/>
      <w:numFmt w:val="lowerLetter"/>
      <w:lvlText w:val="%8)"/>
      <w:lvlJc w:val="left"/>
      <w:pPr>
        <w:ind w:left="3921" w:hanging="420"/>
      </w:pPr>
    </w:lvl>
    <w:lvl w:ilvl="8" w:tentative="0">
      <w:start w:val="1"/>
      <w:numFmt w:val="lowerRoman"/>
      <w:lvlText w:val="%9."/>
      <w:lvlJc w:val="right"/>
      <w:pPr>
        <w:ind w:left="4341" w:hanging="420"/>
      </w:pPr>
    </w:lvl>
  </w:abstractNum>
  <w:abstractNum w:abstractNumId="3">
    <w:nsid w:val="27063E38"/>
    <w:multiLevelType w:val="singleLevel"/>
    <w:tmpl w:val="27063E38"/>
    <w:lvl w:ilvl="0" w:tentative="0">
      <w:start w:val="1"/>
      <w:numFmt w:val="chineseCounting"/>
      <w:suff w:val="nothing"/>
      <w:lvlText w:val="%1、"/>
      <w:lvlJc w:val="left"/>
      <w:rPr>
        <w:rFonts w:hint="eastAsia"/>
      </w:rPr>
    </w:lvl>
  </w:abstractNum>
  <w:abstractNum w:abstractNumId="4">
    <w:nsid w:val="46BA0E59"/>
    <w:multiLevelType w:val="multilevel"/>
    <w:tmpl w:val="46BA0E59"/>
    <w:lvl w:ilvl="0" w:tentative="0">
      <w:start w:val="1"/>
      <w:numFmt w:val="decimal"/>
      <w:lvlText w:val="%1)"/>
      <w:lvlJc w:val="left"/>
      <w:pPr>
        <w:ind w:left="981" w:hanging="420"/>
      </w:pPr>
    </w:lvl>
    <w:lvl w:ilvl="1" w:tentative="0">
      <w:start w:val="1"/>
      <w:numFmt w:val="lowerLetter"/>
      <w:lvlText w:val="%2)"/>
      <w:lvlJc w:val="left"/>
      <w:pPr>
        <w:ind w:left="1401" w:hanging="420"/>
      </w:pPr>
    </w:lvl>
    <w:lvl w:ilvl="2" w:tentative="0">
      <w:start w:val="1"/>
      <w:numFmt w:val="lowerRoman"/>
      <w:lvlText w:val="%3."/>
      <w:lvlJc w:val="right"/>
      <w:pPr>
        <w:ind w:left="1821" w:hanging="420"/>
      </w:pPr>
    </w:lvl>
    <w:lvl w:ilvl="3" w:tentative="0">
      <w:start w:val="1"/>
      <w:numFmt w:val="decimal"/>
      <w:lvlText w:val="%4."/>
      <w:lvlJc w:val="left"/>
      <w:pPr>
        <w:ind w:left="2241" w:hanging="420"/>
      </w:pPr>
    </w:lvl>
    <w:lvl w:ilvl="4" w:tentative="0">
      <w:start w:val="1"/>
      <w:numFmt w:val="lowerLetter"/>
      <w:lvlText w:val="%5)"/>
      <w:lvlJc w:val="left"/>
      <w:pPr>
        <w:ind w:left="2661" w:hanging="420"/>
      </w:pPr>
    </w:lvl>
    <w:lvl w:ilvl="5" w:tentative="0">
      <w:start w:val="1"/>
      <w:numFmt w:val="lowerRoman"/>
      <w:lvlText w:val="%6."/>
      <w:lvlJc w:val="right"/>
      <w:pPr>
        <w:ind w:left="3081" w:hanging="420"/>
      </w:pPr>
    </w:lvl>
    <w:lvl w:ilvl="6" w:tentative="0">
      <w:start w:val="1"/>
      <w:numFmt w:val="decimal"/>
      <w:lvlText w:val="%7."/>
      <w:lvlJc w:val="left"/>
      <w:pPr>
        <w:ind w:left="3501" w:hanging="420"/>
      </w:pPr>
    </w:lvl>
    <w:lvl w:ilvl="7" w:tentative="0">
      <w:start w:val="1"/>
      <w:numFmt w:val="lowerLetter"/>
      <w:lvlText w:val="%8)"/>
      <w:lvlJc w:val="left"/>
      <w:pPr>
        <w:ind w:left="3921" w:hanging="420"/>
      </w:pPr>
    </w:lvl>
    <w:lvl w:ilvl="8" w:tentative="0">
      <w:start w:val="1"/>
      <w:numFmt w:val="lowerRoman"/>
      <w:lvlText w:val="%9."/>
      <w:lvlJc w:val="right"/>
      <w:pPr>
        <w:ind w:left="4341" w:hanging="420"/>
      </w:pPr>
    </w:lvl>
  </w:abstractNum>
  <w:abstractNum w:abstractNumId="5">
    <w:nsid w:val="678F2161"/>
    <w:multiLevelType w:val="multilevel"/>
    <w:tmpl w:val="678F2161"/>
    <w:lvl w:ilvl="0" w:tentative="0">
      <w:start w:val="1"/>
      <w:numFmt w:val="decimal"/>
      <w:lvlText w:val="（%1）"/>
      <w:lvlJc w:val="left"/>
      <w:pPr>
        <w:ind w:left="2005" w:hanging="870"/>
      </w:pPr>
      <w:rPr>
        <w:rFonts w:hint="default"/>
      </w:rPr>
    </w:lvl>
    <w:lvl w:ilvl="1" w:tentative="0">
      <w:start w:val="1"/>
      <w:numFmt w:val="lowerLetter"/>
      <w:lvlText w:val="%2)"/>
      <w:lvlJc w:val="left"/>
      <w:pPr>
        <w:ind w:left="1975" w:hanging="420"/>
      </w:pPr>
    </w:lvl>
    <w:lvl w:ilvl="2" w:tentative="0">
      <w:start w:val="1"/>
      <w:numFmt w:val="lowerRoman"/>
      <w:lvlText w:val="%3."/>
      <w:lvlJc w:val="right"/>
      <w:pPr>
        <w:ind w:left="2395" w:hanging="420"/>
      </w:pPr>
    </w:lvl>
    <w:lvl w:ilvl="3" w:tentative="0">
      <w:start w:val="1"/>
      <w:numFmt w:val="decimal"/>
      <w:lvlText w:val="%4."/>
      <w:lvlJc w:val="left"/>
      <w:pPr>
        <w:ind w:left="2815" w:hanging="420"/>
      </w:pPr>
    </w:lvl>
    <w:lvl w:ilvl="4" w:tentative="0">
      <w:start w:val="1"/>
      <w:numFmt w:val="lowerLetter"/>
      <w:lvlText w:val="%5)"/>
      <w:lvlJc w:val="left"/>
      <w:pPr>
        <w:ind w:left="3235" w:hanging="420"/>
      </w:pPr>
    </w:lvl>
    <w:lvl w:ilvl="5" w:tentative="0">
      <w:start w:val="1"/>
      <w:numFmt w:val="lowerRoman"/>
      <w:lvlText w:val="%6."/>
      <w:lvlJc w:val="right"/>
      <w:pPr>
        <w:ind w:left="3655" w:hanging="420"/>
      </w:pPr>
    </w:lvl>
    <w:lvl w:ilvl="6" w:tentative="0">
      <w:start w:val="1"/>
      <w:numFmt w:val="decimal"/>
      <w:lvlText w:val="%7."/>
      <w:lvlJc w:val="left"/>
      <w:pPr>
        <w:ind w:left="4075" w:hanging="420"/>
      </w:pPr>
    </w:lvl>
    <w:lvl w:ilvl="7" w:tentative="0">
      <w:start w:val="1"/>
      <w:numFmt w:val="lowerLetter"/>
      <w:lvlText w:val="%8)"/>
      <w:lvlJc w:val="left"/>
      <w:pPr>
        <w:ind w:left="4495" w:hanging="420"/>
      </w:pPr>
    </w:lvl>
    <w:lvl w:ilvl="8" w:tentative="0">
      <w:start w:val="1"/>
      <w:numFmt w:val="lowerRoman"/>
      <w:lvlText w:val="%9."/>
      <w:lvlJc w:val="right"/>
      <w:pPr>
        <w:ind w:left="4915" w:hanging="420"/>
      </w:pPr>
    </w:lvl>
  </w:abstractNum>
  <w:abstractNum w:abstractNumId="6">
    <w:nsid w:val="67E4E393"/>
    <w:multiLevelType w:val="singleLevel"/>
    <w:tmpl w:val="67E4E393"/>
    <w:lvl w:ilvl="0" w:tentative="0">
      <w:start w:val="1"/>
      <w:numFmt w:val="decimal"/>
      <w:suff w:val="nothing"/>
      <w:lvlText w:val="%1、"/>
      <w:lvlJc w:val="left"/>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U5NDc5ZThiYjkzODVhOTU0YzBiYzhhNmFmMGE5MDQifQ=="/>
  </w:docVars>
  <w:rsids>
    <w:rsidRoot w:val="00E66600"/>
    <w:rsid w:val="00154DB9"/>
    <w:rsid w:val="003C5449"/>
    <w:rsid w:val="004807A0"/>
    <w:rsid w:val="006553CA"/>
    <w:rsid w:val="00A66C1A"/>
    <w:rsid w:val="00E66600"/>
    <w:rsid w:val="00F851E8"/>
    <w:rsid w:val="00FA257C"/>
    <w:rsid w:val="03481278"/>
    <w:rsid w:val="24DB1B0F"/>
    <w:rsid w:val="41C01F2A"/>
    <w:rsid w:val="52BA7FC1"/>
    <w:rsid w:val="728111DC"/>
    <w:rsid w:val="73A45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semiHidden="0" w:name="heading 1"/>
    <w:lsdException w:qFormat="1"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4"/>
    <w:unhideWhenUsed/>
    <w:qFormat/>
    <w:uiPriority w:val="1"/>
    <w:pPr>
      <w:ind w:left="56"/>
      <w:outlineLvl w:val="0"/>
    </w:pPr>
    <w:rPr>
      <w:rFonts w:hint="eastAsia" w:ascii="Arial Unicode MS" w:hAnsi="Arial Unicode MS" w:eastAsia="Arial Unicode MS"/>
      <w:sz w:val="43"/>
    </w:rPr>
  </w:style>
  <w:style w:type="paragraph" w:styleId="4">
    <w:name w:val="heading 2"/>
    <w:basedOn w:val="1"/>
    <w:next w:val="1"/>
    <w:unhideWhenUsed/>
    <w:qFormat/>
    <w:uiPriority w:val="1"/>
    <w:pPr>
      <w:outlineLvl w:val="1"/>
    </w:pPr>
    <w:rPr>
      <w:rFonts w:hint="eastAsia" w:ascii="宋体" w:hAnsi="宋体"/>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note text"/>
    <w:basedOn w:val="1"/>
    <w:unhideWhenUsed/>
    <w:qFormat/>
    <w:uiPriority w:val="99"/>
    <w:pPr>
      <w:snapToGrid w:val="0"/>
    </w:pPr>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1869</Words>
  <Characters>1920</Characters>
  <Lines>1</Lines>
  <Paragraphs>1</Paragraphs>
  <TotalTime>1</TotalTime>
  <ScaleCrop>false</ScaleCrop>
  <LinksUpToDate>false</LinksUpToDate>
  <CharactersWithSpaces>1928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2018-04-16T07:39:00Z</dcterms:created>
  <dc:creator>5F-3-8-80  张会明(10024525)</dc:creator>
  <cp:lastModifiedBy>Administrator</cp:lastModifiedBy>
  <dcterms:modified xsi:type="dcterms:W3CDTF">2023-04-19T12:26:33Z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B597181E21414567AA8EF529569958D4_12</vt:lpwstr>
  </property>
</Properties>
</file>