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b/>
          <w:bCs/>
          <w:color w:val="auto"/>
        </w:rPr>
      </w:pPr>
      <w:bookmarkStart w:id="0" w:name="_Toc14780"/>
      <w:bookmarkStart w:id="1" w:name="_Toc17524"/>
      <w:bookmarkStart w:id="2" w:name="_Toc479775390"/>
      <w:r>
        <w:rPr>
          <w:rFonts w:hint="eastAsia" w:ascii="仿宋" w:hAnsi="仿宋" w:eastAsia="仿宋" w:cs="仿宋"/>
          <w:b/>
          <w:bCs/>
          <w:color w:val="auto"/>
        </w:rPr>
        <w:t>第三章  采购需求</w:t>
      </w:r>
      <w:bookmarkEnd w:id="0"/>
      <w:bookmarkEnd w:id="1"/>
    </w:p>
    <w:bookmarkEnd w:id="2"/>
    <w:p>
      <w:pPr>
        <w:rPr>
          <w:rFonts w:ascii="仿宋" w:hAnsi="仿宋" w:cs="仿宋"/>
          <w:b/>
          <w:bCs/>
          <w:color w:val="auto"/>
        </w:rPr>
      </w:pPr>
    </w:p>
    <w:p>
      <w:pPr>
        <w:spacing w:line="500" w:lineRule="exact"/>
        <w:ind w:firstLine="562" w:firstLineChars="200"/>
        <w:rPr>
          <w:rFonts w:hint="eastAsia" w:ascii="仿宋" w:hAnsi="仿宋" w:cs="仿宋"/>
          <w:b/>
          <w:bCs/>
          <w:color w:val="auto"/>
          <w:szCs w:val="28"/>
        </w:rPr>
      </w:pPr>
      <w:r>
        <w:rPr>
          <w:rFonts w:hint="eastAsia" w:ascii="仿宋" w:hAnsi="仿宋" w:cs="仿宋"/>
          <w:b/>
          <w:bCs/>
          <w:color w:val="auto"/>
          <w:szCs w:val="28"/>
        </w:rPr>
        <w:t>一、项目概况</w:t>
      </w:r>
    </w:p>
    <w:p>
      <w:pPr>
        <w:ind w:firstLine="708" w:firstLineChars="253"/>
        <w:rPr>
          <w:rFonts w:hint="eastAsia" w:ascii="仿宋" w:hAnsi="仿宋" w:eastAsia="仿宋"/>
          <w:color w:val="auto"/>
          <w:sz w:val="28"/>
          <w:szCs w:val="28"/>
          <w:lang w:eastAsia="zh-CN"/>
        </w:rPr>
      </w:pPr>
      <w:r>
        <w:rPr>
          <w:rFonts w:hint="eastAsia" w:ascii="仿宋" w:hAnsi="仿宋" w:eastAsia="仿宋"/>
          <w:color w:val="auto"/>
          <w:sz w:val="28"/>
          <w:szCs w:val="28"/>
        </w:rPr>
        <w:t>1、项目名称：</w:t>
      </w:r>
      <w:r>
        <w:rPr>
          <w:rFonts w:hint="eastAsia" w:ascii="仿宋" w:hAnsi="仿宋"/>
          <w:color w:val="auto"/>
          <w:sz w:val="28"/>
          <w:szCs w:val="28"/>
          <w:lang w:eastAsia="zh-CN"/>
        </w:rPr>
        <w:t>2022年屯昌县县域节水型社会达标建设项目采购</w:t>
      </w:r>
    </w:p>
    <w:p>
      <w:pPr>
        <w:ind w:firstLine="708" w:firstLineChars="253"/>
        <w:rPr>
          <w:rFonts w:ascii="仿宋" w:hAnsi="仿宋" w:eastAsia="仿宋"/>
          <w:color w:val="auto"/>
          <w:sz w:val="28"/>
          <w:szCs w:val="28"/>
        </w:rPr>
      </w:pPr>
      <w:r>
        <w:rPr>
          <w:rFonts w:hint="eastAsia" w:ascii="仿宋" w:hAnsi="仿宋"/>
          <w:color w:val="auto"/>
          <w:sz w:val="28"/>
          <w:szCs w:val="28"/>
          <w:lang w:val="en-US" w:eastAsia="zh-CN"/>
        </w:rPr>
        <w:t>2</w:t>
      </w:r>
      <w:r>
        <w:rPr>
          <w:rFonts w:hint="eastAsia" w:ascii="仿宋" w:hAnsi="仿宋" w:eastAsia="仿宋"/>
          <w:color w:val="auto"/>
          <w:sz w:val="28"/>
          <w:szCs w:val="28"/>
        </w:rPr>
        <w:t>、采购范围：承担</w:t>
      </w:r>
      <w:r>
        <w:rPr>
          <w:rFonts w:hint="eastAsia" w:ascii="仿宋" w:hAnsi="仿宋"/>
          <w:color w:val="auto"/>
          <w:sz w:val="28"/>
          <w:szCs w:val="28"/>
          <w:lang w:eastAsia="zh-CN"/>
        </w:rPr>
        <w:t>2022年屯昌县县域节水型社会达标建设项目采购</w:t>
      </w:r>
      <w:r>
        <w:rPr>
          <w:rFonts w:hint="eastAsia" w:ascii="仿宋" w:hAnsi="仿宋" w:eastAsia="仿宋"/>
          <w:color w:val="auto"/>
          <w:sz w:val="28"/>
          <w:szCs w:val="28"/>
        </w:rPr>
        <w:t>，根据《节水型社会达标建设工作评分标准》的要求完成设备的采购及安装工作，具体见《用户需求书》。</w:t>
      </w:r>
    </w:p>
    <w:p>
      <w:pPr>
        <w:spacing w:line="500" w:lineRule="exact"/>
        <w:ind w:firstLine="562" w:firstLineChars="200"/>
        <w:rPr>
          <w:rFonts w:hint="eastAsia" w:ascii="仿宋" w:hAnsi="仿宋" w:cs="仿宋"/>
          <w:b/>
          <w:bCs/>
          <w:color w:val="auto"/>
          <w:szCs w:val="28"/>
        </w:rPr>
      </w:pPr>
      <w:r>
        <w:rPr>
          <w:rFonts w:hint="eastAsia" w:ascii="仿宋" w:hAnsi="仿宋" w:cs="仿宋"/>
          <w:b/>
          <w:bCs/>
          <w:color w:val="auto"/>
          <w:szCs w:val="28"/>
          <w:lang w:val="en-US" w:eastAsia="zh-CN"/>
        </w:rPr>
        <w:t>二</w:t>
      </w:r>
      <w:r>
        <w:rPr>
          <w:rFonts w:hint="eastAsia" w:ascii="仿宋" w:hAnsi="仿宋" w:cs="仿宋"/>
          <w:b/>
          <w:bCs/>
          <w:color w:val="auto"/>
          <w:szCs w:val="28"/>
        </w:rPr>
        <w:t>、技术需求</w:t>
      </w:r>
    </w:p>
    <w:tbl>
      <w:tblPr>
        <w:tblStyle w:val="3"/>
        <w:tblW w:w="0" w:type="auto"/>
        <w:jc w:val="center"/>
        <w:tblLayout w:type="autofit"/>
        <w:tblCellMar>
          <w:top w:w="0" w:type="dxa"/>
          <w:left w:w="108" w:type="dxa"/>
          <w:bottom w:w="0" w:type="dxa"/>
          <w:right w:w="108" w:type="dxa"/>
        </w:tblCellMar>
      </w:tblPr>
      <w:tblGrid>
        <w:gridCol w:w="704"/>
        <w:gridCol w:w="1134"/>
        <w:gridCol w:w="5386"/>
        <w:gridCol w:w="506"/>
        <w:gridCol w:w="576"/>
      </w:tblGrid>
      <w:tr>
        <w:trPr>
          <w:trHeight w:val="30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产品名称</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规格及参数</w:t>
            </w:r>
          </w:p>
        </w:tc>
        <w:tc>
          <w:tcPr>
            <w:tcW w:w="50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单位</w:t>
            </w:r>
          </w:p>
        </w:tc>
        <w:tc>
          <w:tcPr>
            <w:tcW w:w="5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数量</w:t>
            </w:r>
          </w:p>
        </w:tc>
      </w:tr>
      <w:tr>
        <w:tblPrEx>
          <w:tblCellMar>
            <w:top w:w="0" w:type="dxa"/>
            <w:left w:w="108" w:type="dxa"/>
            <w:bottom w:w="0" w:type="dxa"/>
            <w:right w:w="108" w:type="dxa"/>
          </w:tblCellMar>
        </w:tblPrEx>
        <w:trPr>
          <w:trHeight w:val="1500" w:hRule="atLeast"/>
          <w:jc w:val="center"/>
        </w:trPr>
        <w:tc>
          <w:tcPr>
            <w:tcW w:w="70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水龙头</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（1）★材质：304食品级不锈钢；</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（2）★阀芯：陶瓷片；</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（3）起泡器：有效过滤杂质；</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含铜角阀、生料带、纯铜内外加长丝等辅材及安装服务；</w:t>
            </w:r>
          </w:p>
        </w:tc>
        <w:tc>
          <w:tcPr>
            <w:tcW w:w="5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570</w:t>
            </w:r>
          </w:p>
        </w:tc>
      </w:tr>
      <w:tr>
        <w:tblPrEx>
          <w:tblCellMar>
            <w:top w:w="0" w:type="dxa"/>
            <w:left w:w="108" w:type="dxa"/>
            <w:bottom w:w="0" w:type="dxa"/>
            <w:right w:w="108" w:type="dxa"/>
          </w:tblCellMar>
        </w:tblPrEx>
        <w:trPr>
          <w:trHeight w:val="1068" w:hRule="atLeast"/>
          <w:jc w:val="center"/>
        </w:trPr>
        <w:tc>
          <w:tcPr>
            <w:tcW w:w="70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节水</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标语</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（1）材质：室外写真；</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（2）尺寸：20cm*7.5cm；</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含不同场景的内容设计及安装服务；</w:t>
            </w:r>
          </w:p>
        </w:tc>
        <w:tc>
          <w:tcPr>
            <w:tcW w:w="5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775</w:t>
            </w:r>
          </w:p>
        </w:tc>
      </w:tr>
      <w:tr>
        <w:tblPrEx>
          <w:tblCellMar>
            <w:top w:w="0" w:type="dxa"/>
            <w:left w:w="108" w:type="dxa"/>
            <w:bottom w:w="0" w:type="dxa"/>
            <w:right w:w="108" w:type="dxa"/>
          </w:tblCellMar>
        </w:tblPrEx>
        <w:trPr>
          <w:trHeight w:val="1500" w:hRule="atLeast"/>
          <w:jc w:val="center"/>
        </w:trPr>
        <w:tc>
          <w:tcPr>
            <w:tcW w:w="70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节水宣传栏</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（1）材质：304不锈钢；</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（2）尺寸：220cmx200cm；</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（3）埋深：50cm；</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（4）圆管直径：7cm；</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含不同场景的内容设计及安装服务；</w:t>
            </w:r>
          </w:p>
        </w:tc>
        <w:tc>
          <w:tcPr>
            <w:tcW w:w="5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r>
      <w:tr>
        <w:tblPrEx>
          <w:tblCellMar>
            <w:top w:w="0" w:type="dxa"/>
            <w:left w:w="108" w:type="dxa"/>
            <w:bottom w:w="0" w:type="dxa"/>
            <w:right w:w="108" w:type="dxa"/>
          </w:tblCellMar>
        </w:tblPrEx>
        <w:trPr>
          <w:trHeight w:val="1120" w:hRule="atLeast"/>
          <w:jc w:val="center"/>
        </w:trPr>
        <w:tc>
          <w:tcPr>
            <w:tcW w:w="70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节水</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海报</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（1）材质：室外写真；</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（2）尺寸：40cm*56cm；</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含不同场景的内容设计及安装服务；</w:t>
            </w:r>
          </w:p>
        </w:tc>
        <w:tc>
          <w:tcPr>
            <w:tcW w:w="5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449</w:t>
            </w:r>
          </w:p>
        </w:tc>
      </w:tr>
      <w:tr>
        <w:tblPrEx>
          <w:tblCellMar>
            <w:top w:w="0" w:type="dxa"/>
            <w:left w:w="108" w:type="dxa"/>
            <w:bottom w:w="0" w:type="dxa"/>
            <w:right w:w="108" w:type="dxa"/>
          </w:tblCellMar>
        </w:tblPrEx>
        <w:trPr>
          <w:trHeight w:val="1419" w:hRule="atLeast"/>
          <w:jc w:val="center"/>
        </w:trPr>
        <w:tc>
          <w:tcPr>
            <w:tcW w:w="70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绿化</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标语</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（1）材质：镀锌板；</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（2）尺寸：长50cm*宽30cm*高80cm；</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（3）工艺：激光切割、无缝焊接、打磨、高温烤漆；</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含画面设计、辅材及安装服务；</w:t>
            </w:r>
          </w:p>
        </w:tc>
        <w:tc>
          <w:tcPr>
            <w:tcW w:w="5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个</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122</w:t>
            </w:r>
          </w:p>
        </w:tc>
      </w:tr>
      <w:tr>
        <w:tblPrEx>
          <w:tblCellMar>
            <w:top w:w="0" w:type="dxa"/>
            <w:left w:w="108" w:type="dxa"/>
            <w:bottom w:w="0" w:type="dxa"/>
            <w:right w:w="108" w:type="dxa"/>
          </w:tblCellMar>
        </w:tblPrEx>
        <w:trPr>
          <w:trHeight w:val="1113" w:hRule="atLeast"/>
          <w:jc w:val="center"/>
        </w:trPr>
        <w:tc>
          <w:tcPr>
            <w:tcW w:w="70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移动喷灌设备</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含喷头、接头、连接管等辅材</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（1）材质：ABS工程塑料；</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（2）★原理：水力驱动；</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（3）★喷洒直径：8-10m；</w:t>
            </w:r>
          </w:p>
        </w:tc>
        <w:tc>
          <w:tcPr>
            <w:tcW w:w="5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w:t>
            </w:r>
          </w:p>
        </w:tc>
      </w:tr>
      <w:tr>
        <w:tblPrEx>
          <w:tblCellMar>
            <w:top w:w="0" w:type="dxa"/>
            <w:left w:w="108" w:type="dxa"/>
            <w:bottom w:w="0" w:type="dxa"/>
            <w:right w:w="108" w:type="dxa"/>
          </w:tblCellMar>
        </w:tblPrEx>
        <w:trPr>
          <w:trHeight w:val="1266" w:hRule="atLeast"/>
          <w:jc w:val="center"/>
        </w:trPr>
        <w:tc>
          <w:tcPr>
            <w:tcW w:w="70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空调冷凝水再利用系统（屯昌思源中学）</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（1）排水管：25&amp;35&amp;50PVC;</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（2）进水主管：50PVC；</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（3）★空调水收集桶（预埋）：PE聚乙烯、三层隔离净化，尺寸长1800mm*宽1100mm*高1150mm;</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（4）★压力泵：1台，纯铜电机，全铜叶轮，搭配智能感应启停开关，配管内径25mm，额定功率125W，额定电压220V，额定扬程10m，额定流量1m³\h;</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（5）电缆线：长度150m以上，3*10mm;</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（6）强电箱：1个，不锈钢材质;</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（7）★浮球阀：2个，配套智能水位pp浮球阀，纯铜线芯，发热电流10A，250V，使用寿命&gt;10000times,工作温度0-65度，内部大容量触点式微动开关;</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（8）★电磁阀：1个，液压驱动隔膜式水力控制阀，内部集成型阀门，阀体：锻压黄铜，工作压力：0-1.0MPa，电压规格：AC220V;</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（9）★定时器：1套，微电脑时控开关，ABS绝缘阻燃材质，PCB八位微处理时控芯片，LCD液晶显示，最多设定组数16组，最长设定组数168h,最短设定组数1S;</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（10）★散射升降喷雾系统：100个，自动升降绿化地坪喷头，0-360度角度调节，喷洒半径2.1-5.5M，工作压力：0.1-0.48MPa,不锈钢材料;</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（11）微灌喷雾系统铜管：喷头定制固定铜管同色支架。</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（12）包括辅材及安装调试服务；</w:t>
            </w:r>
          </w:p>
        </w:tc>
        <w:tc>
          <w:tcPr>
            <w:tcW w:w="5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r>
      <w:tr>
        <w:tblPrEx>
          <w:tblCellMar>
            <w:top w:w="0" w:type="dxa"/>
            <w:left w:w="108" w:type="dxa"/>
            <w:bottom w:w="0" w:type="dxa"/>
            <w:right w:w="108" w:type="dxa"/>
          </w:tblCellMar>
        </w:tblPrEx>
        <w:trPr>
          <w:trHeight w:val="3900" w:hRule="atLeast"/>
          <w:jc w:val="center"/>
        </w:trPr>
        <w:tc>
          <w:tcPr>
            <w:tcW w:w="70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节水灌溉改造</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（1）PVC给水管：110x0.63mpa 40m；110x2.8mm 720m；63x2.0mm  1360m；50*2.0mm  20m；32x1.0mpa  20m；</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（2）阀门：110阀门8个；电磁减压阀1.5" 1个；电磁减压阀 2" 1个；组合式空气阀1’1个；快速式空气阀1’4个；泄压阀1.5" 1个；</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（3）压力补偿滴头：8L 1400个；</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（4）PE管：20x1.2mm±0.2mm  2200m；</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（5）标准离心泵：11KW 1台；</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（6）智能变频恒压控制系统：11kw 1套；</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（7）潜水泵1台；</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（8）包括辅材及安装调试服务；</w:t>
            </w:r>
          </w:p>
        </w:tc>
        <w:tc>
          <w:tcPr>
            <w:tcW w:w="5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亩</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40</w:t>
            </w:r>
          </w:p>
        </w:tc>
      </w:tr>
      <w:tr>
        <w:tblPrEx>
          <w:tblCellMar>
            <w:top w:w="0" w:type="dxa"/>
            <w:left w:w="108" w:type="dxa"/>
            <w:bottom w:w="0" w:type="dxa"/>
            <w:right w:w="108" w:type="dxa"/>
          </w:tblCellMar>
        </w:tblPrEx>
        <w:trPr>
          <w:trHeight w:val="7960"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空调冷凝水再利用系统（屯昌政府大楼）</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（1）排水管：25&amp;35&amp;50PVC;</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（2）进水主管：50PVC；</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（3）★空调水收集桶（预埋）：PE聚乙烯、三层隔离净化，三层隔离净化尺寸长2000mm*宽1200mm*高1300mm;</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（4）★压力泵：1台，高性能立式离心泵，纯铜电机，全铜叶轮，搭配智能感应启停开关，配管内径32mm，额定功率260W，额定电压220V，额定扬程28m，额定流量6.5m³\H;</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（5）进水管：PPR材质，长度150m以上；</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（6）电缆线：长度100m以上，3*10mm;</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（7）强电箱：1台，不锈钢材质;</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（8）★浮球阀：2个，配套智能水位pp浮球阀，纯铜线芯，发热电流10A，250V，使用寿命&gt;10000times,工作温度0-65度，内部大容量触点式微动开关;</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（9）★电磁阀：1个，液压驱动隔膜式水力控制阀，内部集成型阀门，阀体：锻压黄铜，工作压力：0-1.0MPA，电压规格：AC220V;</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（10）★定时器：1套，微电脑时控开关，ABS绝缘阻燃材质，PCB八位微处理时控芯片，LCD液晶显示，最多设定组数16组，最长设定组数168h,最短设定组数1S;</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（11）★微灌喷雾系统：100个，自动升降绿化地坪喷头，0-360度角度调节，喷洒半径2.1-5.5M，工作压力：0.1-0.48MPa,不锈钢材料;</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（12）微灌喷雾系统铜管：喷头定制固定铜管同色支架。</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（13）包括辅材及安装调试服务；</w:t>
            </w:r>
          </w:p>
        </w:tc>
        <w:tc>
          <w:tcPr>
            <w:tcW w:w="50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r>
    </w:tbl>
    <w:p>
      <w:pPr>
        <w:tabs>
          <w:tab w:val="left" w:pos="142"/>
          <w:tab w:val="left" w:pos="2760"/>
        </w:tabs>
        <w:spacing w:line="360" w:lineRule="auto"/>
        <w:ind w:firstLine="560" w:firstLineChars="200"/>
        <w:rPr>
          <w:rFonts w:ascii="仿宋" w:hAnsi="仿宋" w:eastAsia="宋体" w:cs="仿宋"/>
          <w:color w:val="auto"/>
          <w:sz w:val="28"/>
          <w:szCs w:val="28"/>
        </w:rPr>
      </w:pPr>
      <w:r>
        <w:rPr>
          <w:rFonts w:hint="eastAsia" w:ascii="仿宋" w:hAnsi="仿宋" w:eastAsia="仿宋" w:cs="仿宋"/>
          <w:color w:val="auto"/>
          <w:sz w:val="28"/>
          <w:szCs w:val="28"/>
        </w:rPr>
        <w:t>★项为必须满足项（允许正偏离），否则不得通过符合性审查</w:t>
      </w:r>
    </w:p>
    <w:p>
      <w:pPr>
        <w:tabs>
          <w:tab w:val="left" w:pos="142"/>
          <w:tab w:val="left" w:pos="2760"/>
        </w:tabs>
        <w:spacing w:line="360" w:lineRule="auto"/>
        <w:ind w:firstLine="560" w:firstLineChars="200"/>
        <w:rPr>
          <w:rFonts w:ascii="仿宋" w:hAnsi="仿宋" w:cs="仿宋"/>
          <w:b/>
          <w:bCs/>
          <w:color w:val="auto"/>
          <w:szCs w:val="28"/>
        </w:rPr>
      </w:pPr>
      <w:r>
        <w:rPr>
          <w:rFonts w:hint="eastAsia" w:ascii="仿宋" w:hAnsi="仿宋" w:eastAsia="仿宋" w:cs="仿宋"/>
          <w:color w:val="auto"/>
          <w:sz w:val="28"/>
          <w:szCs w:val="28"/>
        </w:rPr>
        <w:t>技术要求是指对采购标的的功能和质量要求，包括性能、材料、结构、外观、安全，或者服务内容和标准等。</w:t>
      </w:r>
    </w:p>
    <w:p>
      <w:pPr>
        <w:spacing w:line="500" w:lineRule="exact"/>
        <w:ind w:firstLine="562" w:firstLineChars="200"/>
        <w:rPr>
          <w:rFonts w:ascii="仿宋" w:hAnsi="仿宋" w:cs="仿宋"/>
          <w:b/>
          <w:bCs/>
          <w:color w:val="auto"/>
        </w:rPr>
      </w:pPr>
      <w:r>
        <w:rPr>
          <w:rFonts w:hint="eastAsia" w:ascii="仿宋" w:hAnsi="仿宋" w:cs="仿宋"/>
          <w:b/>
          <w:bCs/>
          <w:color w:val="auto"/>
          <w:lang w:val="en-US" w:eastAsia="zh-CN"/>
        </w:rPr>
        <w:t>三</w:t>
      </w:r>
      <w:r>
        <w:rPr>
          <w:rFonts w:hint="eastAsia" w:ascii="仿宋" w:hAnsi="仿宋" w:cs="仿宋"/>
          <w:b/>
          <w:bCs/>
          <w:color w:val="auto"/>
        </w:rPr>
        <w:t>、商务需求</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（一）交货期</w:t>
      </w:r>
    </w:p>
    <w:p>
      <w:pPr>
        <w:spacing w:line="500" w:lineRule="exact"/>
        <w:ind w:firstLine="560" w:firstLineChars="200"/>
        <w:rPr>
          <w:rFonts w:ascii="仿宋" w:hAnsi="仿宋" w:cs="仿宋"/>
          <w:color w:val="auto"/>
          <w:szCs w:val="28"/>
        </w:rPr>
      </w:pPr>
      <w:r>
        <w:rPr>
          <w:rFonts w:hint="eastAsia" w:ascii="仿宋" w:hAnsi="仿宋" w:cs="仿宋"/>
          <w:color w:val="auto"/>
          <w:szCs w:val="28"/>
        </w:rPr>
        <w:t>合同履行期限（交货期）：</w:t>
      </w:r>
      <w:r>
        <w:rPr>
          <w:rFonts w:hint="eastAsia" w:ascii="仿宋" w:hAnsi="仿宋" w:cs="仿宋"/>
          <w:color w:val="auto"/>
          <w:szCs w:val="28"/>
          <w:lang w:eastAsia="zh-CN"/>
        </w:rPr>
        <w:t>185天（日历日），自合同签订之日起计算</w:t>
      </w:r>
      <w:r>
        <w:rPr>
          <w:rFonts w:hint="eastAsia" w:ascii="仿宋" w:hAnsi="仿宋" w:cs="仿宋"/>
          <w:color w:val="auto"/>
          <w:szCs w:val="28"/>
        </w:rPr>
        <w:t>。</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（二）交货地点:采购人指定地点。</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（三）</w:t>
      </w:r>
      <w:r>
        <w:rPr>
          <w:rFonts w:hint="eastAsia" w:ascii="仿宋" w:hAnsi="仿宋" w:eastAsia="仿宋"/>
          <w:color w:val="auto"/>
          <w:sz w:val="28"/>
          <w:szCs w:val="28"/>
        </w:rPr>
        <w:t>验收标准及要求：通过海南省水务厅关于县域节水型社会达标建设工作现场检查</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（四）报价要求</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本次报价须为人民币报价，包括但不限于：产品价、运输费（含装卸费）、保险费、安装调试费、税费等货到采购人指定地点的所有费用。</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（五）质量保证及售后服务</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1.产品质量保证期</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1.1成交供应商须保证货物是全新、未使用过的，并完全符合强制性的国家技术质量规范和合同规定的质量、规格、性能和技术规范等的要求。</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1.2成交供应商须保证所提供的货物经正确安装、正常运转和保养，在其使用寿命期内须具有符合质量要求和产品说明书的性能。在货物质量保证期之内，供应商须对由于设计、工艺或材料的缺陷而发生的任何不足或故障负责。</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1.3根据采购人按检验标准自己检验结果或委托有资质的相关质检机构的检验结果，发现货物的数量、质量、规格与合同不符；或者在质量保证期内，证实货物存在缺陷，包括潜在的缺陷或使用不符合要求的材料等，采购人应尽快以书面形式通知成交供应商。成交供应商在收到通知后最迟 24小时内应免费维修或更换有缺陷的货物或部件，24 小时内无法修复或修复后仍不能正常使用的，成交供应商应提供备品产品。</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1.4在保修期内，一旦发生质量问题，成交供应商在接到维修通知后2小时内响应，24小时内赶到现场进行修理或者更换。，买方可采取必要的补救措施，但由此引发的风险和费用将由成交供应商承担。</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2.售后服务</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2.1供应商必须提供1年免费维修服务，并保证订货合同执行完毕后5年内可以继续提供所有部件和整套设备，10年内提供维修维护服务。供应商还应保证在订货合同执行完毕后继续提供有关设备技术升级和换型的所有资料。</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2.2保修期内，所有硬件设备及其配件的维修均为免费。</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2.3设备故障报修的响应时间：接到用户方故障电话申报后2小时内响应，12小时内解决问题。如故障导致业务中断，中断时间不超过24小时，如超过24小时，需提供备件先恢复业务。</w:t>
      </w:r>
    </w:p>
    <w:p>
      <w:pPr>
        <w:spacing w:line="500" w:lineRule="exact"/>
        <w:ind w:firstLine="560" w:firstLineChars="200"/>
        <w:rPr>
          <w:rFonts w:ascii="仿宋" w:hAnsi="仿宋" w:cs="仿宋"/>
          <w:color w:val="auto"/>
          <w:szCs w:val="28"/>
        </w:rPr>
      </w:pPr>
      <w:r>
        <w:rPr>
          <w:rFonts w:hint="eastAsia" w:ascii="仿宋" w:hAnsi="仿宋" w:cs="仿宋"/>
          <w:color w:val="auto"/>
          <w:szCs w:val="28"/>
        </w:rPr>
        <w:t>2.4保修期内，投标方对所有设备提供7*24小时免费维护服务，免费人工、部件。</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（六）付款方式</w:t>
      </w:r>
    </w:p>
    <w:p>
      <w:pPr>
        <w:spacing w:line="500" w:lineRule="exact"/>
        <w:ind w:firstLine="560" w:firstLineChars="200"/>
        <w:rPr>
          <w:rFonts w:ascii="仿宋" w:hAnsi="仿宋" w:cs="仿宋"/>
          <w:color w:val="auto"/>
          <w:szCs w:val="28"/>
        </w:rPr>
      </w:pPr>
      <w:r>
        <w:rPr>
          <w:rFonts w:hint="eastAsia" w:ascii="仿宋" w:hAnsi="仿宋" w:cs="仿宋"/>
          <w:color w:val="auto"/>
          <w:szCs w:val="28"/>
        </w:rPr>
        <w:t>双方协商，以协商后确认的合同执行。</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（七）知识产权</w:t>
      </w:r>
    </w:p>
    <w:p>
      <w:pPr>
        <w:spacing w:line="500" w:lineRule="exact"/>
        <w:ind w:firstLine="560" w:firstLineChars="200"/>
        <w:rPr>
          <w:rFonts w:hint="eastAsia" w:ascii="仿宋" w:hAnsi="仿宋" w:cs="仿宋"/>
          <w:color w:val="auto"/>
          <w:szCs w:val="28"/>
        </w:rPr>
      </w:pPr>
      <w:r>
        <w:rPr>
          <w:rFonts w:hint="eastAsia" w:ascii="仿宋" w:hAnsi="仿宋" w:cs="仿宋"/>
          <w:color w:val="auto"/>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ODMyZDJhN2IyMjZiOTVkMjNiMDM3ZTFkNDIzZWQifQ=="/>
  </w:docVars>
  <w:rsids>
    <w:rsidRoot w:val="4CCB17C1"/>
    <w:rsid w:val="4CCB1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hAnsi="Calibri" w:eastAsia="宋体" w:cs="Times New Roma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2022-10-20T03:36:00Z</dcterms:created>
  <dc:creator>DU314341</dc:creator>
  <cp:lastModifiedBy>DU314341</cp:lastModifiedBy>
  <dcterms:modified xsi:type="dcterms:W3CDTF">2022-10-20T03:36:50Z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1A7175E699894532809E14F79C9B92C6</vt:lpwstr>
  </property>
</Properties>
</file>