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仿宋"/>
          <w:lang w:eastAsia="zh-CN"/>
        </w:rPr>
      </w:pPr>
      <w:r>
        <w:rPr>
          <w:rFonts w:hint="eastAsia" w:hAnsi="宋体" w:eastAsia="宋体" w:cs="宋体"/>
          <w:b/>
          <w:bCs/>
          <w:sz w:val="44"/>
          <w:szCs w:val="44"/>
          <w:lang w:eastAsia="zh-CN"/>
        </w:rPr>
        <w:t>用户需求书</w:t>
      </w:r>
      <w:bookmarkStart w:id="0" w:name="_GoBack"/>
      <w:bookmarkEnd w:id="0"/>
    </w:p>
    <w:p>
      <w:pPr>
        <w:bidi w:val="0"/>
        <w:spacing w:line="360" w:lineRule="auto"/>
        <w:rPr>
          <w:rFonts w:hint="eastAsia" w:ascii="宋体" w:hAnsi="宋体" w:eastAsia="宋体" w:cs="宋体"/>
          <w:b/>
          <w:bCs/>
          <w:sz w:val="28"/>
          <w:szCs w:val="28"/>
        </w:rPr>
      </w:pPr>
    </w:p>
    <w:p>
      <w:pPr>
        <w:bidi w:val="0"/>
        <w:spacing w:line="360" w:lineRule="auto"/>
        <w:rPr>
          <w:rFonts w:hint="eastAsia" w:ascii="宋体" w:hAnsi="宋体" w:eastAsia="宋体" w:cs="宋体"/>
        </w:rPr>
      </w:pPr>
      <w:r>
        <w:rPr>
          <w:rFonts w:hint="eastAsia" w:ascii="宋体" w:hAnsi="宋体" w:eastAsia="宋体" w:cs="宋体"/>
          <w:b/>
          <w:bCs/>
          <w:sz w:val="28"/>
          <w:szCs w:val="28"/>
        </w:rPr>
        <w:t>一、项目概况</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1、项目名称：临高环卫一体化PPP项目第三方考核服务采购项目</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2、预算金额：人民币￥</w:t>
      </w:r>
      <w:r>
        <w:rPr>
          <w:rFonts w:hint="eastAsia" w:ascii="宋体" w:hAnsi="宋体" w:eastAsia="宋体" w:cs="宋体"/>
          <w:sz w:val="24"/>
          <w:szCs w:val="24"/>
          <w:lang w:val="en-US" w:eastAsia="zh-CN"/>
        </w:rPr>
        <w:t>1583613.00</w:t>
      </w:r>
      <w:r>
        <w:rPr>
          <w:rFonts w:hint="eastAsia" w:ascii="宋体" w:hAnsi="宋体" w:eastAsia="宋体" w:cs="宋体"/>
          <w:sz w:val="24"/>
          <w:szCs w:val="24"/>
        </w:rPr>
        <w:t>元，超过预算金额为无效报价。</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3、项目背景： </w:t>
      </w:r>
      <w:r>
        <w:rPr>
          <w:rFonts w:hint="eastAsia" w:ascii="宋体" w:hAnsi="宋体" w:eastAsia="宋体" w:cs="宋体"/>
          <w:sz w:val="24"/>
          <w:szCs w:val="24"/>
          <w:lang w:val="en-US" w:eastAsia="zh-CN"/>
        </w:rPr>
        <w:t>城乡环境卫生是衡量一个城市的文明程度与管理水平的重要标志,关系到城乡居民的生产、生活环境质量。随着临高县城镇建设的快速发展，县城及下属乡镇的清扫保洁、垃圾收集清运等环卫基础设施设备已逐渐不能满足临高县经济发展的需求，居民对美好城市环境卫生也提出更高的要求。为改变此现状，改善当地人居生产和生活环境，实现“生产发展、生态优美、生活幸福”，贯彻落实省委、省政府办公厅关于《海南省开展“爱国、爱海南、爱家乡、爱家庭”卫生健康大行动的工作方案》（琼办发〔2020〕14 号）,临高县县政园林管理局通过购买服务方式引进</w:t>
      </w:r>
      <w:r>
        <w:rPr>
          <w:rFonts w:hint="eastAsia" w:ascii="宋体" w:hAnsi="宋体" w:eastAsia="宋体" w:cs="宋体"/>
          <w:sz w:val="24"/>
          <w:szCs w:val="24"/>
        </w:rPr>
        <w:t>临高县东飞公司负责临高县江南区的环卫保洁作业，临高县龙马公司负责江北区的环卫保洁作业</w:t>
      </w:r>
      <w:r>
        <w:rPr>
          <w:rFonts w:hint="eastAsia" w:ascii="宋体" w:hAnsi="宋体" w:eastAsia="宋体" w:cs="宋体"/>
          <w:sz w:val="24"/>
          <w:szCs w:val="24"/>
          <w:lang w:eastAsia="zh-CN"/>
        </w:rPr>
        <w:t>。</w:t>
      </w:r>
      <w:r>
        <w:rPr>
          <w:rFonts w:hint="eastAsia" w:ascii="宋体" w:hAnsi="宋体" w:eastAsia="宋体" w:cs="宋体"/>
          <w:sz w:val="24"/>
          <w:szCs w:val="24"/>
        </w:rPr>
        <w:t>为确保环卫公司在环卫保洁作业范围内的保洁质量有明显提高</w:t>
      </w:r>
      <w:r>
        <w:rPr>
          <w:rFonts w:hint="eastAsia" w:ascii="宋体" w:hAnsi="宋体" w:eastAsia="宋体" w:cs="宋体"/>
          <w:sz w:val="24"/>
          <w:szCs w:val="24"/>
          <w:lang w:val="en-US" w:eastAsia="zh-CN"/>
        </w:rPr>
        <w:t>及</w:t>
      </w:r>
      <w:r>
        <w:rPr>
          <w:rFonts w:hint="eastAsia" w:ascii="宋体" w:hAnsi="宋体" w:eastAsia="宋体" w:cs="宋体"/>
          <w:sz w:val="24"/>
          <w:szCs w:val="24"/>
        </w:rPr>
        <w:t>进一步完善我县环卫一体化PPP项目监督考核体系，确保考核实施过程能统筹管理，弥补政府考核队伍对环卫公司的考核不够专业、不够全面、队伍参差不齐</w:t>
      </w:r>
      <w:r>
        <w:rPr>
          <w:rFonts w:hint="eastAsia" w:ascii="宋体" w:hAnsi="宋体" w:eastAsia="宋体" w:cs="宋体"/>
          <w:sz w:val="24"/>
          <w:szCs w:val="24"/>
          <w:lang w:eastAsia="zh-CN"/>
        </w:rPr>
        <w:t>等</w:t>
      </w:r>
      <w:r>
        <w:rPr>
          <w:rFonts w:hint="eastAsia" w:ascii="宋体" w:hAnsi="宋体" w:eastAsia="宋体" w:cs="宋体"/>
          <w:sz w:val="24"/>
          <w:szCs w:val="24"/>
        </w:rPr>
        <w:t>缺点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临高县县政园林管理局通过政府购买服务的方式购买引入PPP 考核模式</w:t>
      </w:r>
      <w:r>
        <w:rPr>
          <w:rFonts w:hint="eastAsia" w:ascii="宋体" w:hAnsi="宋体" w:eastAsia="宋体" w:cs="宋体"/>
          <w:sz w:val="24"/>
          <w:szCs w:val="24"/>
        </w:rPr>
        <w:t xml:space="preserve"> ，进一步完善环卫作业质量评价体系，委托第三方对我</w:t>
      </w:r>
      <w:r>
        <w:rPr>
          <w:rFonts w:hint="eastAsia" w:ascii="宋体" w:hAnsi="宋体" w:eastAsia="宋体" w:cs="宋体"/>
          <w:sz w:val="24"/>
          <w:szCs w:val="24"/>
          <w:lang w:eastAsia="zh-CN"/>
        </w:rPr>
        <w:t>县</w:t>
      </w:r>
      <w:r>
        <w:rPr>
          <w:rFonts w:hint="eastAsia" w:ascii="宋体" w:hAnsi="宋体" w:eastAsia="宋体" w:cs="宋体"/>
          <w:sz w:val="24"/>
          <w:szCs w:val="24"/>
        </w:rPr>
        <w:t>环境卫生进行监督考核。</w:t>
      </w:r>
    </w:p>
    <w:p>
      <w:pPr>
        <w:bidi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二、具体服务内容及要求</w:t>
      </w:r>
    </w:p>
    <w:p>
      <w:pPr>
        <w:bidi w:val="0"/>
        <w:spacing w:line="360" w:lineRule="auto"/>
        <w:rPr>
          <w:rFonts w:hint="eastAsia" w:ascii="宋体" w:hAnsi="宋体" w:eastAsia="宋体" w:cs="宋体"/>
        </w:rPr>
      </w:pPr>
      <w:r>
        <w:rPr>
          <w:rFonts w:hint="eastAsia" w:ascii="宋体" w:hAnsi="宋体" w:eastAsia="宋体" w:cs="宋体"/>
          <w:b/>
          <w:bCs/>
          <w:sz w:val="24"/>
          <w:szCs w:val="24"/>
        </w:rPr>
        <w:t>（一） 督查考评的目的</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为全面及时了解我</w:t>
      </w:r>
      <w:r>
        <w:rPr>
          <w:rFonts w:hint="eastAsia" w:ascii="宋体" w:hAnsi="宋体" w:eastAsia="宋体" w:cs="宋体"/>
          <w:sz w:val="24"/>
          <w:szCs w:val="24"/>
          <w:lang w:eastAsia="zh-CN"/>
        </w:rPr>
        <w:t>县环境</w:t>
      </w:r>
      <w:r>
        <w:rPr>
          <w:rFonts w:hint="eastAsia" w:ascii="宋体" w:hAnsi="宋体" w:eastAsia="宋体" w:cs="宋体"/>
          <w:sz w:val="24"/>
          <w:szCs w:val="24"/>
        </w:rPr>
        <w:t>治理工作情况， 督促整改</w:t>
      </w:r>
      <w:r>
        <w:rPr>
          <w:rFonts w:hint="eastAsia" w:ascii="宋体" w:hAnsi="宋体" w:eastAsia="宋体" w:cs="宋体"/>
          <w:sz w:val="24"/>
          <w:szCs w:val="24"/>
          <w:lang w:eastAsia="zh-CN"/>
        </w:rPr>
        <w:t>城乡环境</w:t>
      </w:r>
      <w:r>
        <w:rPr>
          <w:rFonts w:hint="eastAsia" w:ascii="宋体" w:hAnsi="宋体" w:eastAsia="宋体" w:cs="宋体"/>
          <w:sz w:val="24"/>
          <w:szCs w:val="24"/>
        </w:rPr>
        <w:t>治理过程中发现的问题， 全面提升环境卫生水平，创造整洁、优美、文明、和谐的乡</w:t>
      </w:r>
      <w:r>
        <w:rPr>
          <w:rFonts w:hint="eastAsia" w:ascii="宋体" w:hAnsi="宋体" w:eastAsia="宋体" w:cs="宋体"/>
          <w:sz w:val="24"/>
          <w:szCs w:val="24"/>
          <w:lang w:eastAsia="zh-CN"/>
        </w:rPr>
        <w:t>城市</w:t>
      </w:r>
      <w:r>
        <w:rPr>
          <w:rFonts w:hint="eastAsia" w:ascii="宋体" w:hAnsi="宋体" w:eastAsia="宋体" w:cs="宋体"/>
          <w:sz w:val="24"/>
          <w:szCs w:val="24"/>
        </w:rPr>
        <w:t>环境。</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（二） 督查考评对象和范围</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福建东飞环境集团有限公司</w:t>
      </w:r>
      <w:r>
        <w:rPr>
          <w:rFonts w:hint="eastAsia" w:ascii="宋体" w:hAnsi="宋体" w:eastAsia="宋体" w:cs="宋体"/>
          <w:sz w:val="24"/>
          <w:szCs w:val="24"/>
          <w:lang w:val="en-US" w:eastAsia="zh-CN"/>
        </w:rPr>
        <w:t>环卫一体化PPP项目</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福建龙马环卫装备股份有限公司</w:t>
      </w:r>
      <w:r>
        <w:rPr>
          <w:rFonts w:hint="eastAsia" w:ascii="宋体" w:hAnsi="宋体" w:eastAsia="宋体" w:cs="宋体"/>
          <w:sz w:val="24"/>
          <w:szCs w:val="24"/>
          <w:lang w:val="en-US" w:eastAsia="zh-CN"/>
        </w:rPr>
        <w:t>环卫一体化PPP项目</w:t>
      </w:r>
    </w:p>
    <w:p>
      <w:pPr>
        <w:bidi w:val="0"/>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考核评价范围：</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8"/>
        <w:gridCol w:w="3016"/>
        <w:gridCol w:w="2019"/>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69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1702"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环卫区域名称</w:t>
            </w:r>
          </w:p>
        </w:tc>
        <w:tc>
          <w:tcPr>
            <w:tcW w:w="113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145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测绘工作量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1702"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临高县城（含临城镇墟）</w:t>
            </w:r>
          </w:p>
        </w:tc>
        <w:tc>
          <w:tcPr>
            <w:tcW w:w="113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万平方米</w:t>
            </w:r>
          </w:p>
        </w:tc>
        <w:tc>
          <w:tcPr>
            <w:tcW w:w="145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587.3743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w:t>
            </w:r>
          </w:p>
        </w:tc>
        <w:tc>
          <w:tcPr>
            <w:tcW w:w="1702"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10个镇墟</w:t>
            </w:r>
          </w:p>
        </w:tc>
        <w:tc>
          <w:tcPr>
            <w:tcW w:w="113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万平方米</w:t>
            </w:r>
          </w:p>
        </w:tc>
        <w:tc>
          <w:tcPr>
            <w:tcW w:w="145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435.5633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1702"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自然村</w:t>
            </w:r>
          </w:p>
        </w:tc>
        <w:tc>
          <w:tcPr>
            <w:tcW w:w="113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万平方米</w:t>
            </w:r>
          </w:p>
        </w:tc>
        <w:tc>
          <w:tcPr>
            <w:tcW w:w="145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833.2703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四</w:t>
            </w:r>
          </w:p>
        </w:tc>
        <w:tc>
          <w:tcPr>
            <w:tcW w:w="1702"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内河湖泊</w:t>
            </w:r>
          </w:p>
        </w:tc>
        <w:tc>
          <w:tcPr>
            <w:tcW w:w="113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万平方米</w:t>
            </w:r>
          </w:p>
        </w:tc>
        <w:tc>
          <w:tcPr>
            <w:tcW w:w="145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339.8181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五</w:t>
            </w:r>
          </w:p>
        </w:tc>
        <w:tc>
          <w:tcPr>
            <w:tcW w:w="1702"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海域</w:t>
            </w:r>
          </w:p>
        </w:tc>
        <w:tc>
          <w:tcPr>
            <w:tcW w:w="113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万平方米</w:t>
            </w:r>
          </w:p>
        </w:tc>
        <w:tc>
          <w:tcPr>
            <w:tcW w:w="145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1151.4073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540" w:type="pct"/>
            <w:gridSpan w:val="3"/>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合计</w:t>
            </w:r>
          </w:p>
        </w:tc>
        <w:tc>
          <w:tcPr>
            <w:tcW w:w="145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t>3347.4333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六</w:t>
            </w:r>
          </w:p>
        </w:tc>
        <w:tc>
          <w:tcPr>
            <w:tcW w:w="1702"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项目设施（公厕）</w:t>
            </w:r>
          </w:p>
        </w:tc>
        <w:tc>
          <w:tcPr>
            <w:tcW w:w="1138"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个</w:t>
            </w:r>
          </w:p>
        </w:tc>
        <w:tc>
          <w:tcPr>
            <w:tcW w:w="1459" w:type="pct"/>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102</w:t>
            </w:r>
          </w:p>
        </w:tc>
      </w:tr>
    </w:tbl>
    <w:p>
      <w:pPr>
        <w:bidi w:val="0"/>
        <w:spacing w:line="360" w:lineRule="auto"/>
        <w:rPr>
          <w:rFonts w:hint="eastAsia" w:ascii="宋体" w:hAnsi="宋体" w:eastAsia="宋体" w:cs="宋体"/>
          <w:b/>
          <w:bCs/>
          <w:sz w:val="24"/>
          <w:szCs w:val="24"/>
        </w:rPr>
      </w:pP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（三） 督查考评时间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考评时间为每月进行一次督查，重大活动、重大节假日随时督查</w:t>
      </w:r>
      <w:r>
        <w:rPr>
          <w:rFonts w:hint="eastAsia" w:ascii="宋体" w:hAnsi="宋体" w:eastAsia="宋体" w:cs="宋体"/>
          <w:sz w:val="24"/>
          <w:szCs w:val="24"/>
          <w:lang w:val="en-US" w:eastAsia="zh-CN"/>
        </w:rPr>
        <w:t>，每季度全覆盖服务区域一次。</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（四） 督查考评原则和依据</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（1） 督查考评原则</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严格按照相关的法律法规、标准规范，对环境治理作实施督查考评。督查考评工作强调农村环境卫生的日常督查。</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坚持“公开、公平、公正”的原则。考评尺度统一，方式方法公开，严格按照规定程序形成书面报告上报</w:t>
      </w:r>
      <w:r>
        <w:rPr>
          <w:rFonts w:hint="eastAsia" w:ascii="宋体" w:hAnsi="宋体" w:eastAsia="宋体" w:cs="宋体"/>
          <w:sz w:val="24"/>
          <w:szCs w:val="24"/>
          <w:lang w:eastAsia="zh-CN"/>
        </w:rPr>
        <w:t>县</w:t>
      </w:r>
      <w:r>
        <w:rPr>
          <w:rFonts w:hint="eastAsia" w:ascii="宋体" w:hAnsi="宋体" w:eastAsia="宋体" w:cs="宋体"/>
          <w:sz w:val="24"/>
          <w:szCs w:val="24"/>
        </w:rPr>
        <w:t>政府审定。</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坚持“周查、月查及明察与暗访相结合”的原则。通过不同考核周期，多种督查方式，全方位、客观、真实反映农村生活垃圾治理专项工作状况。</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（2） 督查考评依据</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（1）与各环卫服务企业签订的 PPP 项目协议；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（2）《城镇市容环境卫生劳动定额》（HLD47-101-2008）；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（3）《环境卫生设施设置标准》（CJJ27-2012）</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（五） 督查考评方式及方法</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考核</w:t>
      </w:r>
      <w:r>
        <w:rPr>
          <w:rFonts w:hint="eastAsia" w:ascii="宋体" w:hAnsi="宋体" w:eastAsia="宋体" w:cs="宋体"/>
          <w:kern w:val="0"/>
          <w:sz w:val="24"/>
          <w:szCs w:val="24"/>
        </w:rPr>
        <w:t>评价方法</w:t>
      </w:r>
      <w:r>
        <w:rPr>
          <w:rFonts w:hint="eastAsia" w:ascii="宋体" w:hAnsi="宋体" w:eastAsia="宋体" w:cs="宋体"/>
          <w:kern w:val="0"/>
          <w:sz w:val="24"/>
          <w:szCs w:val="24"/>
          <w:lang w:eastAsia="zh-CN"/>
        </w:rPr>
        <w:t>组成：</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县</w:t>
      </w:r>
      <w:r>
        <w:rPr>
          <w:rFonts w:hint="eastAsia" w:ascii="宋体" w:hAnsi="宋体" w:eastAsia="宋体" w:cs="宋体"/>
          <w:sz w:val="24"/>
          <w:szCs w:val="24"/>
        </w:rPr>
        <w:t>市政局牵头，</w:t>
      </w:r>
      <w:r>
        <w:rPr>
          <w:rFonts w:hint="eastAsia" w:ascii="宋体" w:hAnsi="宋体" w:eastAsia="宋体" w:cs="宋体"/>
          <w:sz w:val="24"/>
          <w:szCs w:val="24"/>
          <w:lang w:eastAsia="zh-CN"/>
        </w:rPr>
        <w:t>县</w:t>
      </w:r>
      <w:r>
        <w:rPr>
          <w:rFonts w:hint="eastAsia" w:ascii="宋体" w:hAnsi="宋体" w:eastAsia="宋体" w:cs="宋体"/>
          <w:sz w:val="24"/>
          <w:szCs w:val="24"/>
        </w:rPr>
        <w:t>双创办、</w:t>
      </w:r>
      <w:r>
        <w:rPr>
          <w:rFonts w:hint="eastAsia" w:ascii="宋体" w:hAnsi="宋体" w:eastAsia="宋体" w:cs="宋体"/>
          <w:sz w:val="24"/>
          <w:szCs w:val="24"/>
          <w:lang w:eastAsia="zh-CN"/>
        </w:rPr>
        <w:t>县</w:t>
      </w:r>
      <w:r>
        <w:rPr>
          <w:rFonts w:hint="eastAsia" w:ascii="宋体" w:hAnsi="宋体" w:eastAsia="宋体" w:cs="宋体"/>
          <w:sz w:val="24"/>
          <w:szCs w:val="24"/>
        </w:rPr>
        <w:t>文明办、</w:t>
      </w:r>
      <w:r>
        <w:rPr>
          <w:rFonts w:hint="eastAsia" w:ascii="宋体" w:hAnsi="宋体" w:eastAsia="宋体" w:cs="宋体"/>
          <w:sz w:val="24"/>
          <w:szCs w:val="24"/>
          <w:lang w:eastAsia="zh-CN"/>
        </w:rPr>
        <w:t>县</w:t>
      </w:r>
      <w:r>
        <w:rPr>
          <w:rFonts w:hint="eastAsia" w:ascii="宋体" w:hAnsi="宋体" w:eastAsia="宋体" w:cs="宋体"/>
          <w:sz w:val="24"/>
          <w:szCs w:val="24"/>
        </w:rPr>
        <w:t>爱卫办共同组成，成立县级考核队伍，并邀请</w:t>
      </w:r>
      <w:r>
        <w:rPr>
          <w:rFonts w:hint="eastAsia" w:ascii="宋体" w:hAnsi="宋体" w:eastAsia="宋体" w:cs="宋体"/>
          <w:sz w:val="24"/>
          <w:szCs w:val="24"/>
          <w:lang w:eastAsia="zh-CN"/>
        </w:rPr>
        <w:t>县</w:t>
      </w:r>
      <w:r>
        <w:rPr>
          <w:rFonts w:hint="eastAsia" w:ascii="宋体" w:hAnsi="宋体" w:eastAsia="宋体" w:cs="宋体"/>
          <w:sz w:val="24"/>
          <w:szCs w:val="24"/>
        </w:rPr>
        <w:t>人大代表、</w:t>
      </w:r>
      <w:r>
        <w:rPr>
          <w:rFonts w:hint="eastAsia" w:ascii="宋体" w:hAnsi="宋体" w:eastAsia="宋体" w:cs="宋体"/>
          <w:sz w:val="24"/>
          <w:szCs w:val="24"/>
          <w:lang w:eastAsia="zh-CN"/>
        </w:rPr>
        <w:t>县</w:t>
      </w:r>
      <w:r>
        <w:rPr>
          <w:rFonts w:hint="eastAsia" w:ascii="宋体" w:hAnsi="宋体" w:eastAsia="宋体" w:cs="宋体"/>
          <w:sz w:val="24"/>
          <w:szCs w:val="24"/>
        </w:rPr>
        <w:t>政协代表参与考核</w:t>
      </w:r>
      <w:r>
        <w:rPr>
          <w:rFonts w:hint="eastAsia" w:ascii="宋体" w:hAnsi="宋体" w:eastAsia="宋体" w:cs="宋体"/>
          <w:sz w:val="24"/>
          <w:szCs w:val="24"/>
          <w:lang w:eastAsia="zh-CN"/>
        </w:rPr>
        <w:t>；</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各</w:t>
      </w:r>
      <w:r>
        <w:rPr>
          <w:rFonts w:hint="eastAsia" w:ascii="宋体" w:hAnsi="宋体" w:eastAsia="宋体" w:cs="宋体"/>
          <w:sz w:val="24"/>
          <w:szCs w:val="24"/>
          <w:lang w:val="en-US" w:eastAsia="zh-CN"/>
        </w:rPr>
        <w:t>镇村级环卫部门要积极参与并</w:t>
      </w:r>
      <w:r>
        <w:rPr>
          <w:rFonts w:hint="eastAsia" w:ascii="宋体" w:hAnsi="宋体" w:eastAsia="宋体" w:cs="宋体"/>
          <w:sz w:val="24"/>
          <w:szCs w:val="24"/>
        </w:rPr>
        <w:t>成立</w:t>
      </w:r>
      <w:r>
        <w:rPr>
          <w:rFonts w:hint="eastAsia" w:ascii="宋体" w:hAnsi="宋体" w:eastAsia="宋体" w:cs="宋体"/>
          <w:sz w:val="24"/>
          <w:szCs w:val="24"/>
          <w:lang w:val="en-US" w:eastAsia="zh-CN"/>
        </w:rPr>
        <w:t>3组</w:t>
      </w:r>
      <w:r>
        <w:rPr>
          <w:rFonts w:hint="eastAsia" w:ascii="宋体" w:hAnsi="宋体" w:eastAsia="宋体" w:cs="宋体"/>
          <w:sz w:val="24"/>
          <w:szCs w:val="24"/>
        </w:rPr>
        <w:t>镇级考核</w:t>
      </w:r>
      <w:r>
        <w:rPr>
          <w:rFonts w:hint="eastAsia" w:ascii="宋体" w:hAnsi="宋体" w:eastAsia="宋体" w:cs="宋体"/>
          <w:sz w:val="24"/>
          <w:szCs w:val="24"/>
          <w:lang w:eastAsia="zh-CN"/>
        </w:rPr>
        <w:t>队伍</w:t>
      </w:r>
      <w:r>
        <w:rPr>
          <w:rFonts w:hint="eastAsia" w:ascii="宋体" w:hAnsi="宋体" w:eastAsia="宋体" w:cs="宋体"/>
          <w:sz w:val="24"/>
          <w:szCs w:val="24"/>
        </w:rPr>
        <w:t>，在辖区范围内开展日常监督工作</w:t>
      </w:r>
      <w:r>
        <w:rPr>
          <w:rFonts w:hint="eastAsia" w:ascii="宋体" w:hAnsi="宋体" w:eastAsia="宋体" w:cs="宋体"/>
          <w:sz w:val="24"/>
          <w:szCs w:val="24"/>
          <w:lang w:eastAsia="zh-CN"/>
        </w:rPr>
        <w:t>；</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3.公布县市政局举报电话，让广大公众参与，实行举报查实有奖制度；</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引进有资质的第三方考核公司，对临高县环卫一体化项目的保洁作业质量进行客观、公正的考核</w:t>
      </w:r>
      <w:r>
        <w:rPr>
          <w:rFonts w:hint="eastAsia" w:ascii="宋体" w:hAnsi="宋体" w:eastAsia="宋体" w:cs="宋体"/>
          <w:sz w:val="24"/>
          <w:szCs w:val="24"/>
          <w:lang w:eastAsia="zh-CN"/>
        </w:rPr>
        <w:t>；</w:t>
      </w:r>
    </w:p>
    <w:p>
      <w:pPr>
        <w:keepNext w:val="0"/>
        <w:keepLines w:val="0"/>
        <w:widowControl/>
        <w:suppressLineNumbers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w:t>
      </w:r>
      <w:r>
        <w:rPr>
          <w:rFonts w:hint="eastAsia" w:ascii="宋体" w:hAnsi="宋体" w:eastAsia="宋体" w:cs="宋体"/>
          <w:color w:val="000000"/>
          <w:kern w:val="0"/>
          <w:sz w:val="24"/>
          <w:szCs w:val="24"/>
          <w:lang w:val="en-US" w:eastAsia="zh-CN" w:bidi="ar"/>
        </w:rPr>
        <w:t>附件：1.清扫保洁作业质量考核评表；2.水域卫生作业质量考核评分表；3.垃圾收集清运作业质量考核评分表；4.公厕管理作业质量考核评分表；5.生活垃圾二级转运作业质量考核评分表；6.清扫保洁、水域卫生垃圾收集、清运及公厕作业质量考核权重表；7.生活垃圾二级转运作业质量考核权重表，</w:t>
      </w:r>
      <w:r>
        <w:rPr>
          <w:rFonts w:hint="eastAsia" w:ascii="宋体" w:hAnsi="宋体" w:eastAsia="宋体" w:cs="宋体"/>
          <w:sz w:val="24"/>
          <w:szCs w:val="24"/>
          <w:lang w:val="en-US" w:eastAsia="zh-CN"/>
        </w:rPr>
        <w:t>进行实地考核评价。</w:t>
      </w:r>
    </w:p>
    <w:p>
      <w:pPr>
        <w:widowControl/>
        <w:spacing w:line="360" w:lineRule="auto"/>
        <w:jc w:val="left"/>
        <w:rPr>
          <w:rFonts w:hint="eastAsia" w:ascii="宋体" w:hAnsi="宋体" w:eastAsia="宋体" w:cs="宋体"/>
          <w:sz w:val="24"/>
          <w:szCs w:val="24"/>
          <w:lang w:val="en-US" w:eastAsia="zh-CN"/>
        </w:rPr>
      </w:pPr>
      <w:r>
        <w:rPr>
          <w:rFonts w:hint="eastAsia" w:ascii="宋体" w:hAnsi="宋体" w:eastAsia="宋体" w:cs="宋体"/>
          <w:b w:val="0"/>
          <w:i w:val="0"/>
          <w:caps w:val="0"/>
          <w:color w:val="000000"/>
          <w:spacing w:val="0"/>
          <w:kern w:val="0"/>
          <w:sz w:val="24"/>
          <w:szCs w:val="24"/>
          <w:u w:val="none"/>
          <w:lang w:val="en-US" w:eastAsia="zh-CN" w:bidi="ar"/>
        </w:rPr>
        <w:t xml:space="preserve">     5.对两个片区，每月实行群众满意度调查，每个片区，每月随机抽取10名群众进行满意度调查。</w:t>
      </w:r>
    </w:p>
    <w:p>
      <w:pPr>
        <w:numPr>
          <w:ilvl w:val="0"/>
          <w:numId w:val="0"/>
        </w:numPr>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考核</w:t>
      </w:r>
      <w:r>
        <w:rPr>
          <w:rFonts w:hint="eastAsia" w:ascii="宋体" w:hAnsi="宋体" w:eastAsia="宋体" w:cs="宋体"/>
          <w:kern w:val="0"/>
          <w:sz w:val="24"/>
          <w:szCs w:val="24"/>
        </w:rPr>
        <w:t>评价</w:t>
      </w:r>
      <w:r>
        <w:rPr>
          <w:rFonts w:hint="eastAsia" w:ascii="宋体" w:hAnsi="宋体" w:eastAsia="宋体" w:cs="宋体"/>
          <w:kern w:val="0"/>
          <w:sz w:val="24"/>
          <w:szCs w:val="24"/>
          <w:lang w:eastAsia="zh-CN"/>
        </w:rPr>
        <w:t>选用</w:t>
      </w:r>
      <w:r>
        <w:rPr>
          <w:rFonts w:hint="eastAsia" w:ascii="宋体" w:hAnsi="宋体" w:eastAsia="宋体" w:cs="宋体"/>
          <w:kern w:val="0"/>
          <w:sz w:val="24"/>
          <w:szCs w:val="24"/>
        </w:rPr>
        <w:t>方法</w:t>
      </w:r>
      <w:r>
        <w:rPr>
          <w:rFonts w:hint="eastAsia" w:ascii="宋体" w:hAnsi="宋体" w:eastAsia="宋体" w:cs="宋体"/>
          <w:kern w:val="0"/>
          <w:sz w:val="24"/>
          <w:szCs w:val="24"/>
          <w:lang w:eastAsia="zh-CN"/>
        </w:rPr>
        <w:t>：</w:t>
      </w:r>
    </w:p>
    <w:p>
      <w:pPr>
        <w:numPr>
          <w:ilvl w:val="0"/>
          <w:numId w:val="0"/>
        </w:num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采用实地考核为项目考核评价办法;</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（六） 督查考评内容及考评标准</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1.对道路清扫保洁考核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县域、镇域道路对责任路段要求路面整洁、不准有堆积杂物，达到“路面净、绿化带净、道牙净、墙面净、墙根净、树坑净、收水口净、垃圾收集容器净”，杜绝“甩段、甩片、丢堆、留死角”；自然村落达到保洁及时彻底、垃圾无无积存。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（1）主干道、次干道等机动车道、非机动车道、人行道、街巷路面、“墙到墙”等区域、乡镇村庄内公共区域的清扫、清洗、保洁、洒水降尘及路面硬化范围内的杂草清理、道路绿化带的垃圾捡拾和保洁；</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（2）道路“墙到墙”之间所有构筑物和构件两米以下范围内张贴和乱涂写的清理和保洁；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（3）果皮箱、垃圾桶等垃圾收集容器的购置、清掏、清洗保洁、维护及更新；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（4）路名牌、指路牌、交通护栏等以及路灯杆、交通指示牌杆等两米以下部分的清洗保洁及雨水篦子的清掏；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（5）对水域、河道岸边散落垃圾、畜禽粪污及农业生产废弃物的清理和捡拾；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（6）对各村镇道路、水域保洁范围内应对可视范围内的垃圾进行捡拾。</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2、对水域保洁考核</w:t>
      </w:r>
    </w:p>
    <w:p>
      <w:pPr>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（1）水域保洁作业船舶宜选用清洁能源或无油污染、噪音低的环保型船舶，并应安全可靠。船舶作业和停靠应符合港航主管部门管理要求，不应影响其他船舶的航行。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（2）作业船只船容应整洁，无明显污渍和破损；废弃物储存设施应整洁、完好，无残余物品吊挂。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（3）在废弃物储存、转运过程中应采用遮盖等作业措施。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（4）水域保洁作业应根据作业时间、作业区域合理配置设施、设备、人员。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（5）打捞清除的漂浮废弃物应在制定的场所转运、装卸，应日收日清、定时、定点，并将垃圾纳入当地垃圾收运系统。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（6）保洁作业完成后应及时清除散落废弃物，并应清洗作业装备。</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（7）水上公共设施应巡回保洁，并应及时清除外立面污染物、水线附着物。吊挂垃圾或影响环境的水生植物。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（8）水面保洁作业可根据水域特点在漂浮废弃物易聚集处设置漂浮物拦截设施。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（9）漂浮物废弃物拦截设施应保持外形完好，并宜采取遮盖措施；被拦截的废弃物应及时清除，不得满溢，应避免垃圾裸露。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（10）发现漂浮物废弃物时，作业船只应减速慢行，打捞漂浮废弃物应及时送入船舱。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（11）对不易打捞入船的体积较大的漂浮废弃物，应按相关规定，妥善处理。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（12）防汛墙、驳岸等建（构）筑物以及水上公共设备要定期进行清洗，保持清洁。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（13）海岸、滩涂、堤岸，应根据潮汐、风向等自然条件，采用保洁设备或人工巡回保洁，清除沿岸、护坡枯枝落叶、废弃杂物和暴露垃圾。</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（14）及时清理岸坡垃圾（包括建筑垃圾），发现重大水体污染事件应及时向实施机构报告。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（15）突发性事件中产生的漂浮废弃物，保洁作业单位应根据应急预案开展应急作业，并在规定时间内及时处置。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（16）灾害性天气结束后应及时组织力量进行应急保洁，及时清除各种漂浮废弃物。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3.对公厕运营管理考核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公厕卫生标准必须达到或高于国家二类公厕标准。公厕管理质量巡检达到每周2次全覆盖巡检，每次巡检要在公厕管理记录簿进行签名登记。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4.对垃圾清运考核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每日对县城、镇墟和村域范围内的生活垃圾进行清运，实现“日产日清”。垃圾收集容器设置位置适宜、摆放整齐、方便居民（分类）投放；收集完毕后，清理场地，将垃圾桶复位，盖上桶盖，地面不得有零散垃圾，收集点及周围 5m 内无散落、留存垃圾和污水。垃圾收清运应采取密闭方式，垃圾收集容器无遗漏、无撒漏、无渗滤液滴漏。垃圾收集车向垃圾填埋场或儋州生活垃圾焚烧厂转运过程中应密闭运输，实行“垃圾不落地”作业模式。进入各站内的垃圾应“日产日清”，实行实时保洁做到随脏随保、车走站净，并及时清理坑槽内的污水和垃圾，保持坑内下水通畅，站内应保持干净整洁，无洒落垃圾和积留污水。 </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5.对垃圾分类考核</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按照生活垃圾四分类的标准对县域范围的生活垃圾进行分类收集和运输；定期开展生活垃圾分类知识宣传、监督生活垃圾分类投放行为等。加强对宣传人员和监督人员在生活垃圾分类工作中的培训，规范引导居民在日常生活垃圾分类，提高知晓率和准确率，同时，编制生活垃圾分类指南，推动垃圾分类工作应从“源头减量”抓起，按照生活垃圾“能减尽减、能分尽分、能用尽用”的原则，倡导居民从衣食住行工作等方面养成习惯，践行绿色、低碳、文明的生活方式，形成人人参与环保、爱护环境、节约资源的良好氛围，争取从源头实现垃圾减量化、资源化和无害化。 </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（七） 督查考评的组织实施</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县</w:t>
      </w:r>
      <w:r>
        <w:rPr>
          <w:rFonts w:hint="eastAsia" w:ascii="宋体" w:hAnsi="宋体" w:eastAsia="宋体" w:cs="宋体"/>
          <w:sz w:val="24"/>
          <w:szCs w:val="24"/>
        </w:rPr>
        <w:t>市政局牵头，</w:t>
      </w:r>
      <w:r>
        <w:rPr>
          <w:rFonts w:hint="eastAsia" w:ascii="宋体" w:hAnsi="宋体" w:eastAsia="宋体" w:cs="宋体"/>
          <w:sz w:val="24"/>
          <w:szCs w:val="24"/>
          <w:lang w:eastAsia="zh-CN"/>
        </w:rPr>
        <w:t>县</w:t>
      </w:r>
      <w:r>
        <w:rPr>
          <w:rFonts w:hint="eastAsia" w:ascii="宋体" w:hAnsi="宋体" w:eastAsia="宋体" w:cs="宋体"/>
          <w:sz w:val="24"/>
          <w:szCs w:val="24"/>
        </w:rPr>
        <w:t>双创办、</w:t>
      </w:r>
      <w:r>
        <w:rPr>
          <w:rFonts w:hint="eastAsia" w:ascii="宋体" w:hAnsi="宋体" w:eastAsia="宋体" w:cs="宋体"/>
          <w:sz w:val="24"/>
          <w:szCs w:val="24"/>
          <w:lang w:eastAsia="zh-CN"/>
        </w:rPr>
        <w:t>县</w:t>
      </w:r>
      <w:r>
        <w:rPr>
          <w:rFonts w:hint="eastAsia" w:ascii="宋体" w:hAnsi="宋体" w:eastAsia="宋体" w:cs="宋体"/>
          <w:sz w:val="24"/>
          <w:szCs w:val="24"/>
        </w:rPr>
        <w:t>文明办、</w:t>
      </w:r>
      <w:r>
        <w:rPr>
          <w:rFonts w:hint="eastAsia" w:ascii="宋体" w:hAnsi="宋体" w:eastAsia="宋体" w:cs="宋体"/>
          <w:sz w:val="24"/>
          <w:szCs w:val="24"/>
          <w:lang w:eastAsia="zh-CN"/>
        </w:rPr>
        <w:t>县</w:t>
      </w:r>
      <w:r>
        <w:rPr>
          <w:rFonts w:hint="eastAsia" w:ascii="宋体" w:hAnsi="宋体" w:eastAsia="宋体" w:cs="宋体"/>
          <w:sz w:val="24"/>
          <w:szCs w:val="24"/>
        </w:rPr>
        <w:t>爱卫办共同组成，成立县级考核队伍，并邀请</w:t>
      </w:r>
      <w:r>
        <w:rPr>
          <w:rFonts w:hint="eastAsia" w:ascii="宋体" w:hAnsi="宋体" w:eastAsia="宋体" w:cs="宋体"/>
          <w:sz w:val="24"/>
          <w:szCs w:val="24"/>
          <w:lang w:eastAsia="zh-CN"/>
        </w:rPr>
        <w:t>县</w:t>
      </w:r>
      <w:r>
        <w:rPr>
          <w:rFonts w:hint="eastAsia" w:ascii="宋体" w:hAnsi="宋体" w:eastAsia="宋体" w:cs="宋体"/>
          <w:sz w:val="24"/>
          <w:szCs w:val="24"/>
        </w:rPr>
        <w:t>人大代表、</w:t>
      </w:r>
      <w:r>
        <w:rPr>
          <w:rFonts w:hint="eastAsia" w:ascii="宋体" w:hAnsi="宋体" w:eastAsia="宋体" w:cs="宋体"/>
          <w:sz w:val="24"/>
          <w:szCs w:val="24"/>
          <w:lang w:eastAsia="zh-CN"/>
        </w:rPr>
        <w:t>县</w:t>
      </w:r>
      <w:r>
        <w:rPr>
          <w:rFonts w:hint="eastAsia" w:ascii="宋体" w:hAnsi="宋体" w:eastAsia="宋体" w:cs="宋体"/>
          <w:sz w:val="24"/>
          <w:szCs w:val="24"/>
        </w:rPr>
        <w:t>政协代表参与考核</w:t>
      </w:r>
      <w:r>
        <w:rPr>
          <w:rFonts w:hint="eastAsia" w:ascii="宋体" w:hAnsi="宋体" w:eastAsia="宋体" w:cs="宋体"/>
          <w:sz w:val="24"/>
          <w:szCs w:val="24"/>
          <w:lang w:eastAsia="zh-CN"/>
        </w:rPr>
        <w:t>；</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各</w:t>
      </w:r>
      <w:r>
        <w:rPr>
          <w:rFonts w:hint="eastAsia" w:ascii="宋体" w:hAnsi="宋体" w:eastAsia="宋体" w:cs="宋体"/>
          <w:sz w:val="24"/>
          <w:szCs w:val="24"/>
          <w:lang w:val="en-US" w:eastAsia="zh-CN"/>
        </w:rPr>
        <w:t>镇村级环卫部门要积极参与并</w:t>
      </w:r>
      <w:r>
        <w:rPr>
          <w:rFonts w:hint="eastAsia" w:ascii="宋体" w:hAnsi="宋体" w:eastAsia="宋体" w:cs="宋体"/>
          <w:sz w:val="24"/>
          <w:szCs w:val="24"/>
        </w:rPr>
        <w:t>成立</w:t>
      </w:r>
      <w:r>
        <w:rPr>
          <w:rFonts w:hint="eastAsia" w:ascii="宋体" w:hAnsi="宋体" w:eastAsia="宋体" w:cs="宋体"/>
          <w:sz w:val="24"/>
          <w:szCs w:val="24"/>
          <w:lang w:val="en-US" w:eastAsia="zh-CN"/>
        </w:rPr>
        <w:t>3组</w:t>
      </w:r>
      <w:r>
        <w:rPr>
          <w:rFonts w:hint="eastAsia" w:ascii="宋体" w:hAnsi="宋体" w:eastAsia="宋体" w:cs="宋体"/>
          <w:sz w:val="24"/>
          <w:szCs w:val="24"/>
        </w:rPr>
        <w:t>镇级考核</w:t>
      </w:r>
      <w:r>
        <w:rPr>
          <w:rFonts w:hint="eastAsia" w:ascii="宋体" w:hAnsi="宋体" w:eastAsia="宋体" w:cs="宋体"/>
          <w:sz w:val="24"/>
          <w:szCs w:val="24"/>
          <w:lang w:eastAsia="zh-CN"/>
        </w:rPr>
        <w:t>队伍</w:t>
      </w:r>
      <w:r>
        <w:rPr>
          <w:rFonts w:hint="eastAsia" w:ascii="宋体" w:hAnsi="宋体" w:eastAsia="宋体" w:cs="宋体"/>
          <w:sz w:val="24"/>
          <w:szCs w:val="24"/>
        </w:rPr>
        <w:t>，在辖区范围内开展日常监督工作</w:t>
      </w:r>
      <w:r>
        <w:rPr>
          <w:rFonts w:hint="eastAsia" w:ascii="宋体" w:hAnsi="宋体" w:eastAsia="宋体" w:cs="宋体"/>
          <w:sz w:val="24"/>
          <w:szCs w:val="24"/>
          <w:lang w:eastAsia="zh-CN"/>
        </w:rPr>
        <w:t>；</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3.公布县市政局举报电话，让广大公众参与，实行举报查实有奖制度；</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引进有资质的第三方考核公司，对临高县环卫一体化项目的保洁作业质量进行客观、公正的考核</w:t>
      </w:r>
      <w:r>
        <w:rPr>
          <w:rFonts w:hint="eastAsia" w:ascii="宋体" w:hAnsi="宋体" w:eastAsia="宋体" w:cs="宋体"/>
          <w:sz w:val="24"/>
          <w:szCs w:val="24"/>
          <w:lang w:eastAsia="zh-CN"/>
        </w:rPr>
        <w:t>；</w:t>
      </w:r>
    </w:p>
    <w:p>
      <w:pPr>
        <w:keepNext w:val="0"/>
        <w:keepLines w:val="0"/>
        <w:widowControl/>
        <w:suppressLineNumbers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w:t>
      </w:r>
      <w:r>
        <w:rPr>
          <w:rFonts w:hint="eastAsia" w:ascii="宋体" w:hAnsi="宋体" w:eastAsia="宋体" w:cs="宋体"/>
          <w:color w:val="000000"/>
          <w:kern w:val="0"/>
          <w:sz w:val="24"/>
          <w:szCs w:val="24"/>
          <w:lang w:val="en-US" w:eastAsia="zh-CN" w:bidi="ar"/>
        </w:rPr>
        <w:t>附件：1.清扫保洁作业质量考核评表；2.水域卫生作业质量考核评分表；3.垃圾收集清运作业质量考核评分表；4.公厕管理作业质量考核评分表；5.生活垃圾二级转运作业质量考核评分表；6.清扫保洁、水域卫生垃圾收集、清运及公厕作业质量考核权重表；7.生活垃圾二级转运作业质量考核权重表，</w:t>
      </w:r>
      <w:r>
        <w:rPr>
          <w:rFonts w:hint="eastAsia" w:ascii="宋体" w:hAnsi="宋体" w:eastAsia="宋体" w:cs="宋体"/>
          <w:sz w:val="24"/>
          <w:szCs w:val="24"/>
          <w:lang w:val="en-US" w:eastAsia="zh-CN"/>
        </w:rPr>
        <w:t>进行实地考核评价。</w:t>
      </w:r>
    </w:p>
    <w:p>
      <w:pPr>
        <w:widowControl/>
        <w:spacing w:line="360" w:lineRule="auto"/>
        <w:jc w:val="left"/>
        <w:rPr>
          <w:rFonts w:hint="eastAsia" w:ascii="宋体" w:hAnsi="宋体" w:eastAsia="宋体" w:cs="宋体"/>
          <w:sz w:val="24"/>
          <w:szCs w:val="24"/>
          <w:lang w:val="en-US" w:eastAsia="zh-CN"/>
        </w:rPr>
      </w:pPr>
      <w:r>
        <w:rPr>
          <w:rFonts w:hint="eastAsia" w:ascii="宋体" w:hAnsi="宋体" w:eastAsia="宋体" w:cs="宋体"/>
          <w:b w:val="0"/>
          <w:i w:val="0"/>
          <w:caps w:val="0"/>
          <w:color w:val="000000"/>
          <w:spacing w:val="0"/>
          <w:kern w:val="0"/>
          <w:sz w:val="24"/>
          <w:szCs w:val="24"/>
          <w:u w:val="none"/>
          <w:lang w:val="en-US" w:eastAsia="zh-CN" w:bidi="ar"/>
        </w:rPr>
        <w:t xml:space="preserve">     5.对两个片区，每月实行群众满意度调查，每个片区，每月随机抽取10名群众进行满意度调查。</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（2） 中标供应商职责</w:t>
      </w:r>
    </w:p>
    <w:p>
      <w:pPr>
        <w:bidi w:val="0"/>
        <w:spacing w:line="360" w:lineRule="auto"/>
        <w:ind w:firstLine="480" w:firstLineChars="200"/>
        <w:rPr>
          <w:rFonts w:hint="eastAsia" w:ascii="宋体" w:hAnsi="宋体" w:eastAsia="宋体" w:cs="宋体"/>
        </w:rPr>
      </w:pPr>
      <w:r>
        <w:rPr>
          <w:rFonts w:hint="eastAsia" w:ascii="宋体" w:hAnsi="宋体" w:eastAsia="宋体" w:cs="宋体"/>
          <w:sz w:val="24"/>
          <w:szCs w:val="24"/>
        </w:rPr>
        <w:t>1、负责组织由</w:t>
      </w:r>
      <w:r>
        <w:rPr>
          <w:rFonts w:hint="eastAsia" w:ascii="宋体" w:hAnsi="宋体" w:eastAsia="宋体" w:cs="宋体"/>
          <w:sz w:val="24"/>
          <w:szCs w:val="24"/>
          <w:lang w:val="en-US" w:eastAsia="zh-CN"/>
        </w:rPr>
        <w:t>24</w:t>
      </w:r>
      <w:r>
        <w:rPr>
          <w:rFonts w:hint="eastAsia" w:ascii="宋体" w:hAnsi="宋体" w:eastAsia="宋体" w:cs="宋体"/>
          <w:sz w:val="24"/>
          <w:szCs w:val="24"/>
        </w:rPr>
        <w:t>人组成的督查考评队伍，并分成</w:t>
      </w:r>
      <w:r>
        <w:rPr>
          <w:rFonts w:hint="eastAsia" w:ascii="宋体" w:hAnsi="宋体" w:eastAsia="宋体" w:cs="宋体"/>
          <w:sz w:val="24"/>
          <w:szCs w:val="24"/>
          <w:lang w:val="en-US" w:eastAsia="zh-CN"/>
        </w:rPr>
        <w:t>8</w:t>
      </w:r>
      <w:r>
        <w:rPr>
          <w:rFonts w:hint="eastAsia" w:ascii="宋体" w:hAnsi="宋体" w:eastAsia="宋体" w:cs="宋体"/>
          <w:sz w:val="24"/>
          <w:szCs w:val="24"/>
        </w:rPr>
        <w:t>个考评小组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分别组成（全县域环卫一体化工作范围）：1.清扫保洁；2.垃圾收集清；3.公厕管理；4.内河水域卫生及海上环境卫生；5.生活垃圾二级转运站；6.</w:t>
      </w:r>
      <w:r>
        <w:rPr>
          <w:rFonts w:hint="eastAsia" w:ascii="宋体" w:hAnsi="宋体" w:eastAsia="宋体" w:cs="宋体"/>
          <w:b w:val="0"/>
          <w:bCs w:val="0"/>
          <w:color w:val="000000"/>
          <w:kern w:val="0"/>
          <w:sz w:val="24"/>
          <w:szCs w:val="24"/>
          <w:lang w:val="en-US" w:eastAsia="zh-CN" w:bidi="ar"/>
        </w:rPr>
        <w:t>生活垃圾分类；7.自然村保洁</w:t>
      </w:r>
      <w:r>
        <w:rPr>
          <w:rFonts w:hint="eastAsia" w:ascii="宋体" w:hAnsi="宋体" w:eastAsia="宋体" w:cs="宋体"/>
          <w:sz w:val="24"/>
          <w:szCs w:val="24"/>
          <w:lang w:val="en-US" w:eastAsia="zh-CN"/>
        </w:rPr>
        <w:t>等考核小组）</w:t>
      </w:r>
      <w:r>
        <w:rPr>
          <w:rFonts w:hint="eastAsia" w:ascii="宋体" w:hAnsi="宋体" w:eastAsia="宋体" w:cs="宋体"/>
          <w:sz w:val="24"/>
          <w:szCs w:val="24"/>
        </w:rPr>
        <w:t>，每组</w:t>
      </w:r>
      <w:r>
        <w:rPr>
          <w:rFonts w:hint="eastAsia" w:ascii="宋体" w:hAnsi="宋体" w:eastAsia="宋体" w:cs="宋体"/>
          <w:sz w:val="24"/>
          <w:szCs w:val="24"/>
          <w:lang w:val="en-US" w:eastAsia="zh-CN"/>
        </w:rPr>
        <w:t>3</w:t>
      </w:r>
      <w:r>
        <w:rPr>
          <w:rFonts w:hint="eastAsia" w:ascii="宋体" w:hAnsi="宋体" w:eastAsia="宋体" w:cs="宋体"/>
          <w:sz w:val="24"/>
          <w:szCs w:val="24"/>
        </w:rPr>
        <w:t>人；1个考评小组，负责后台数据处理及审核上报。</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2、实地督查考评小组对各镇墟</w:t>
      </w:r>
      <w:r>
        <w:rPr>
          <w:rFonts w:hint="eastAsia" w:ascii="宋体" w:hAnsi="宋体" w:eastAsia="宋体" w:cs="宋体"/>
          <w:sz w:val="24"/>
          <w:szCs w:val="24"/>
          <w:lang w:eastAsia="zh-CN"/>
        </w:rPr>
        <w:t>环卫</w:t>
      </w:r>
      <w:r>
        <w:rPr>
          <w:rFonts w:hint="eastAsia" w:ascii="宋体" w:hAnsi="宋体" w:eastAsia="宋体" w:cs="宋体"/>
          <w:sz w:val="24"/>
          <w:szCs w:val="24"/>
        </w:rPr>
        <w:t>工作实行月督查制度，每月督查1次，</w:t>
      </w:r>
      <w:r>
        <w:rPr>
          <w:rFonts w:hint="eastAsia" w:ascii="宋体" w:hAnsi="宋体" w:eastAsia="宋体" w:cs="宋体"/>
          <w:sz w:val="24"/>
          <w:szCs w:val="24"/>
          <w:lang w:val="en-US" w:eastAsia="zh-CN"/>
        </w:rPr>
        <w:t>每季度全覆盖服务区域一次</w:t>
      </w:r>
      <w:r>
        <w:rPr>
          <w:rFonts w:hint="eastAsia" w:ascii="宋体" w:hAnsi="宋体" w:eastAsia="宋体" w:cs="宋体"/>
          <w:sz w:val="24"/>
          <w:szCs w:val="24"/>
        </w:rPr>
        <w:t>。并严格按照</w:t>
      </w:r>
      <w:r>
        <w:rPr>
          <w:rFonts w:hint="eastAsia" w:ascii="宋体" w:hAnsi="宋体" w:eastAsia="宋体" w:cs="宋体"/>
          <w:sz w:val="24"/>
          <w:szCs w:val="24"/>
          <w:lang w:val="en-US" w:eastAsia="zh-CN"/>
        </w:rPr>
        <w:t>附表2-2至2-7</w:t>
      </w:r>
      <w:r>
        <w:rPr>
          <w:rFonts w:hint="eastAsia" w:ascii="宋体" w:hAnsi="宋体" w:eastAsia="宋体" w:cs="宋体"/>
          <w:sz w:val="24"/>
          <w:szCs w:val="24"/>
        </w:rPr>
        <w:t>进行考核评分。</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3、考评小组每次量分考核督查后， 要及时整理考核记录，</w:t>
      </w:r>
      <w:r>
        <w:rPr>
          <w:rFonts w:hint="eastAsia" w:ascii="宋体" w:hAnsi="宋体" w:eastAsia="宋体" w:cs="宋体"/>
          <w:sz w:val="24"/>
          <w:szCs w:val="24"/>
          <w:lang w:val="en-US" w:eastAsia="zh-CN"/>
        </w:rPr>
        <w:t>附表2-2至2-7</w:t>
      </w:r>
      <w:r>
        <w:rPr>
          <w:rFonts w:hint="eastAsia" w:ascii="宋体" w:hAnsi="宋体" w:eastAsia="宋体" w:cs="宋体"/>
          <w:sz w:val="24"/>
          <w:szCs w:val="24"/>
        </w:rPr>
        <w:t>要求督查组所有人员签名。</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4、完成月度</w:t>
      </w:r>
      <w:r>
        <w:rPr>
          <w:rFonts w:hint="eastAsia" w:ascii="宋体" w:hAnsi="宋体" w:eastAsia="宋体" w:cs="宋体"/>
          <w:sz w:val="24"/>
          <w:szCs w:val="24"/>
          <w:lang w:eastAsia="zh-CN"/>
        </w:rPr>
        <w:t>、</w:t>
      </w:r>
      <w:r>
        <w:rPr>
          <w:rFonts w:hint="eastAsia" w:ascii="宋体" w:hAnsi="宋体" w:eastAsia="宋体" w:cs="宋体"/>
          <w:sz w:val="24"/>
          <w:szCs w:val="24"/>
        </w:rPr>
        <w:t>季度</w:t>
      </w:r>
      <w:r>
        <w:rPr>
          <w:rFonts w:hint="eastAsia" w:ascii="宋体" w:hAnsi="宋体" w:eastAsia="宋体" w:cs="宋体"/>
          <w:sz w:val="24"/>
          <w:szCs w:val="24"/>
          <w:lang w:eastAsia="zh-CN"/>
        </w:rPr>
        <w:t>及年度</w:t>
      </w:r>
      <w:r>
        <w:rPr>
          <w:rFonts w:hint="eastAsia" w:ascii="宋体" w:hAnsi="宋体" w:eastAsia="宋体" w:cs="宋体"/>
          <w:sz w:val="24"/>
          <w:szCs w:val="24"/>
        </w:rPr>
        <w:t>报告。</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（八） 质量控制</w:t>
      </w:r>
    </w:p>
    <w:p>
      <w:pPr>
        <w:bidi w:val="0"/>
        <w:spacing w:line="360" w:lineRule="auto"/>
        <w:ind w:left="210" w:leftChars="100" w:firstLine="240" w:firstLineChars="100"/>
        <w:rPr>
          <w:rFonts w:hint="eastAsia" w:ascii="宋体" w:hAnsi="宋体" w:eastAsia="宋体" w:cs="宋体"/>
          <w:sz w:val="24"/>
          <w:szCs w:val="24"/>
        </w:rPr>
      </w:pPr>
      <w:r>
        <w:rPr>
          <w:rFonts w:hint="eastAsia" w:ascii="宋体" w:hAnsi="宋体" w:eastAsia="宋体" w:cs="宋体"/>
          <w:sz w:val="24"/>
          <w:szCs w:val="24"/>
        </w:rPr>
        <w:t>（1）所有参与考核工作的相关人员必须经过系统培训，掌握核方法及要点后方可上岗；</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（2）所有考核人员必须严格按照本方案规定的监督考评内容、方式方法及标准开展督查考核工作；</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（3）为保证督查考核工作的公平公正，各考评小组及人员实行督查区域轮换制度；</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）中标供应商对所提供专项督查考核结果的真实性、完整性、可靠性负责。</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（九） 其他要求及说明</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投标人必须根据招标文件服务要求编写投标文件。在中标结果公示期间，采购人有权对中标候选人所提交相关证书及人员等进行核查，如发现与其投标文件中的描述不一，代理机构将报政府采购主管部门严肃处理；</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中标人项目实施过程中如遇有重大事项及时报告和反馈信息， 尊重项目业主方的意见，接受项目业主方的提议、 监督和指导；</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（3）投标人应当有能力在保证质量的前提下，按时完成所有工作内容；</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 在中标后的整个作业期间，相关人员若发生人身伤亡、财物或其它损失，无论何种原因所致，采购人和采购代理机构均不负责；</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）投标人需提供本地化技术服务支持，服务方案中需列拟投入本项目的服务人员名单并提供相关证明。</w:t>
      </w:r>
    </w:p>
    <w:p>
      <w:pPr>
        <w:bidi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三、商务要求</w:t>
      </w:r>
    </w:p>
    <w:p>
      <w:pPr>
        <w:bidi w:val="0"/>
        <w:spacing w:line="360" w:lineRule="auto"/>
        <w:ind w:firstLine="420" w:firstLineChars="200"/>
        <w:rPr>
          <w:rFonts w:hint="eastAsia" w:ascii="宋体" w:hAnsi="宋体" w:eastAsia="宋体" w:cs="宋体"/>
          <w:color w:val="FF0000"/>
        </w:rPr>
      </w:pPr>
      <w:r>
        <w:rPr>
          <w:rFonts w:hint="eastAsia" w:ascii="宋体" w:hAnsi="宋体" w:eastAsia="宋体" w:cs="宋体"/>
          <w:color w:val="FF0000"/>
        </w:rPr>
        <w:t>1、服务期：一年（服务期限起算时间具体以合同约定为准）。</w:t>
      </w:r>
    </w:p>
    <w:p>
      <w:pPr>
        <w:bidi w:val="0"/>
        <w:spacing w:line="360" w:lineRule="auto"/>
        <w:ind w:firstLine="420" w:firstLineChars="200"/>
        <w:rPr>
          <w:rFonts w:hint="eastAsia" w:ascii="宋体" w:hAnsi="宋体" w:eastAsia="宋体" w:cs="宋体"/>
        </w:rPr>
      </w:pPr>
      <w:r>
        <w:rPr>
          <w:rFonts w:hint="eastAsia" w:ascii="宋体" w:hAnsi="宋体" w:eastAsia="宋体" w:cs="宋体"/>
        </w:rPr>
        <w:t>2、付款方式： 合同签订后 7 个工作日内支付合同金额的 30%，余款根据项目进度支付（具体以合同约定为准）。</w:t>
      </w:r>
    </w:p>
    <w:p>
      <w:pPr>
        <w:bidi w:val="0"/>
        <w:spacing w:line="360" w:lineRule="auto"/>
        <w:ind w:firstLine="420" w:firstLineChars="200"/>
        <w:rPr>
          <w:rFonts w:hint="eastAsia" w:ascii="宋体" w:hAnsi="宋体" w:eastAsia="宋体" w:cs="宋体"/>
        </w:rPr>
      </w:pPr>
      <w:r>
        <w:rPr>
          <w:rFonts w:hint="eastAsia" w:ascii="宋体" w:hAnsi="宋体" w:eastAsia="宋体" w:cs="宋体"/>
        </w:rPr>
        <w:t>3、验收标准： 以国家和海南省现行规程规范为标准， 由采购单位或组织专家评审的方式按招标文件采购需求进行验收， 验收产生的相关费用由中标供应商负责。</w:t>
      </w:r>
    </w:p>
    <w:sectPr>
      <w:pgSz w:w="11907" w:h="16839"/>
      <w:pgMar w:top="1431" w:right="1289"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A997C17"/>
    <w:rsid w:val="2AD81C12"/>
    <w:rsid w:val="2E33122B"/>
    <w:rsid w:val="58CD3899"/>
    <w:rsid w:val="777C4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99"/>
    <w:pPr>
      <w:ind w:firstLine="420"/>
    </w:pPr>
    <w:rPr>
      <w:rFonts w:ascii="宋体" w:eastAsia="仿宋" w:cs="宋体"/>
      <w:kern w:val="0"/>
      <w:sz w:val="24"/>
      <w:szCs w:val="24"/>
    </w:rPr>
  </w:style>
  <w:style w:type="table" w:customStyle="1" w:styleId="5">
    <w:name w:val="Table Normal"/>
    <w:semiHidden/>
    <w:unhideWhenUsed/>
    <w:qFormat/>
    <w:uiPriority w:val="0"/>
    <w:tblPr>
      <w:tblCellMar>
        <w:top w:w="0" w:type="dxa"/>
        <w:left w:w="0" w:type="dxa"/>
        <w:bottom w:w="0" w:type="dxa"/>
        <w:right w:w="0" w:type="dxa"/>
      </w:tblCellMar>
    </w:tblPr>
  </w:style>
  <w:style w:type="character" w:customStyle="1" w:styleId="6">
    <w:name w:val="NormalCharacter"/>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2018-10-31T09:24:00Z</dcterms:created>
  <dc:creator>李娟</dc:creator>
  <cp:lastModifiedBy>___</cp:lastModifiedBy>
  <dcterms:modified xsi:type="dcterms:W3CDTF">2022-01-06T03:42:11Z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2021-12-24T11:40:02Z</vt:filetime>
  </property>
  <property fmtid="{D5CDD505-2E9C-101B-9397-08002B2CF9AE}" pid="4" name="KSOProductBuildVer">
    <vt:lpwstr>2052-11.1.0.11194</vt:lpwstr>
  </property>
  <property fmtid="{D5CDD505-2E9C-101B-9397-08002B2CF9AE}" pid="5" name="ICV">
    <vt:lpwstr>C7333DA748B347CDB8E4C16ED1556B82</vt:lpwstr>
  </property>
</Properties>
</file>