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b/>
          <w:color w:val="auto"/>
          <w:sz w:val="48"/>
          <w:szCs w:val="48"/>
        </w:rPr>
      </w:pPr>
      <w:bookmarkStart w:id="0" w:name="_Toc1770"/>
      <w:r>
        <w:rPr>
          <w:rFonts w:hint="eastAsia"/>
          <w:b/>
          <w:color w:val="auto"/>
          <w:sz w:val="48"/>
          <w:szCs w:val="48"/>
        </w:rPr>
        <w:t>第五部分  工程量清单</w:t>
      </w:r>
      <w:bookmarkEnd w:id="0"/>
    </w:p>
    <w:p>
      <w:pPr>
        <w:rPr>
          <w:rFonts w:hint="eastAsia"/>
          <w:color w:val="auto"/>
          <w:sz w:val="24"/>
        </w:rPr>
      </w:pPr>
    </w:p>
    <w:p>
      <w:pPr>
        <w:rPr>
          <w:rFonts w:hint="eastAsia"/>
          <w:color w:val="auto"/>
          <w:sz w:val="24"/>
        </w:rPr>
      </w:pPr>
    </w:p>
    <w:p>
      <w:pPr>
        <w:keepNext w:val="0"/>
        <w:keepLines w:val="0"/>
        <w:pageBreakBefore w:val="0"/>
        <w:widowControl w:val="0"/>
        <w:kinsoku/>
        <w:wordWrap/>
        <w:overflowPunct/>
        <w:topLinePunct w:val="0"/>
        <w:bidi w:val="0"/>
        <w:snapToGrid/>
        <w:spacing w:line="360" w:lineRule="auto"/>
        <w:textAlignment w:val="auto"/>
        <w:rPr>
          <w:b/>
          <w:bCs/>
          <w:color w:val="auto"/>
          <w:sz w:val="24"/>
        </w:rPr>
      </w:pPr>
      <w:bookmarkStart w:id="1" w:name="_Toc325296015"/>
      <w:bookmarkStart w:id="2" w:name="_Toc21039"/>
      <w:bookmarkStart w:id="3" w:name="_Toc27042"/>
      <w:r>
        <w:rPr>
          <w:rFonts w:hint="eastAsia"/>
          <w:b/>
          <w:bCs/>
          <w:color w:val="auto"/>
          <w:sz w:val="24"/>
        </w:rPr>
        <w:t>1</w:t>
      </w:r>
      <w:r>
        <w:rPr>
          <w:b/>
          <w:bCs/>
          <w:color w:val="auto"/>
          <w:sz w:val="24"/>
        </w:rPr>
        <w:t>. 投标报价说明</w:t>
      </w:r>
      <w:bookmarkEnd w:id="1"/>
      <w:bookmarkEnd w:id="2"/>
      <w:bookmarkEnd w:id="3"/>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rFonts w:hint="eastAsia"/>
          <w:color w:val="auto"/>
          <w:sz w:val="24"/>
        </w:rPr>
        <w:t>1</w:t>
      </w:r>
      <w:r>
        <w:rPr>
          <w:color w:val="auto"/>
          <w:sz w:val="24"/>
        </w:rPr>
        <w:t>.1 工程量清单中须填入单价或价格，且只允许有一个报价。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rFonts w:hint="eastAsia"/>
          <w:color w:val="auto"/>
          <w:sz w:val="24"/>
        </w:rPr>
        <w:t>1</w:t>
      </w:r>
      <w:r>
        <w:rPr>
          <w:color w:val="auto"/>
          <w:sz w:val="24"/>
        </w:rPr>
        <w:t>.2 工程量清单成交价的单价或金额，应包括所需人工费、施工机械使用费、材料费、其他（运杂费、质检费、安装费、缺陷修复费、保险费，以及合同明示或暗示的风险、责任和义务等），以及管理费、利润等。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rFonts w:hint="eastAsia"/>
          <w:color w:val="auto"/>
          <w:sz w:val="24"/>
        </w:rPr>
        <w:t>1</w:t>
      </w:r>
      <w:r>
        <w:rPr>
          <w:color w:val="auto"/>
          <w:sz w:val="24"/>
        </w:rPr>
        <w:t>.3 工程量清单中</w:t>
      </w:r>
      <w:r>
        <w:rPr>
          <w:rFonts w:hint="eastAsia"/>
          <w:color w:val="auto"/>
          <w:sz w:val="24"/>
        </w:rPr>
        <w:t>供应商</w:t>
      </w:r>
      <w:r>
        <w:rPr>
          <w:color w:val="auto"/>
          <w:sz w:val="24"/>
        </w:rPr>
        <w:t>没有填入单价或价格的，其费用视为已分摊在工程量清单中其他相关</w:t>
      </w:r>
      <w:r>
        <w:rPr>
          <w:rFonts w:hint="eastAsia"/>
          <w:color w:val="auto"/>
          <w:sz w:val="24"/>
        </w:rPr>
        <w:t>项</w:t>
      </w:r>
      <w:r>
        <w:rPr>
          <w:color w:val="auto"/>
          <w:sz w:val="24"/>
        </w:rPr>
        <w:t>的单价或价格之中。</w:t>
      </w: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pPr>
    </w:p>
    <w:p>
      <w:pPr>
        <w:jc w:val="center"/>
        <w:outlineLvl w:val="0"/>
        <w:rPr>
          <w:rFonts w:hint="eastAsia" w:ascii="宋体" w:hAnsi="宋体" w:eastAsia="宋体" w:cs="宋体"/>
          <w:b/>
          <w:sz w:val="48"/>
          <w:szCs w:val="48"/>
          <w:lang w:eastAsia="zh-CN"/>
        </w:rPr>
        <w:sectPr>
          <w:pgSz w:w="11906" w:h="16838"/>
          <w:pgMar w:top="1588" w:right="1588" w:bottom="1588" w:left="1588" w:header="851" w:footer="992" w:gutter="0"/>
          <w:cols w:space="720" w:num="1"/>
          <w:titlePg/>
          <w:docGrid w:type="lines" w:linePitch="312" w:charSpace="0"/>
        </w:sectPr>
      </w:pPr>
    </w:p>
    <w:p>
      <w:pPr>
        <w:spacing w:line="560" w:lineRule="exact"/>
        <w:jc w:val="center"/>
        <w:rPr>
          <w:rFonts w:hint="eastAsia" w:ascii="宋体" w:hAnsi="宋体" w:eastAsia="宋体" w:cs="宋体"/>
          <w:b/>
          <w:bCs/>
          <w:sz w:val="28"/>
          <w:szCs w:val="28"/>
        </w:rPr>
      </w:pPr>
      <w:r>
        <w:rPr>
          <w:rFonts w:hint="eastAsia" w:ascii="宋体" w:hAnsi="宋体" w:eastAsia="宋体" w:cs="宋体"/>
          <w:b/>
          <w:bCs/>
          <w:sz w:val="28"/>
          <w:szCs w:val="28"/>
          <w:lang w:eastAsia="zh-CN"/>
        </w:rPr>
        <w:t>工程量清单编制</w:t>
      </w:r>
      <w:r>
        <w:rPr>
          <w:rFonts w:hint="eastAsia" w:ascii="宋体" w:hAnsi="宋体" w:eastAsia="宋体" w:cs="宋体"/>
          <w:b/>
          <w:bCs/>
          <w:sz w:val="28"/>
          <w:szCs w:val="28"/>
        </w:rPr>
        <w:t>说明</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bCs/>
          <w:sz w:val="44"/>
          <w:szCs w:val="44"/>
        </w:rPr>
      </w:pPr>
    </w:p>
    <w:p>
      <w:pPr>
        <w:spacing w:line="560" w:lineRule="exact"/>
        <w:ind w:left="-901" w:leftChars="-429" w:firstLine="700" w:firstLineChars="250"/>
        <w:rPr>
          <w:rFonts w:hint="eastAsia" w:ascii="宋体" w:hAnsi="宋体" w:eastAsia="宋体" w:cs="宋体"/>
          <w:b/>
          <w:bCs/>
          <w:sz w:val="28"/>
          <w:szCs w:val="28"/>
        </w:rPr>
      </w:pPr>
      <w:r>
        <w:rPr>
          <w:rFonts w:hint="eastAsia" w:ascii="仿宋" w:hAnsi="仿宋" w:eastAsia="仿宋" w:cs="仿宋"/>
          <w:sz w:val="28"/>
          <w:szCs w:val="28"/>
        </w:rPr>
        <w:t>工程名称：</w:t>
      </w:r>
      <w:r>
        <w:rPr>
          <w:rFonts w:hint="eastAsia" w:ascii="仿宋" w:hAnsi="仿宋" w:eastAsia="仿宋" w:cs="仿宋"/>
          <w:color w:val="auto"/>
          <w:kern w:val="0"/>
          <w:sz w:val="28"/>
          <w:szCs w:val="28"/>
          <w:highlight w:val="none"/>
          <w:lang w:val="en-US" w:eastAsia="zh-CN"/>
        </w:rPr>
        <w:t xml:space="preserve">海口市大致坡镇中心小学运动场改造工程项目         </w:t>
      </w:r>
      <w:r>
        <w:rPr>
          <w:rFonts w:hint="eastAsia" w:ascii="仿宋" w:hAnsi="仿宋" w:eastAsia="仿宋" w:cs="仿宋"/>
          <w:sz w:val="28"/>
          <w:szCs w:val="28"/>
        </w:rPr>
        <w:t xml:space="preserve">              </w:t>
      </w:r>
    </w:p>
    <w:tbl>
      <w:tblPr>
        <w:tblStyle w:val="6"/>
        <w:tblW w:w="0" w:type="auto"/>
        <w:tblInd w:w="-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1" w:hRule="atLeast"/>
        </w:trPr>
        <w:tc>
          <w:tcPr>
            <w:tcW w:w="9306"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auto"/>
                <w:sz w:val="28"/>
                <w:szCs w:val="28"/>
                <w:highlight w:val="none"/>
              </w:rPr>
            </w:pPr>
            <w:r>
              <w:rPr>
                <w:rFonts w:hint="eastAsia" w:ascii="宋体" w:hAnsi="宋体" w:eastAsia="宋体" w:cs="宋体"/>
                <w:b/>
                <w:bCs/>
                <w:sz w:val="28"/>
                <w:szCs w:val="28"/>
              </w:rPr>
              <w:t xml:space="preserve">      </w:t>
            </w:r>
          </w:p>
          <w:p>
            <w:pPr>
              <w:keepNext w:val="0"/>
              <w:keepLines w:val="0"/>
              <w:pageBreakBefore w:val="0"/>
              <w:kinsoku/>
              <w:wordWrap/>
              <w:overflowPunct/>
              <w:topLinePunct w:val="0"/>
              <w:autoSpaceDE/>
              <w:autoSpaceDN/>
              <w:bidi w:val="0"/>
              <w:adjustRightInd w:val="0"/>
              <w:snapToGrid w:val="0"/>
              <w:spacing w:line="520" w:lineRule="exact"/>
              <w:textAlignment w:val="auto"/>
              <w:outlineLvl w:val="9"/>
              <w:rPr>
                <w:rFonts w:hint="eastAsia" w:ascii="仿宋" w:hAnsi="仿宋" w:eastAsia="仿宋" w:cs="仿宋"/>
                <w:color w:val="auto"/>
                <w:sz w:val="28"/>
                <w:szCs w:val="28"/>
              </w:rPr>
            </w:pPr>
            <w:r>
              <w:rPr>
                <w:rFonts w:hint="eastAsia" w:ascii="黑体" w:hAnsi="黑体" w:eastAsia="黑体" w:cs="黑体"/>
                <w:b w:val="0"/>
                <w:bCs/>
                <w:color w:val="auto"/>
                <w:sz w:val="28"/>
                <w:szCs w:val="28"/>
              </w:rPr>
              <w:t>一</w:t>
            </w:r>
            <w:r>
              <w:rPr>
                <w:rFonts w:hint="eastAsia" w:ascii="黑体" w:hAnsi="黑体" w:eastAsia="黑体" w:cs="黑体"/>
                <w:b w:val="0"/>
                <w:bCs/>
                <w:color w:val="auto"/>
                <w:sz w:val="28"/>
                <w:szCs w:val="28"/>
                <w:lang w:val="en-US" w:eastAsia="zh-CN"/>
              </w:rPr>
              <w:t>、</w:t>
            </w:r>
            <w:r>
              <w:rPr>
                <w:rFonts w:hint="eastAsia" w:ascii="黑体" w:hAnsi="黑体" w:eastAsia="黑体" w:cs="黑体"/>
                <w:b w:val="0"/>
                <w:bCs/>
                <w:color w:val="auto"/>
                <w:sz w:val="28"/>
                <w:szCs w:val="28"/>
              </w:rPr>
              <w:t>工程概况</w:t>
            </w:r>
          </w:p>
          <w:p>
            <w:pPr>
              <w:keepNext w:val="0"/>
              <w:keepLines w:val="0"/>
              <w:pageBreakBefore w:val="0"/>
              <w:kinsoku/>
              <w:wordWrap/>
              <w:overflowPunct/>
              <w:topLinePunct w:val="0"/>
              <w:autoSpaceDE/>
              <w:autoSpaceDN/>
              <w:bidi w:val="0"/>
              <w:adjustRightInd w:val="0"/>
              <w:snapToGrid w:val="0"/>
              <w:spacing w:line="580" w:lineRule="exact"/>
              <w:ind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1.项目名称：海口市大致坡镇中心小学运动场改造工程项目</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2.建设单位：海口市大致坡镇中心小学</w:t>
            </w:r>
          </w:p>
          <w:p>
            <w:pPr>
              <w:keepNext w:val="0"/>
              <w:keepLines w:val="0"/>
              <w:pageBreakBefore w:val="0"/>
              <w:kinsoku/>
              <w:wordWrap/>
              <w:overflowPunct/>
              <w:topLinePunct w:val="0"/>
              <w:autoSpaceDE/>
              <w:autoSpaceDN/>
              <w:bidi w:val="0"/>
              <w:adjustRightInd w:val="0"/>
              <w:snapToGrid w:val="0"/>
              <w:spacing w:line="580" w:lineRule="exact"/>
              <w:ind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3.建设地点：海口市美兰区大致坡镇</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4.设计单位：</w:t>
            </w:r>
            <w:r>
              <w:rPr>
                <w:rFonts w:hint="eastAsia" w:ascii="仿宋_GB2312" w:hAnsi="仿宋_GB2312" w:eastAsia="仿宋_GB2312" w:cs="仿宋_GB2312"/>
                <w:b w:val="0"/>
                <w:bCs w:val="0"/>
                <w:kern w:val="2"/>
                <w:sz w:val="28"/>
                <w:szCs w:val="28"/>
                <w:lang w:val="en-US" w:eastAsia="zh-CN" w:bidi="ar-SA"/>
              </w:rPr>
              <w:t>海南城市学院设计研究院有限公司海南分公司</w:t>
            </w:r>
          </w:p>
          <w:p>
            <w:pPr>
              <w:keepNext w:val="0"/>
              <w:keepLines w:val="0"/>
              <w:pageBreakBefore w:val="0"/>
              <w:kinsoku/>
              <w:wordWrap/>
              <w:overflowPunct/>
              <w:topLinePunct w:val="0"/>
              <w:autoSpaceDE/>
              <w:autoSpaceDN/>
              <w:bidi w:val="0"/>
              <w:adjustRightInd w:val="0"/>
              <w:snapToGrid w:val="0"/>
              <w:spacing w:line="580" w:lineRule="exact"/>
              <w:ind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5.项目规模：运动场环形跑道,规格为200m,共设6道,每道道宽1.22m。运动场直线跑道,规格为80m,共设6道,每道道宽1.22m。运动场内两个半圆辅助区均为塑胶面,运动场内设有5人制室外足球场及跳远区。</w:t>
            </w:r>
          </w:p>
          <w:p>
            <w:pPr>
              <w:keepNext w:val="0"/>
              <w:keepLines w:val="0"/>
              <w:pageBreakBefore w:val="0"/>
              <w:kinsoku/>
              <w:wordWrap/>
              <w:overflowPunct/>
              <w:topLinePunct w:val="0"/>
              <w:autoSpaceDE/>
              <w:autoSpaceDN/>
              <w:bidi w:val="0"/>
              <w:adjustRightInd w:val="0"/>
              <w:snapToGrid w:val="0"/>
              <w:spacing w:line="520" w:lineRule="exact"/>
              <w:textAlignment w:val="auto"/>
              <w:outlineLvl w:val="9"/>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eastAsia="zh-CN"/>
              </w:rPr>
              <w:t>二</w:t>
            </w:r>
            <w:r>
              <w:rPr>
                <w:rFonts w:hint="eastAsia" w:ascii="黑体" w:hAnsi="黑体" w:eastAsia="黑体" w:cs="黑体"/>
                <w:b w:val="0"/>
                <w:bCs/>
                <w:color w:val="auto"/>
                <w:sz w:val="28"/>
                <w:szCs w:val="28"/>
                <w:lang w:val="en-US" w:eastAsia="zh-CN"/>
              </w:rPr>
              <w:t>、</w:t>
            </w:r>
            <w:r>
              <w:rPr>
                <w:rFonts w:hint="eastAsia" w:ascii="黑体" w:hAnsi="黑体" w:eastAsia="黑体" w:cs="黑体"/>
                <w:b w:val="0"/>
                <w:bCs/>
                <w:color w:val="auto"/>
                <w:sz w:val="28"/>
                <w:szCs w:val="28"/>
              </w:rPr>
              <w:t>编制范围</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1.本次编制范围包括施工图设计范围内建筑工程、安装工程、等。</w:t>
            </w:r>
          </w:p>
          <w:p>
            <w:pPr>
              <w:keepNext w:val="0"/>
              <w:keepLines w:val="0"/>
              <w:pageBreakBefore w:val="0"/>
              <w:kinsoku/>
              <w:wordWrap/>
              <w:overflowPunct/>
              <w:topLinePunct w:val="0"/>
              <w:autoSpaceDE/>
              <w:autoSpaceDN/>
              <w:bidi w:val="0"/>
              <w:adjustRightInd w:val="0"/>
              <w:snapToGrid w:val="0"/>
              <w:spacing w:line="5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2.不含建设用地费用、工程建设其他费、建设期贷款利息等。</w:t>
            </w:r>
            <w:r>
              <w:rPr>
                <w:rFonts w:hint="eastAsia" w:ascii="仿宋" w:hAnsi="仿宋" w:eastAsia="仿宋" w:cs="仿宋"/>
                <w:color w:val="auto"/>
                <w:sz w:val="28"/>
                <w:szCs w:val="28"/>
                <w:highlight w:val="none"/>
              </w:rPr>
              <w:t xml:space="preserve">                                                                                  </w:t>
            </w:r>
          </w:p>
          <w:p>
            <w:pPr>
              <w:keepNext w:val="0"/>
              <w:keepLines w:val="0"/>
              <w:pageBreakBefore w:val="0"/>
              <w:widowControl w:val="0"/>
              <w:tabs>
                <w:tab w:val="left" w:pos="610"/>
              </w:tabs>
              <w:kinsoku/>
              <w:wordWrap/>
              <w:overflowPunct/>
              <w:topLinePunct w:val="0"/>
              <w:autoSpaceDE/>
              <w:autoSpaceDN/>
              <w:bidi w:val="0"/>
              <w:adjustRightInd w:val="0"/>
              <w:snapToGrid w:val="0"/>
              <w:spacing w:line="520" w:lineRule="exact"/>
              <w:textAlignment w:val="auto"/>
              <w:outlineLvl w:val="9"/>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 xml:space="preserve">   </w:t>
            </w:r>
            <w:r>
              <w:rPr>
                <w:rFonts w:hint="eastAsia" w:ascii="黑体" w:hAnsi="黑体" w:eastAsia="黑体" w:cs="黑体"/>
                <w:b w:val="0"/>
                <w:bCs/>
                <w:color w:val="auto"/>
                <w:sz w:val="28"/>
                <w:szCs w:val="28"/>
                <w:lang w:val="en-US" w:eastAsia="zh-CN"/>
              </w:rPr>
              <w:t>三、编制依据</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w:t>
            </w:r>
            <w:r>
              <w:rPr>
                <w:rFonts w:hint="eastAsia" w:ascii="仿宋" w:hAnsi="仿宋" w:eastAsia="仿宋" w:cs="仿宋"/>
                <w:color w:val="auto"/>
                <w:sz w:val="28"/>
                <w:szCs w:val="28"/>
                <w:highlight w:val="none"/>
                <w:lang w:val="en-US" w:eastAsia="zh-CN"/>
              </w:rPr>
              <w:t>海口市大致坡镇中心小学运动场改造工程项目</w:t>
            </w:r>
            <w:r>
              <w:rPr>
                <w:rFonts w:hint="eastAsia" w:ascii="仿宋" w:hAnsi="仿宋" w:eastAsia="仿宋" w:cs="仿宋"/>
                <w:color w:val="auto"/>
                <w:kern w:val="0"/>
                <w:sz w:val="28"/>
                <w:szCs w:val="28"/>
                <w:highlight w:val="none"/>
                <w:lang w:val="en-US" w:eastAsia="zh-CN"/>
              </w:rPr>
              <w:t xml:space="preserve">项目施工图》； </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2.2013年建设部颁布的《建设工程工程量清单计价规范》（GB50500-2013）；</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3.海南省住房和城乡建设厅颁布的2017版《海南省市政工程综合定额》、《海南省房屋建筑与装饰工程综合定额》、《海南省安装工程综合定额》、2019版《海南省园林绿化工程综合定额》；</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4.海南省住房和城乡建设厅发布的《关于调整我省建设工程安全防护、文明施工措施费的通知》（琼建定[2018]48号）；</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5.海南省住房和城乡建设厅发布的《关于调整海南省建设工程增值税税率的通知》（琼建定[2019]100号）；</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6.海南省住房和城乡建设厅文件《关于调整海南省建设工程社会保险费率的通知》（琼建定[2019]128号）；</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9.本工程施工图纸说明、标准图集；</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10.其它有关编制工程量清单计价文件和规定。</w:t>
            </w:r>
          </w:p>
          <w:p>
            <w:pPr>
              <w:keepNext w:val="0"/>
              <w:keepLines w:val="0"/>
              <w:pageBreakBefore w:val="0"/>
              <w:widowControl w:val="0"/>
              <w:tabs>
                <w:tab w:val="left" w:pos="610"/>
              </w:tabs>
              <w:kinsoku/>
              <w:wordWrap/>
              <w:overflowPunct/>
              <w:topLinePunct w:val="0"/>
              <w:autoSpaceDE/>
              <w:autoSpaceDN/>
              <w:bidi w:val="0"/>
              <w:adjustRightInd w:val="0"/>
              <w:snapToGrid w:val="0"/>
              <w:spacing w:line="520" w:lineRule="exact"/>
              <w:textAlignment w:val="auto"/>
              <w:outlineLvl w:val="9"/>
              <w:rPr>
                <w:rFonts w:hint="eastAsia" w:ascii="黑体" w:hAnsi="黑体" w:eastAsia="黑体" w:cs="黑体"/>
                <w:color w:val="auto"/>
                <w:kern w:val="0"/>
                <w:sz w:val="28"/>
                <w:szCs w:val="28"/>
                <w:highlight w:val="none"/>
                <w:lang w:val="en-US" w:eastAsia="zh-CN"/>
              </w:rPr>
            </w:pPr>
            <w:r>
              <w:rPr>
                <w:rFonts w:hint="eastAsia" w:ascii="黑体" w:hAnsi="黑体" w:eastAsia="黑体" w:cs="黑体"/>
                <w:color w:val="auto"/>
                <w:kern w:val="0"/>
                <w:sz w:val="28"/>
                <w:szCs w:val="28"/>
                <w:highlight w:val="none"/>
                <w:lang w:val="en-US" w:eastAsia="zh-CN"/>
              </w:rPr>
              <w:t>四、编制方法</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本工程量清单根据《建设工程工程量清单计价规范》（GB50500-2013）及相关定额的计价、计量规则规定，结合项目相关图纸资料进行编制。</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1.分部分项工程和单价措施项目清单与计价表</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本招标控制价分部分项工程量清单与计价表各章节及其细目根据本项目施工图纸和《建筑工程施工质量验收统一标准》（GB50300-2001）及《建设工程工程量清单计价规范》（GB50500-2013）设置，按照统一的项目编码、项目名称、计量单位和工程量计算规则进行编制。项目特征及工作内容详见《建设工程工程量清单计价规范》（GB50500-2013）相应规定。</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2.总价措施项目清单与计价表</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2.1本表适用于以费率计价的措施项目。其中建筑施工行业安全生产责任保险不得作为竞争性费用。安全文明施工费、建筑施工行业安全生产责任保险的费用构成按建设行政主管部门发布的有关文件执行。建施安责险结算凭实际缴纳保费发票办理；</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2.2本表其余项目由投标人自主报价；</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0"/>
                <w:sz w:val="28"/>
                <w:szCs w:val="28"/>
                <w:highlight w:val="none"/>
                <w:lang w:val="en-US" w:eastAsia="zh-CN"/>
              </w:rPr>
              <w:t>2.3投标人采取的措施必须满足合同、招标文件技术要求及海口市政府有关部门的规定要求。</w:t>
            </w:r>
          </w:p>
          <w:p>
            <w:pPr>
              <w:keepNext w:val="0"/>
              <w:keepLines w:val="0"/>
              <w:pageBreakBefore w:val="0"/>
              <w:widowControl w:val="0"/>
              <w:tabs>
                <w:tab w:val="left" w:pos="610"/>
              </w:tabs>
              <w:kinsoku/>
              <w:wordWrap/>
              <w:overflowPunct/>
              <w:topLinePunct w:val="0"/>
              <w:autoSpaceDE/>
              <w:autoSpaceDN/>
              <w:bidi w:val="0"/>
              <w:adjustRightInd w:val="0"/>
              <w:snapToGrid w:val="0"/>
              <w:spacing w:line="520" w:lineRule="exact"/>
              <w:textAlignment w:val="auto"/>
              <w:outlineLvl w:val="9"/>
              <w:rPr>
                <w:rFonts w:hint="eastAsia" w:ascii="黑体" w:hAnsi="黑体" w:eastAsia="黑体" w:cs="黑体"/>
                <w:color w:val="auto"/>
                <w:kern w:val="0"/>
                <w:sz w:val="28"/>
                <w:szCs w:val="28"/>
                <w:highlight w:val="none"/>
                <w:lang w:val="en-US" w:eastAsia="zh-CN"/>
              </w:rPr>
            </w:pPr>
            <w:r>
              <w:rPr>
                <w:rFonts w:hint="eastAsia" w:ascii="黑体" w:hAnsi="黑体" w:eastAsia="黑体" w:cs="黑体"/>
                <w:color w:val="auto"/>
                <w:kern w:val="0"/>
                <w:sz w:val="28"/>
                <w:szCs w:val="28"/>
                <w:highlight w:val="none"/>
                <w:lang w:val="en-US" w:eastAsia="zh-CN"/>
              </w:rPr>
              <w:t>五、计算说明</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1.工程量清单项目的计量除招标文件特别说明及合同约定外，均按照本工程工程量清单中的响应项目和《建设工程工程量清单计价规范》（GB50500-2013）附录工程量计量规则进行计量。</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2.工程量清单中以“项”计的措施费为限高价，在实施过程中应提供方案及现场工作量情况记录，按实际发生结算，且工程结算价不能高于此限高价。</w:t>
            </w:r>
          </w:p>
          <w:p>
            <w:pPr>
              <w:keepNext w:val="0"/>
              <w:keepLines w:val="0"/>
              <w:pageBreakBefore w:val="0"/>
              <w:tabs>
                <w:tab w:val="left" w:pos="610"/>
              </w:tabs>
              <w:kinsoku/>
              <w:wordWrap/>
              <w:overflowPunct/>
              <w:topLinePunct w:val="0"/>
              <w:autoSpaceDE/>
              <w:autoSpaceDN/>
              <w:bidi w:val="0"/>
              <w:adjustRightInd w:val="0"/>
              <w:snapToGrid w:val="0"/>
              <w:spacing w:line="520" w:lineRule="exact"/>
              <w:textAlignment w:val="auto"/>
              <w:outlineLvl w:val="9"/>
              <w:rPr>
                <w:rFonts w:hint="eastAsia" w:ascii="黑体" w:hAnsi="黑体" w:eastAsia="黑体" w:cs="黑体"/>
                <w:color w:val="auto"/>
                <w:kern w:val="0"/>
                <w:sz w:val="28"/>
                <w:szCs w:val="28"/>
                <w:highlight w:val="none"/>
                <w:lang w:val="en-US" w:eastAsia="zh-CN"/>
              </w:rPr>
            </w:pPr>
            <w:r>
              <w:rPr>
                <w:rFonts w:hint="eastAsia" w:ascii="黑体" w:hAnsi="黑体" w:eastAsia="黑体" w:cs="黑体"/>
                <w:color w:val="auto"/>
                <w:kern w:val="0"/>
                <w:sz w:val="28"/>
                <w:szCs w:val="28"/>
                <w:highlight w:val="none"/>
                <w:lang w:val="en-US" w:eastAsia="zh-CN"/>
              </w:rPr>
              <w:t>六、组价说明</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本工程量清单主要由分部分项工程和单价措施项目清单与计价表、总价措施项目清单与计价表、其他项目计价表、规费和税金项目计价表等组成。</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9"/>
              <w:rPr>
                <w:rFonts w:hint="eastAsia" w:ascii="仿宋" w:hAnsi="仿宋" w:eastAsia="仿宋" w:cs="仿宋"/>
                <w:color w:val="auto"/>
                <w:kern w:val="0"/>
                <w:sz w:val="28"/>
                <w:szCs w:val="28"/>
                <w:highlight w:val="none"/>
              </w:rPr>
            </w:pPr>
            <w:r>
              <w:rPr>
                <w:rFonts w:hint="eastAsia" w:ascii="黑体" w:hAnsi="黑体" w:eastAsia="黑体" w:cs="黑体"/>
                <w:color w:val="auto"/>
                <w:kern w:val="0"/>
                <w:sz w:val="28"/>
                <w:szCs w:val="28"/>
                <w:highlight w:val="none"/>
                <w:lang w:val="en-US" w:eastAsia="zh-CN"/>
              </w:rPr>
              <w:t>七、</w:t>
            </w:r>
            <w:r>
              <w:rPr>
                <w:rFonts w:hint="eastAsia" w:ascii="黑体" w:hAnsi="黑体" w:eastAsia="黑体" w:cs="黑体"/>
                <w:b w:val="0"/>
                <w:bCs w:val="0"/>
                <w:color w:val="auto"/>
                <w:kern w:val="0"/>
                <w:sz w:val="28"/>
                <w:szCs w:val="28"/>
                <w:highlight w:val="none"/>
              </w:rPr>
              <w:t>其他说明事项</w:t>
            </w:r>
            <w:r>
              <w:rPr>
                <w:rFonts w:hint="eastAsia" w:ascii="仿宋" w:hAnsi="仿宋" w:eastAsia="仿宋" w:cs="仿宋"/>
                <w:b/>
                <w:bCs/>
                <w:color w:val="auto"/>
                <w:kern w:val="0"/>
                <w:sz w:val="28"/>
                <w:szCs w:val="28"/>
                <w:highlight w:val="none"/>
              </w:rPr>
              <w:t xml:space="preserve">   </w:t>
            </w:r>
            <w:r>
              <w:rPr>
                <w:rFonts w:hint="eastAsia" w:ascii="仿宋" w:hAnsi="仿宋" w:eastAsia="仿宋" w:cs="仿宋"/>
                <w:color w:val="auto"/>
                <w:kern w:val="0"/>
                <w:sz w:val="28"/>
                <w:szCs w:val="28"/>
                <w:highlight w:val="none"/>
              </w:rPr>
              <w:t xml:space="preserve">  </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1.全线可利用挖方考虑场内综合平衡；</w:t>
            </w:r>
          </w:p>
          <w:p>
            <w:pPr>
              <w:keepNext w:val="0"/>
              <w:keepLines w:val="0"/>
              <w:pageBreakBefore w:val="0"/>
              <w:tabs>
                <w:tab w:val="left" w:pos="610"/>
              </w:tabs>
              <w:kinsoku/>
              <w:wordWrap/>
              <w:overflowPunct/>
              <w:topLinePunct w:val="0"/>
              <w:autoSpaceDE/>
              <w:autoSpaceDN/>
              <w:bidi w:val="0"/>
              <w:adjustRightInd w:val="0"/>
              <w:snapToGrid w:val="0"/>
              <w:spacing w:line="520" w:lineRule="exact"/>
              <w:ind w:firstLine="618" w:firstLineChars="221"/>
              <w:textAlignment w:val="auto"/>
              <w:outlineLvl w:val="9"/>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2.土石方、淤泥、建筑垃圾、生活垃圾等外弃及弃方运距、场内利用方运距、取、弃方场地位置及租金等均由投标人自行考虑，其费用在相应清单项目投标报价中综合考虑，结算时不予调整;</w:t>
            </w:r>
          </w:p>
        </w:tc>
      </w:tr>
    </w:tbl>
    <w:p>
      <w:pPr>
        <w:jc w:val="center"/>
        <w:outlineLvl w:val="0"/>
        <w:rPr>
          <w:rFonts w:hint="eastAsia" w:ascii="宋体" w:hAnsi="宋体" w:eastAsia="宋体" w:cs="宋体"/>
          <w:b/>
          <w:sz w:val="48"/>
          <w:szCs w:val="48"/>
          <w:lang w:eastAsia="zh-CN"/>
        </w:rPr>
        <w:sectPr>
          <w:pgSz w:w="11906" w:h="16838"/>
          <w:pgMar w:top="1588" w:right="1588" w:bottom="1588" w:left="1588" w:header="851" w:footer="992" w:gutter="0"/>
          <w:cols w:space="720" w:num="1"/>
          <w:titlePg/>
          <w:docGrid w:type="lines" w:linePitch="312" w:charSpace="0"/>
        </w:sectPr>
      </w:pPr>
    </w:p>
    <w:p>
      <w:pPr>
        <w:rPr>
          <w:rFonts w:hint="eastAsia"/>
          <w:lang w:eastAsia="zh-CN"/>
        </w:rPr>
        <w:sectPr>
          <w:pgSz w:w="11906" w:h="16838"/>
          <w:pgMar w:top="1588" w:right="1588" w:bottom="1588" w:left="1588" w:header="851" w:footer="992" w:gutter="0"/>
          <w:cols w:space="720" w:num="1"/>
          <w:titlePg/>
          <w:docGrid w:type="lines" w:linePitch="312" w:charSpace="0"/>
        </w:sectPr>
      </w:pPr>
      <w:r>
        <w:rPr>
          <w:rFonts w:hint="eastAsia"/>
          <w:lang w:eastAsia="zh-CN"/>
        </w:rPr>
        <w:drawing>
          <wp:inline distT="0" distB="0" distL="114300" distR="114300">
            <wp:extent cx="5539740" cy="7835265"/>
            <wp:effectExtent l="0" t="0" r="3810" b="13335"/>
            <wp:docPr id="14" name="图片 14" descr="海口市大致坡镇中心小学运动场改造工程项目工程量清单汇总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海口市大致坡镇中心小学运动场改造工程项目工程量清单汇总表_02"/>
                    <pic:cNvPicPr>
                      <a:picLocks noChangeAspect="1"/>
                    </pic:cNvPicPr>
                  </pic:nvPicPr>
                  <pic:blipFill>
                    <a:blip r:embed="rId4"/>
                    <a:stretch>
                      <a:fillRect/>
                    </a:stretch>
                  </pic:blipFill>
                  <pic:spPr>
                    <a:xfrm>
                      <a:off x="0" y="0"/>
                      <a:ext cx="5539740" cy="7835265"/>
                    </a:xfrm>
                    <a:prstGeom prst="rect">
                      <a:avLst/>
                    </a:prstGeom>
                  </pic:spPr>
                </pic:pic>
              </a:graphicData>
            </a:graphic>
          </wp:inline>
        </w:drawing>
      </w:r>
      <w:r>
        <w:rPr>
          <w:rFonts w:hint="eastAsia"/>
          <w:lang w:eastAsia="zh-CN"/>
        </w:rPr>
        <w:drawing>
          <wp:inline distT="0" distB="0" distL="114300" distR="114300">
            <wp:extent cx="5539740" cy="7835265"/>
            <wp:effectExtent l="0" t="0" r="3810" b="13335"/>
            <wp:docPr id="13" name="图片 13" descr="海口市大致坡镇中心小学运动场改造工程项目工程量清单汇总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海口市大致坡镇中心小学运动场改造工程项目工程量清单汇总表_03"/>
                    <pic:cNvPicPr>
                      <a:picLocks noChangeAspect="1"/>
                    </pic:cNvPicPr>
                  </pic:nvPicPr>
                  <pic:blipFill>
                    <a:blip r:embed="rId5"/>
                    <a:stretch>
                      <a:fillRect/>
                    </a:stretch>
                  </pic:blipFill>
                  <pic:spPr>
                    <a:xfrm>
                      <a:off x="0" y="0"/>
                      <a:ext cx="5539740" cy="7835265"/>
                    </a:xfrm>
                    <a:prstGeom prst="rect">
                      <a:avLst/>
                    </a:prstGeom>
                  </pic:spPr>
                </pic:pic>
              </a:graphicData>
            </a:graphic>
          </wp:inline>
        </w:drawing>
      </w:r>
    </w:p>
    <w:p>
      <w:r>
        <w:rPr>
          <w:rFonts w:hint="eastAsia" w:ascii="宋体" w:hAnsi="宋体" w:eastAsia="宋体" w:cs="宋体"/>
          <w:b/>
          <w:sz w:val="48"/>
          <w:szCs w:val="48"/>
          <w:lang w:eastAsia="zh-CN"/>
        </w:rPr>
        <w:drawing>
          <wp:inline distT="0" distB="0" distL="114300" distR="114300">
            <wp:extent cx="5539740" cy="7835265"/>
            <wp:effectExtent l="0" t="0" r="3810" b="13335"/>
            <wp:docPr id="12" name="图片 12" descr="建筑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建筑工程_00"/>
                    <pic:cNvPicPr>
                      <a:picLocks noChangeAspect="1"/>
                    </pic:cNvPicPr>
                  </pic:nvPicPr>
                  <pic:blipFill>
                    <a:blip r:embed="rId6"/>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11" name="图片 11" descr="建筑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建筑工程_01"/>
                    <pic:cNvPicPr>
                      <a:picLocks noChangeAspect="1"/>
                    </pic:cNvPicPr>
                  </pic:nvPicPr>
                  <pic:blipFill>
                    <a:blip r:embed="rId7"/>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10" name="图片 10" descr="建筑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建筑工程_02"/>
                    <pic:cNvPicPr>
                      <a:picLocks noChangeAspect="1"/>
                    </pic:cNvPicPr>
                  </pic:nvPicPr>
                  <pic:blipFill>
                    <a:blip r:embed="rId8"/>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9" name="图片 9" descr="建筑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建筑工程_03"/>
                    <pic:cNvPicPr>
                      <a:picLocks noChangeAspect="1"/>
                    </pic:cNvPicPr>
                  </pic:nvPicPr>
                  <pic:blipFill>
                    <a:blip r:embed="rId9"/>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8" name="图片 8" descr="建筑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筑工程_04"/>
                    <pic:cNvPicPr>
                      <a:picLocks noChangeAspect="1"/>
                    </pic:cNvPicPr>
                  </pic:nvPicPr>
                  <pic:blipFill>
                    <a:blip r:embed="rId10"/>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7" name="图片 7" descr="建筑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筑工程_05"/>
                    <pic:cNvPicPr>
                      <a:picLocks noChangeAspect="1"/>
                    </pic:cNvPicPr>
                  </pic:nvPicPr>
                  <pic:blipFill>
                    <a:blip r:embed="rId11"/>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6" name="图片 6" descr="建筑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建筑工程_06"/>
                    <pic:cNvPicPr>
                      <a:picLocks noChangeAspect="1"/>
                    </pic:cNvPicPr>
                  </pic:nvPicPr>
                  <pic:blipFill>
                    <a:blip r:embed="rId12"/>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5" name="图片 5" descr="建筑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筑工程_07"/>
                    <pic:cNvPicPr>
                      <a:picLocks noChangeAspect="1"/>
                    </pic:cNvPicPr>
                  </pic:nvPicPr>
                  <pic:blipFill>
                    <a:blip r:embed="rId13"/>
                    <a:stretch>
                      <a:fillRect/>
                    </a:stretch>
                  </pic:blipFill>
                  <pic:spPr>
                    <a:xfrm>
                      <a:off x="0" y="0"/>
                      <a:ext cx="5539740" cy="7835265"/>
                    </a:xfrm>
                    <a:prstGeom prst="rect">
                      <a:avLst/>
                    </a:prstGeom>
                  </pic:spPr>
                </pic:pic>
              </a:graphicData>
            </a:graphic>
          </wp:inline>
        </w:drawing>
      </w:r>
      <w:r>
        <w:rPr>
          <w:rFonts w:hint="eastAsia" w:ascii="宋体" w:hAnsi="宋体" w:eastAsia="宋体" w:cs="宋体"/>
          <w:b/>
          <w:sz w:val="48"/>
          <w:szCs w:val="48"/>
          <w:lang w:eastAsia="zh-CN"/>
        </w:rPr>
        <w:drawing>
          <wp:inline distT="0" distB="0" distL="114300" distR="114300">
            <wp:extent cx="5539740" cy="7835265"/>
            <wp:effectExtent l="0" t="0" r="3810" b="13335"/>
            <wp:docPr id="4" name="图片 4" descr="建筑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筑工程_08"/>
                    <pic:cNvPicPr>
                      <a:picLocks noChangeAspect="1"/>
                    </pic:cNvPicPr>
                  </pic:nvPicPr>
                  <pic:blipFill>
                    <a:blip r:embed="rId14"/>
                    <a:stretch>
                      <a:fillRect/>
                    </a:stretch>
                  </pic:blipFill>
                  <pic:spPr>
                    <a:xfrm>
                      <a:off x="0" y="0"/>
                      <a:ext cx="5539740" cy="7835265"/>
                    </a:xfrm>
                    <a:prstGeom prst="rect">
                      <a:avLst/>
                    </a:prstGeom>
                  </pic:spPr>
                </pic:pic>
              </a:graphicData>
            </a:graphic>
          </wp:inline>
        </w:drawing>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4992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spacing w:beforeAutospacing="1" w:afterAutospacing="1" w:line="360" w:lineRule="auto"/>
      <w:outlineLvl w:val="1"/>
    </w:pPr>
    <w:rPr>
      <w:rFonts w:ascii="Arial" w:hAnsi="Arial" w:eastAsia="黑体"/>
      <w:b/>
      <w:bCs/>
      <w:sz w:val="36"/>
      <w:szCs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sz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2021-08-28T05:27:18Z</dcterms:created>
  <dc:creator>Administrator</dc:creator>
  <cp:lastModifiedBy>鸿鹄之心</cp:lastModifiedBy>
  <dcterms:modified xsi:type="dcterms:W3CDTF">2021-08-28T05:27:24Z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EC6E7DC1C5CE4EDAA0702407CCCC5F90</vt:lpwstr>
  </property>
</Properties>
</file>