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仿宋_GB2312" w:hAnsi="仿宋" w:eastAsia="仿宋_GB2312"/>
          <w:b/>
          <w:bCs/>
          <w:spacing w:val="-12"/>
          <w:kern w:val="44"/>
          <w:sz w:val="48"/>
          <w:szCs w:val="48"/>
        </w:rPr>
      </w:pPr>
      <w:bookmarkStart w:id="0" w:name="_Toc30717_WPSOffice_Type1"/>
      <w:r>
        <w:rPr>
          <w:rFonts w:hint="eastAsia" w:ascii="仿宋_GB2312" w:hAnsi="仿宋" w:eastAsia="仿宋_GB2312"/>
          <w:b/>
          <w:bCs/>
          <w:spacing w:val="-12"/>
          <w:kern w:val="44"/>
          <w:sz w:val="48"/>
          <w:szCs w:val="48"/>
        </w:rPr>
        <w:t>海南省矿产资源总体规划（2021-2025年）</w:t>
      </w:r>
    </w:p>
    <w:p>
      <w:pPr>
        <w:widowControl/>
        <w:spacing w:line="480" w:lineRule="auto"/>
        <w:jc w:val="center"/>
        <w:rPr>
          <w:rFonts w:hint="eastAsia" w:ascii="仿宋_GB2312" w:hAnsi="仿宋" w:eastAsia="仿宋_GB2312"/>
          <w:b/>
          <w:bCs/>
          <w:spacing w:val="-12"/>
          <w:kern w:val="44"/>
          <w:sz w:val="48"/>
          <w:szCs w:val="48"/>
          <w:lang w:eastAsia="zh-CN"/>
        </w:rPr>
      </w:pPr>
      <w:r>
        <w:rPr>
          <w:rFonts w:hint="eastAsia" w:ascii="仿宋_GB2312" w:hAnsi="仿宋" w:eastAsia="仿宋_GB2312"/>
          <w:b/>
          <w:bCs/>
          <w:spacing w:val="-12"/>
          <w:kern w:val="44"/>
          <w:sz w:val="48"/>
          <w:szCs w:val="48"/>
        </w:rPr>
        <w:t>环境影响评价（海域部分）</w:t>
      </w:r>
      <w:r>
        <w:rPr>
          <w:rFonts w:hint="eastAsia" w:ascii="仿宋_GB2312" w:hAnsi="仿宋" w:eastAsia="仿宋_GB2312"/>
          <w:b/>
          <w:bCs/>
          <w:spacing w:val="-12"/>
          <w:kern w:val="44"/>
          <w:sz w:val="48"/>
          <w:szCs w:val="48"/>
          <w:lang w:eastAsia="zh-CN"/>
        </w:rPr>
        <w:t>（四次）</w:t>
      </w:r>
    </w:p>
    <w:p>
      <w:pPr>
        <w:pStyle w:val="23"/>
        <w:ind w:firstLine="240"/>
      </w:pPr>
    </w:p>
    <w:p>
      <w:pPr>
        <w:pStyle w:val="7"/>
        <w:ind w:firstLine="0" w:firstLineChars="0"/>
        <w:jc w:val="center"/>
        <w:rPr>
          <w:rFonts w:ascii="仿宋_GB2312" w:hAnsi="仿宋" w:eastAsia="仿宋_GB2312"/>
          <w:b/>
          <w:sz w:val="72"/>
          <w:szCs w:val="72"/>
        </w:rPr>
      </w:pPr>
      <w:r>
        <w:rPr>
          <w:rFonts w:hint="eastAsia" w:ascii="仿宋_GB2312" w:hAnsi="仿宋" w:eastAsia="仿宋_GB2312"/>
          <w:b/>
          <w:sz w:val="72"/>
          <w:szCs w:val="72"/>
        </w:rPr>
        <w:t>竞争性磋商文件</w:t>
      </w:r>
    </w:p>
    <w:p>
      <w:pPr>
        <w:pStyle w:val="7"/>
        <w:ind w:firstLine="0" w:firstLineChars="0"/>
        <w:jc w:val="center"/>
        <w:rPr>
          <w:rFonts w:hint="eastAsia" w:ascii="仿宋_GB2312" w:hAnsi="仿宋" w:eastAsia="仿宋_GB2312"/>
          <w:b/>
          <w:sz w:val="32"/>
          <w:szCs w:val="32"/>
          <w:lang w:eastAsia="zh-CN"/>
        </w:rPr>
      </w:pPr>
      <w:r>
        <w:rPr>
          <w:rStyle w:val="56"/>
          <w:rFonts w:hint="eastAsia" w:ascii="仿宋_GB2312" w:hAnsi="仿宋" w:eastAsia="仿宋_GB2312"/>
          <w:sz w:val="32"/>
          <w:szCs w:val="32"/>
        </w:rPr>
        <w:t>招标编号：</w:t>
      </w:r>
      <w:r>
        <w:rPr>
          <w:rStyle w:val="56"/>
          <w:rFonts w:hint="eastAsia" w:ascii="仿宋_GB2312" w:hAnsi="仿宋" w:eastAsia="仿宋_GB2312"/>
          <w:sz w:val="32"/>
          <w:szCs w:val="32"/>
          <w:lang w:eastAsia="zh-CN"/>
        </w:rPr>
        <w:t>GGP20210309Q</w:t>
      </w:r>
    </w:p>
    <w:p>
      <w:pPr>
        <w:pStyle w:val="7"/>
        <w:ind w:firstLine="0" w:firstLineChars="0"/>
        <w:jc w:val="both"/>
        <w:rPr>
          <w:rFonts w:ascii="仿宋_GB2312" w:hAnsi="仿宋" w:eastAsia="仿宋_GB2312"/>
          <w:b/>
          <w:sz w:val="52"/>
          <w:szCs w:val="52"/>
        </w:rPr>
      </w:pPr>
      <w:r>
        <w:rPr>
          <w:rFonts w:hint="eastAsia" w:ascii="仿宋_GB2312" w:hAnsi="仿宋" w:eastAsia="仿宋_GB2312" w:cs="宋体"/>
        </w:rPr>
        <w:drawing>
          <wp:anchor distT="0" distB="0" distL="114300" distR="114300" simplePos="0" relativeHeight="251662336" behindDoc="1" locked="0" layoutInCell="1" allowOverlap="1">
            <wp:simplePos x="0" y="0"/>
            <wp:positionH relativeFrom="column">
              <wp:posOffset>1873885</wp:posOffset>
            </wp:positionH>
            <wp:positionV relativeFrom="paragraph">
              <wp:posOffset>501015</wp:posOffset>
            </wp:positionV>
            <wp:extent cx="2189480" cy="2212975"/>
            <wp:effectExtent l="0" t="0" r="1270" b="15875"/>
            <wp:wrapTight wrapText="bothSides">
              <wp:wrapPolygon>
                <wp:start x="0" y="0"/>
                <wp:lineTo x="0" y="21383"/>
                <wp:lineTo x="21425" y="21383"/>
                <wp:lineTo x="21425" y="0"/>
                <wp:lineTo x="0" y="0"/>
              </wp:wrapPolygon>
            </wp:wrapTight>
            <wp:docPr id="2"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V18[4R5P~C}820QJHR_4_1R"/>
                    <pic:cNvPicPr>
                      <a:picLocks noChangeAspect="1" noChangeArrowheads="1"/>
                    </pic:cNvPicPr>
                  </pic:nvPicPr>
                  <pic:blipFill>
                    <a:blip r:embed="rId18"/>
                    <a:srcRect/>
                    <a:stretch>
                      <a:fillRect/>
                    </a:stretch>
                  </pic:blipFill>
                  <pic:spPr>
                    <a:xfrm>
                      <a:off x="0" y="0"/>
                      <a:ext cx="2189480" cy="2212975"/>
                    </a:xfrm>
                    <a:prstGeom prst="rect">
                      <a:avLst/>
                    </a:prstGeom>
                    <a:noFill/>
                    <a:ln w="9525">
                      <a:noFill/>
                      <a:miter lim="800000"/>
                      <a:headEnd/>
                      <a:tailEnd/>
                    </a:ln>
                  </pic:spPr>
                </pic:pic>
              </a:graphicData>
            </a:graphic>
          </wp:anchor>
        </w:drawing>
      </w:r>
    </w:p>
    <w:p>
      <w:pPr>
        <w:pStyle w:val="7"/>
        <w:ind w:firstLine="0" w:firstLineChars="0"/>
        <w:rPr>
          <w:rFonts w:ascii="仿宋_GB2312" w:hAnsi="仿宋" w:eastAsia="仿宋_GB2312"/>
          <w:b/>
          <w:sz w:val="52"/>
          <w:szCs w:val="52"/>
        </w:rPr>
      </w:pPr>
    </w:p>
    <w:p>
      <w:pPr>
        <w:pStyle w:val="7"/>
        <w:ind w:firstLine="0" w:firstLineChars="0"/>
        <w:rPr>
          <w:rFonts w:ascii="仿宋_GB2312" w:hAnsi="仿宋" w:eastAsia="仿宋_GB2312" w:cs="宋体"/>
        </w:rPr>
      </w:pPr>
    </w:p>
    <w:p>
      <w:pPr>
        <w:pStyle w:val="7"/>
        <w:ind w:firstLine="0" w:firstLineChars="0"/>
        <w:rPr>
          <w:rFonts w:ascii="仿宋_GB2312" w:hAnsi="仿宋" w:eastAsia="仿宋_GB2312" w:cs="宋体"/>
        </w:rPr>
      </w:pPr>
    </w:p>
    <w:p>
      <w:pPr>
        <w:pStyle w:val="7"/>
        <w:ind w:firstLine="0" w:firstLineChars="0"/>
        <w:rPr>
          <w:rFonts w:ascii="仿宋_GB2312" w:hAnsi="仿宋" w:eastAsia="仿宋_GB2312" w:cs="宋体"/>
        </w:rPr>
      </w:pPr>
    </w:p>
    <w:p>
      <w:pPr>
        <w:pStyle w:val="7"/>
        <w:ind w:firstLine="0" w:firstLineChars="0"/>
        <w:rPr>
          <w:rFonts w:ascii="仿宋_GB2312" w:hAnsi="仿宋" w:eastAsia="仿宋_GB2312"/>
        </w:rPr>
      </w:pPr>
    </w:p>
    <w:p>
      <w:pPr>
        <w:widowControl/>
        <w:tabs>
          <w:tab w:val="left" w:pos="6972"/>
        </w:tabs>
        <w:spacing w:line="375" w:lineRule="atLeast"/>
        <w:rPr>
          <w:rFonts w:ascii="宋体" w:hAnsi="宋体" w:eastAsia="仿宋_GB2312" w:cs="宋体"/>
          <w:b/>
          <w:bCs/>
          <w:kern w:val="0"/>
        </w:rPr>
      </w:pPr>
      <w:r>
        <w:rPr>
          <w:rFonts w:hint="eastAsia" w:ascii="宋体" w:hAnsi="宋体" w:eastAsia="仿宋_GB2312" w:cs="宋体"/>
          <w:b/>
          <w:bCs/>
          <w:kern w:val="0"/>
        </w:rPr>
        <w:t> </w:t>
      </w:r>
      <w:r>
        <w:rPr>
          <w:rFonts w:ascii="宋体" w:hAnsi="宋体" w:eastAsia="仿宋_GB2312" w:cs="宋体"/>
          <w:b/>
          <w:bCs/>
          <w:kern w:val="0"/>
        </w:rPr>
        <w:tab/>
      </w:r>
    </w:p>
    <w:p>
      <w:pPr>
        <w:pStyle w:val="23"/>
        <w:ind w:firstLine="240"/>
      </w:pPr>
    </w:p>
    <w:p>
      <w:pPr>
        <w:pStyle w:val="23"/>
        <w:ind w:firstLine="240"/>
      </w:pPr>
    </w:p>
    <w:p>
      <w:pPr>
        <w:widowControl/>
        <w:spacing w:line="480" w:lineRule="auto"/>
        <w:ind w:firstLine="1200" w:firstLineChars="500"/>
        <w:rPr>
          <w:rFonts w:ascii="仿宋_GB2312" w:eastAsia="仿宋_GB2312"/>
        </w:rPr>
      </w:pPr>
    </w:p>
    <w:p>
      <w:pPr>
        <w:widowControl/>
        <w:spacing w:line="480" w:lineRule="auto"/>
        <w:ind w:firstLine="1606" w:firstLineChars="500"/>
        <w:rPr>
          <w:rStyle w:val="56"/>
          <w:rFonts w:ascii="仿宋_GB2312" w:hAnsi="仿宋" w:eastAsia="仿宋_GB2312"/>
          <w:sz w:val="32"/>
          <w:szCs w:val="32"/>
        </w:rPr>
      </w:pPr>
      <w:r>
        <w:rPr>
          <w:rStyle w:val="56"/>
          <w:rFonts w:hint="eastAsia" w:ascii="仿宋_GB2312" w:hAnsi="仿宋" w:eastAsia="仿宋_GB2312"/>
          <w:sz w:val="32"/>
          <w:szCs w:val="32"/>
        </w:rPr>
        <w:t>采   购   人：</w:t>
      </w:r>
      <w:r>
        <w:rPr>
          <w:rFonts w:hint="eastAsia" w:ascii="仿宋_GB2312" w:hAnsi="仿宋" w:eastAsia="仿宋_GB2312"/>
          <w:b/>
          <w:bCs/>
          <w:kern w:val="44"/>
          <w:sz w:val="32"/>
          <w:szCs w:val="32"/>
          <w:lang w:val="en-GB"/>
        </w:rPr>
        <w:t>海南省地质环境监测总站</w:t>
      </w:r>
    </w:p>
    <w:p>
      <w:pPr>
        <w:widowControl/>
        <w:spacing w:line="480" w:lineRule="auto"/>
        <w:ind w:firstLine="1606" w:firstLineChars="500"/>
        <w:rPr>
          <w:rStyle w:val="56"/>
          <w:rFonts w:ascii="仿宋_GB2312" w:hAnsi="宋体" w:eastAsia="仿宋_GB2312"/>
          <w:sz w:val="32"/>
          <w:szCs w:val="32"/>
        </w:rPr>
      </w:pPr>
      <w:r>
        <w:rPr>
          <w:rStyle w:val="56"/>
          <w:rFonts w:hint="eastAsia" w:ascii="仿宋_GB2312" w:hAnsi="仿宋" w:eastAsia="仿宋_GB2312"/>
          <w:sz w:val="32"/>
          <w:szCs w:val="32"/>
        </w:rPr>
        <w:t>招标代理机构：海南金政采项目管理有限公司</w:t>
      </w:r>
      <w:r>
        <w:rPr>
          <w:rStyle w:val="56"/>
          <w:rFonts w:hint="eastAsia" w:ascii="宋体" w:hAnsi="宋体" w:eastAsia="仿宋_GB2312"/>
          <w:sz w:val="32"/>
          <w:szCs w:val="32"/>
        </w:rPr>
        <w:t> </w:t>
      </w:r>
    </w:p>
    <w:p>
      <w:pPr>
        <w:pStyle w:val="2"/>
        <w:rPr>
          <w:rFonts w:ascii="仿宋_GB2312" w:eastAsia="仿宋_GB2312"/>
          <w:b/>
        </w:rPr>
      </w:pPr>
    </w:p>
    <w:p>
      <w:pPr>
        <w:widowControl/>
        <w:spacing w:line="480" w:lineRule="auto"/>
        <w:jc w:val="center"/>
        <w:rPr>
          <w:rStyle w:val="56"/>
          <w:rFonts w:ascii="仿宋_GB2312" w:hAnsi="仿宋" w:eastAsia="仿宋_GB2312"/>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437" w:gutter="0"/>
          <w:cols w:space="720" w:num="1"/>
          <w:titlePg/>
          <w:docGrid w:linePitch="312" w:charSpace="0"/>
        </w:sectPr>
      </w:pPr>
      <w:r>
        <w:rPr>
          <w:rStyle w:val="56"/>
          <w:rFonts w:hint="eastAsia" w:ascii="仿宋_GB2312" w:hAnsi="仿宋" w:eastAsia="仿宋_GB2312"/>
          <w:sz w:val="32"/>
          <w:szCs w:val="32"/>
        </w:rPr>
        <w:t>二</w:t>
      </w:r>
      <w:r>
        <w:rPr>
          <w:rStyle w:val="56"/>
          <w:rFonts w:hint="eastAsia" w:ascii="仿宋_GB2312" w:hAnsi="仿宋" w:eastAsia="仿宋"/>
          <w:sz w:val="32"/>
          <w:szCs w:val="32"/>
        </w:rPr>
        <w:t>〇</w:t>
      </w:r>
      <w:r>
        <w:rPr>
          <w:rStyle w:val="56"/>
          <w:rFonts w:hint="eastAsia" w:ascii="仿宋_GB2312" w:hAnsi="仿宋" w:eastAsia="仿宋_GB2312"/>
          <w:sz w:val="32"/>
          <w:szCs w:val="32"/>
        </w:rPr>
        <w:t>二一年五月</w:t>
      </w:r>
    </w:p>
    <w:p>
      <w:pPr>
        <w:widowControl/>
        <w:spacing w:line="480" w:lineRule="auto"/>
        <w:jc w:val="center"/>
        <w:rPr>
          <w:rFonts w:ascii="仿宋_GB2312" w:hAnsi="仿宋" w:eastAsia="仿宋_GB2312" w:cs="宋体"/>
          <w:b/>
          <w:bCs/>
          <w:sz w:val="28"/>
          <w:szCs w:val="28"/>
        </w:rPr>
      </w:pPr>
    </w:p>
    <w:p>
      <w:pPr>
        <w:widowControl/>
        <w:spacing w:line="480" w:lineRule="auto"/>
        <w:jc w:val="center"/>
        <w:rPr>
          <w:rFonts w:ascii="仿宋_GB2312" w:hAnsi="仿宋" w:eastAsia="仿宋_GB2312" w:cs="宋体"/>
          <w:b/>
          <w:bCs/>
          <w:sz w:val="36"/>
          <w:szCs w:val="36"/>
        </w:rPr>
      </w:pPr>
      <w:r>
        <w:rPr>
          <w:rFonts w:hint="eastAsia" w:ascii="仿宋_GB2312" w:hAnsi="仿宋" w:eastAsia="仿宋_GB2312" w:cs="宋体"/>
          <w:b/>
          <w:bCs/>
          <w:sz w:val="36"/>
          <w:szCs w:val="36"/>
        </w:rPr>
        <w:t>目录</w:t>
      </w:r>
    </w:p>
    <w:p>
      <w:pPr>
        <w:pStyle w:val="24"/>
        <w:spacing w:after="0" w:line="360" w:lineRule="auto"/>
        <w:ind w:left="0" w:leftChars="0" w:firstLine="480"/>
        <w:rPr>
          <w:rFonts w:ascii="仿宋_GB2312" w:hAnsi="仿宋" w:eastAsia="仿宋_GB2312" w:cs="宋体"/>
          <w:sz w:val="24"/>
        </w:rPr>
      </w:pPr>
    </w:p>
    <w:p>
      <w:pPr>
        <w:pStyle w:val="24"/>
        <w:spacing w:after="0" w:line="360" w:lineRule="auto"/>
        <w:ind w:left="0" w:leftChars="0" w:firstLine="0" w:firstLineChars="0"/>
        <w:rPr>
          <w:rFonts w:ascii="仿宋_GB2312" w:hAnsi="仿宋" w:eastAsia="仿宋_GB2312" w:cs="宋体"/>
          <w:sz w:val="28"/>
          <w:szCs w:val="28"/>
        </w:rPr>
      </w:pPr>
    </w:p>
    <w:bookmarkEnd w:id="0"/>
    <w:p>
      <w:pPr>
        <w:pStyle w:val="17"/>
        <w:rPr>
          <w:rFonts w:ascii="仿宋_GB2312" w:hAnsi="仿宋" w:eastAsia="仿宋_GB2312" w:cs="宋体"/>
          <w:sz w:val="28"/>
          <w:szCs w:val="28"/>
        </w:rPr>
      </w:pP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TOC \o "1-1" \h \z \u </w:instrText>
      </w:r>
      <w:r>
        <w:rPr>
          <w:rFonts w:hint="eastAsia" w:ascii="仿宋_GB2312" w:hAnsi="仿宋" w:eastAsia="仿宋_GB2312" w:cs="宋体"/>
          <w:sz w:val="28"/>
          <w:szCs w:val="28"/>
        </w:rPr>
        <w:fldChar w:fldCharType="separate"/>
      </w:r>
      <w:r>
        <w:fldChar w:fldCharType="begin"/>
      </w:r>
      <w:r>
        <w:instrText xml:space="preserve"> HYPERLINK \l "_Toc16727396" </w:instrText>
      </w:r>
      <w:r>
        <w:fldChar w:fldCharType="separate"/>
      </w:r>
      <w:r>
        <w:rPr>
          <w:rFonts w:hint="eastAsia" w:ascii="仿宋_GB2312" w:hAnsi="仿宋" w:eastAsia="仿宋_GB2312" w:cs="宋体"/>
          <w:sz w:val="28"/>
          <w:szCs w:val="28"/>
        </w:rPr>
        <w:t>第一章  磋商邀请函</w:t>
      </w:r>
      <w:r>
        <w:rPr>
          <w:rFonts w:hint="eastAsia" w:ascii="仿宋_GB2312" w:hAnsi="仿宋" w:eastAsia="仿宋_GB2312" w:cs="宋体"/>
          <w:sz w:val="28"/>
          <w:szCs w:val="28"/>
        </w:rPr>
        <w:tab/>
      </w: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PAGEREF _Toc16727396 \h </w:instrText>
      </w:r>
      <w:r>
        <w:rPr>
          <w:rFonts w:hint="eastAsia" w:ascii="仿宋_GB2312" w:hAnsi="仿宋" w:eastAsia="仿宋_GB2312" w:cs="宋体"/>
          <w:sz w:val="28"/>
          <w:szCs w:val="28"/>
        </w:rPr>
        <w:fldChar w:fldCharType="separate"/>
      </w:r>
      <w:r>
        <w:rPr>
          <w:rFonts w:hint="eastAsia" w:ascii="仿宋_GB2312" w:hAnsi="仿宋" w:eastAsia="仿宋_GB2312" w:cs="宋体"/>
          <w:sz w:val="28"/>
          <w:szCs w:val="28"/>
        </w:rPr>
        <w:t>2</w:t>
      </w:r>
      <w:r>
        <w:rPr>
          <w:rFonts w:hint="eastAsia" w:ascii="仿宋_GB2312" w:hAnsi="仿宋" w:eastAsia="仿宋_GB2312" w:cs="宋体"/>
          <w:sz w:val="28"/>
          <w:szCs w:val="28"/>
        </w:rPr>
        <w:fldChar w:fldCharType="end"/>
      </w:r>
      <w:r>
        <w:rPr>
          <w:rFonts w:hint="eastAsia" w:ascii="仿宋_GB2312" w:hAnsi="仿宋" w:eastAsia="仿宋_GB2312" w:cs="宋体"/>
          <w:sz w:val="28"/>
          <w:szCs w:val="28"/>
        </w:rPr>
        <w:fldChar w:fldCharType="end"/>
      </w:r>
    </w:p>
    <w:p>
      <w:pPr>
        <w:pStyle w:val="17"/>
        <w:rPr>
          <w:rFonts w:ascii="仿宋_GB2312" w:hAnsi="仿宋" w:eastAsia="仿宋_GB2312" w:cs="宋体"/>
          <w:sz w:val="28"/>
          <w:szCs w:val="28"/>
        </w:rPr>
      </w:pPr>
      <w:r>
        <w:fldChar w:fldCharType="begin"/>
      </w:r>
      <w:r>
        <w:instrText xml:space="preserve"> HYPERLINK \l "_Toc16727397" </w:instrText>
      </w:r>
      <w:r>
        <w:fldChar w:fldCharType="separate"/>
      </w:r>
      <w:r>
        <w:rPr>
          <w:rFonts w:hint="eastAsia" w:ascii="仿宋_GB2312" w:hAnsi="仿宋" w:eastAsia="仿宋_GB2312" w:cs="宋体"/>
          <w:sz w:val="28"/>
          <w:szCs w:val="28"/>
        </w:rPr>
        <w:t>第二章  供应商须知</w:t>
      </w:r>
      <w:r>
        <w:rPr>
          <w:rFonts w:hint="eastAsia" w:ascii="仿宋_GB2312" w:hAnsi="仿宋" w:eastAsia="仿宋_GB2312" w:cs="宋体"/>
          <w:sz w:val="28"/>
          <w:szCs w:val="28"/>
        </w:rPr>
        <w:tab/>
      </w: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PAGEREF _Toc16727397 \h </w:instrText>
      </w:r>
      <w:r>
        <w:rPr>
          <w:rFonts w:hint="eastAsia" w:ascii="仿宋_GB2312" w:hAnsi="仿宋" w:eastAsia="仿宋_GB2312" w:cs="宋体"/>
          <w:sz w:val="28"/>
          <w:szCs w:val="28"/>
        </w:rPr>
        <w:fldChar w:fldCharType="separate"/>
      </w:r>
      <w:r>
        <w:rPr>
          <w:rFonts w:hint="eastAsia" w:ascii="仿宋_GB2312" w:hAnsi="仿宋" w:eastAsia="仿宋_GB2312" w:cs="宋体"/>
          <w:sz w:val="28"/>
          <w:szCs w:val="28"/>
        </w:rPr>
        <w:t>5</w:t>
      </w:r>
      <w:r>
        <w:rPr>
          <w:rFonts w:hint="eastAsia" w:ascii="仿宋_GB2312" w:hAnsi="仿宋" w:eastAsia="仿宋_GB2312" w:cs="宋体"/>
          <w:sz w:val="28"/>
          <w:szCs w:val="28"/>
        </w:rPr>
        <w:fldChar w:fldCharType="end"/>
      </w:r>
      <w:r>
        <w:rPr>
          <w:rFonts w:hint="eastAsia" w:ascii="仿宋_GB2312" w:hAnsi="仿宋" w:eastAsia="仿宋_GB2312" w:cs="宋体"/>
          <w:sz w:val="28"/>
          <w:szCs w:val="28"/>
        </w:rPr>
        <w:fldChar w:fldCharType="end"/>
      </w:r>
    </w:p>
    <w:p>
      <w:pPr>
        <w:pStyle w:val="17"/>
        <w:rPr>
          <w:rFonts w:ascii="仿宋_GB2312" w:hAnsi="仿宋" w:eastAsia="仿宋_GB2312" w:cs="宋体"/>
          <w:sz w:val="28"/>
          <w:szCs w:val="28"/>
        </w:rPr>
      </w:pPr>
      <w:r>
        <w:fldChar w:fldCharType="begin"/>
      </w:r>
      <w:r>
        <w:instrText xml:space="preserve"> HYPERLINK \l "_Toc16727398" </w:instrText>
      </w:r>
      <w:r>
        <w:fldChar w:fldCharType="separate"/>
      </w:r>
      <w:r>
        <w:rPr>
          <w:rFonts w:hint="eastAsia" w:ascii="仿宋_GB2312" w:hAnsi="仿宋" w:eastAsia="仿宋_GB2312" w:cs="宋体"/>
          <w:sz w:val="28"/>
          <w:szCs w:val="28"/>
        </w:rPr>
        <w:t>第三章  采购需求</w:t>
      </w:r>
      <w:r>
        <w:rPr>
          <w:rFonts w:hint="eastAsia" w:ascii="仿宋_GB2312" w:hAnsi="仿宋" w:eastAsia="仿宋_GB2312" w:cs="宋体"/>
          <w:sz w:val="28"/>
          <w:szCs w:val="28"/>
        </w:rPr>
        <w:tab/>
      </w: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PAGEREF _Toc16727398 \h </w:instrText>
      </w:r>
      <w:r>
        <w:rPr>
          <w:rFonts w:hint="eastAsia" w:ascii="仿宋_GB2312" w:hAnsi="仿宋" w:eastAsia="仿宋_GB2312" w:cs="宋体"/>
          <w:sz w:val="28"/>
          <w:szCs w:val="28"/>
        </w:rPr>
        <w:fldChar w:fldCharType="separate"/>
      </w:r>
      <w:r>
        <w:rPr>
          <w:rFonts w:hint="eastAsia" w:ascii="仿宋_GB2312" w:hAnsi="仿宋" w:eastAsia="仿宋_GB2312" w:cs="宋体"/>
          <w:sz w:val="28"/>
          <w:szCs w:val="28"/>
        </w:rPr>
        <w:t>25</w:t>
      </w:r>
      <w:r>
        <w:rPr>
          <w:rFonts w:hint="eastAsia" w:ascii="仿宋_GB2312" w:hAnsi="仿宋" w:eastAsia="仿宋_GB2312" w:cs="宋体"/>
          <w:sz w:val="28"/>
          <w:szCs w:val="28"/>
        </w:rPr>
        <w:fldChar w:fldCharType="end"/>
      </w:r>
      <w:r>
        <w:rPr>
          <w:rFonts w:hint="eastAsia" w:ascii="仿宋_GB2312" w:hAnsi="仿宋" w:eastAsia="仿宋_GB2312" w:cs="宋体"/>
          <w:sz w:val="28"/>
          <w:szCs w:val="28"/>
        </w:rPr>
        <w:fldChar w:fldCharType="end"/>
      </w:r>
    </w:p>
    <w:p>
      <w:pPr>
        <w:pStyle w:val="17"/>
        <w:rPr>
          <w:rFonts w:ascii="仿宋_GB2312" w:hAnsi="仿宋" w:eastAsia="仿宋_GB2312" w:cs="宋体"/>
          <w:sz w:val="28"/>
          <w:szCs w:val="28"/>
        </w:rPr>
      </w:pPr>
      <w:r>
        <w:fldChar w:fldCharType="begin"/>
      </w:r>
      <w:r>
        <w:instrText xml:space="preserve"> HYPERLINK \l "_Toc16727399" </w:instrText>
      </w:r>
      <w:r>
        <w:fldChar w:fldCharType="separate"/>
      </w:r>
      <w:r>
        <w:rPr>
          <w:rFonts w:hint="eastAsia" w:ascii="仿宋_GB2312" w:hAnsi="仿宋" w:eastAsia="仿宋_GB2312" w:cs="宋体"/>
          <w:sz w:val="28"/>
          <w:szCs w:val="28"/>
        </w:rPr>
        <w:t>第四章  合同草案的条款</w:t>
      </w:r>
      <w:r>
        <w:rPr>
          <w:rFonts w:hint="eastAsia" w:ascii="仿宋_GB2312" w:hAnsi="仿宋" w:eastAsia="仿宋_GB2312" w:cs="宋体"/>
          <w:sz w:val="28"/>
          <w:szCs w:val="28"/>
        </w:rPr>
        <w:tab/>
      </w: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PAGEREF _Toc16727399 \h </w:instrText>
      </w:r>
      <w:r>
        <w:rPr>
          <w:rFonts w:hint="eastAsia" w:ascii="仿宋_GB2312" w:hAnsi="仿宋" w:eastAsia="仿宋_GB2312" w:cs="宋体"/>
          <w:sz w:val="28"/>
          <w:szCs w:val="28"/>
        </w:rPr>
        <w:fldChar w:fldCharType="separate"/>
      </w:r>
      <w:r>
        <w:rPr>
          <w:rFonts w:hint="eastAsia" w:ascii="仿宋_GB2312" w:hAnsi="仿宋" w:eastAsia="仿宋_GB2312" w:cs="宋体"/>
          <w:sz w:val="28"/>
          <w:szCs w:val="28"/>
        </w:rPr>
        <w:t>28</w:t>
      </w:r>
      <w:r>
        <w:rPr>
          <w:rFonts w:hint="eastAsia" w:ascii="仿宋_GB2312" w:hAnsi="仿宋" w:eastAsia="仿宋_GB2312" w:cs="宋体"/>
          <w:sz w:val="28"/>
          <w:szCs w:val="28"/>
        </w:rPr>
        <w:fldChar w:fldCharType="end"/>
      </w:r>
      <w:r>
        <w:rPr>
          <w:rFonts w:hint="eastAsia" w:ascii="仿宋_GB2312" w:hAnsi="仿宋" w:eastAsia="仿宋_GB2312" w:cs="宋体"/>
          <w:sz w:val="28"/>
          <w:szCs w:val="28"/>
        </w:rPr>
        <w:fldChar w:fldCharType="end"/>
      </w:r>
    </w:p>
    <w:p>
      <w:pPr>
        <w:pStyle w:val="17"/>
        <w:rPr>
          <w:rFonts w:ascii="仿宋_GB2312" w:hAnsi="仿宋" w:eastAsia="仿宋_GB2312" w:cs="宋体"/>
          <w:sz w:val="28"/>
          <w:szCs w:val="28"/>
        </w:rPr>
      </w:pPr>
      <w:r>
        <w:fldChar w:fldCharType="begin"/>
      </w:r>
      <w:r>
        <w:instrText xml:space="preserve"> HYPERLINK \l "_Toc16727400" </w:instrText>
      </w:r>
      <w:r>
        <w:fldChar w:fldCharType="separate"/>
      </w:r>
      <w:r>
        <w:rPr>
          <w:rFonts w:hint="eastAsia" w:ascii="仿宋_GB2312" w:hAnsi="仿宋" w:eastAsia="仿宋_GB2312" w:cs="宋体"/>
          <w:sz w:val="28"/>
          <w:szCs w:val="28"/>
        </w:rPr>
        <w:t>第五章  评审方法、标准及程序</w:t>
      </w:r>
      <w:r>
        <w:rPr>
          <w:rFonts w:hint="eastAsia" w:ascii="仿宋_GB2312" w:hAnsi="仿宋" w:eastAsia="仿宋_GB2312" w:cs="宋体"/>
          <w:sz w:val="28"/>
          <w:szCs w:val="28"/>
        </w:rPr>
        <w:tab/>
      </w: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PAGEREF _Toc16727400 \h </w:instrText>
      </w:r>
      <w:r>
        <w:rPr>
          <w:rFonts w:hint="eastAsia" w:ascii="仿宋_GB2312" w:hAnsi="仿宋" w:eastAsia="仿宋_GB2312" w:cs="宋体"/>
          <w:sz w:val="28"/>
          <w:szCs w:val="28"/>
        </w:rPr>
        <w:fldChar w:fldCharType="separate"/>
      </w:r>
      <w:r>
        <w:rPr>
          <w:rFonts w:hint="eastAsia" w:ascii="仿宋_GB2312" w:hAnsi="仿宋" w:eastAsia="仿宋_GB2312" w:cs="宋体"/>
          <w:sz w:val="28"/>
          <w:szCs w:val="28"/>
        </w:rPr>
        <w:t>27</w:t>
      </w:r>
      <w:r>
        <w:rPr>
          <w:rFonts w:hint="eastAsia" w:ascii="仿宋_GB2312" w:hAnsi="仿宋" w:eastAsia="仿宋_GB2312" w:cs="宋体"/>
          <w:sz w:val="28"/>
          <w:szCs w:val="28"/>
        </w:rPr>
        <w:fldChar w:fldCharType="end"/>
      </w:r>
      <w:r>
        <w:rPr>
          <w:rFonts w:hint="eastAsia" w:ascii="仿宋_GB2312" w:hAnsi="仿宋" w:eastAsia="仿宋_GB2312" w:cs="宋体"/>
          <w:sz w:val="28"/>
          <w:szCs w:val="28"/>
        </w:rPr>
        <w:fldChar w:fldCharType="end"/>
      </w:r>
    </w:p>
    <w:p>
      <w:pPr>
        <w:pStyle w:val="17"/>
        <w:rPr>
          <w:rFonts w:ascii="仿宋_GB2312" w:hAnsi="仿宋" w:eastAsia="仿宋_GB2312" w:cs="宋体"/>
          <w:sz w:val="28"/>
          <w:szCs w:val="28"/>
        </w:rPr>
      </w:pPr>
      <w:r>
        <w:fldChar w:fldCharType="begin"/>
      </w:r>
      <w:r>
        <w:instrText xml:space="preserve"> HYPERLINK \l "_Toc16727401" </w:instrText>
      </w:r>
      <w:r>
        <w:fldChar w:fldCharType="separate"/>
      </w:r>
      <w:r>
        <w:rPr>
          <w:rFonts w:hint="eastAsia" w:ascii="仿宋_GB2312" w:hAnsi="仿宋" w:eastAsia="仿宋_GB2312" w:cs="宋体"/>
          <w:sz w:val="28"/>
          <w:szCs w:val="28"/>
        </w:rPr>
        <w:t>第六章  响应文件内容及格式</w:t>
      </w:r>
      <w:r>
        <w:rPr>
          <w:rFonts w:hint="eastAsia" w:ascii="仿宋_GB2312" w:hAnsi="仿宋" w:eastAsia="仿宋_GB2312" w:cs="宋体"/>
          <w:sz w:val="28"/>
          <w:szCs w:val="28"/>
        </w:rPr>
        <w:tab/>
      </w:r>
      <w:r>
        <w:rPr>
          <w:rFonts w:hint="eastAsia" w:ascii="仿宋_GB2312" w:hAnsi="仿宋" w:eastAsia="仿宋_GB2312" w:cs="宋体"/>
          <w:sz w:val="28"/>
          <w:szCs w:val="28"/>
        </w:rPr>
        <w:fldChar w:fldCharType="begin"/>
      </w:r>
      <w:r>
        <w:rPr>
          <w:rFonts w:hint="eastAsia" w:ascii="仿宋_GB2312" w:hAnsi="仿宋" w:eastAsia="仿宋_GB2312" w:cs="宋体"/>
          <w:sz w:val="28"/>
          <w:szCs w:val="28"/>
        </w:rPr>
        <w:instrText xml:space="preserve"> PAGEREF _Toc16727401 \h </w:instrText>
      </w:r>
      <w:r>
        <w:rPr>
          <w:rFonts w:hint="eastAsia" w:ascii="仿宋_GB2312" w:hAnsi="仿宋" w:eastAsia="仿宋_GB2312" w:cs="宋体"/>
          <w:sz w:val="28"/>
          <w:szCs w:val="28"/>
        </w:rPr>
        <w:fldChar w:fldCharType="separate"/>
      </w:r>
      <w:r>
        <w:rPr>
          <w:rFonts w:hint="eastAsia" w:ascii="仿宋_GB2312" w:hAnsi="仿宋" w:eastAsia="仿宋_GB2312" w:cs="宋体"/>
          <w:sz w:val="28"/>
          <w:szCs w:val="28"/>
        </w:rPr>
        <w:t>40</w:t>
      </w:r>
      <w:r>
        <w:rPr>
          <w:rFonts w:hint="eastAsia" w:ascii="仿宋_GB2312" w:hAnsi="仿宋" w:eastAsia="仿宋_GB2312" w:cs="宋体"/>
          <w:sz w:val="28"/>
          <w:szCs w:val="28"/>
        </w:rPr>
        <w:fldChar w:fldCharType="end"/>
      </w:r>
      <w:r>
        <w:rPr>
          <w:rFonts w:hint="eastAsia" w:ascii="仿宋_GB2312" w:hAnsi="仿宋" w:eastAsia="仿宋_GB2312" w:cs="宋体"/>
          <w:sz w:val="28"/>
          <w:szCs w:val="28"/>
        </w:rPr>
        <w:fldChar w:fldCharType="end"/>
      </w:r>
    </w:p>
    <w:p>
      <w:pPr>
        <w:pStyle w:val="16"/>
        <w:tabs>
          <w:tab w:val="clear" w:pos="4153"/>
          <w:tab w:val="clear" w:pos="8306"/>
        </w:tabs>
        <w:rPr>
          <w:rFonts w:ascii="仿宋_GB2312" w:hAnsi="仿宋" w:eastAsia="仿宋_GB2312" w:cs="宋体"/>
          <w:sz w:val="24"/>
          <w:szCs w:val="24"/>
        </w:rPr>
      </w:pPr>
      <w:r>
        <w:rPr>
          <w:rFonts w:hint="eastAsia" w:ascii="仿宋_GB2312" w:hAnsi="仿宋" w:eastAsia="仿宋_GB2312" w:cs="宋体"/>
          <w:kern w:val="2"/>
          <w:sz w:val="28"/>
          <w:szCs w:val="28"/>
        </w:rPr>
        <w:fldChar w:fldCharType="end"/>
      </w:r>
    </w:p>
    <w:p>
      <w:pPr>
        <w:pStyle w:val="16"/>
        <w:tabs>
          <w:tab w:val="clear" w:pos="4153"/>
          <w:tab w:val="clear" w:pos="8306"/>
        </w:tabs>
        <w:rPr>
          <w:rFonts w:ascii="仿宋_GB2312" w:hAnsi="仿宋" w:eastAsia="仿宋_GB2312" w:cs="宋体"/>
          <w:sz w:val="24"/>
          <w:szCs w:val="24"/>
        </w:rPr>
      </w:pPr>
    </w:p>
    <w:p>
      <w:pPr>
        <w:pStyle w:val="16"/>
        <w:tabs>
          <w:tab w:val="clear" w:pos="4153"/>
          <w:tab w:val="clear" w:pos="8306"/>
        </w:tabs>
        <w:rPr>
          <w:rFonts w:ascii="仿宋_GB2312" w:hAnsi="仿宋" w:eastAsia="仿宋_GB2312" w:cs="宋体"/>
          <w:sz w:val="24"/>
          <w:szCs w:val="24"/>
        </w:rPr>
      </w:pPr>
    </w:p>
    <w:p>
      <w:pPr>
        <w:ind w:firstLine="2886" w:firstLineChars="1198"/>
        <w:rPr>
          <w:rFonts w:ascii="仿宋_GB2312" w:hAnsi="仿宋" w:eastAsia="仿宋_GB2312" w:cs="宋体"/>
          <w:b/>
          <w:kern w:val="0"/>
        </w:rPr>
      </w:pPr>
    </w:p>
    <w:p>
      <w:pPr>
        <w:ind w:firstLine="2886" w:firstLineChars="1198"/>
        <w:rPr>
          <w:rFonts w:ascii="仿宋_GB2312" w:hAnsi="仿宋" w:eastAsia="仿宋_GB2312" w:cs="宋体"/>
          <w:b/>
          <w:kern w:val="0"/>
        </w:rPr>
      </w:pPr>
    </w:p>
    <w:p>
      <w:pPr>
        <w:rPr>
          <w:rFonts w:ascii="仿宋_GB2312" w:hAnsi="仿宋" w:eastAsia="仿宋_GB2312" w:cs="宋体"/>
          <w:b/>
          <w:kern w:val="0"/>
        </w:rPr>
      </w:pPr>
    </w:p>
    <w:p>
      <w:pPr>
        <w:pStyle w:val="3"/>
        <w:spacing w:before="0" w:after="0"/>
        <w:jc w:val="both"/>
        <w:rPr>
          <w:rFonts w:ascii="仿宋_GB2312" w:hAnsi="仿宋" w:eastAsia="仿宋_GB2312" w:cs="宋体"/>
          <w:sz w:val="24"/>
          <w:szCs w:val="24"/>
        </w:rPr>
        <w:sectPr>
          <w:footerReference r:id="rId12" w:type="first"/>
          <w:footerReference r:id="rId11" w:type="default"/>
          <w:pgSz w:w="11906" w:h="16838"/>
          <w:pgMar w:top="1418" w:right="1418" w:bottom="1418" w:left="1418" w:header="851" w:footer="437" w:gutter="0"/>
          <w:pgNumType w:start="1"/>
          <w:cols w:space="720" w:num="1"/>
          <w:docGrid w:linePitch="312" w:charSpace="0"/>
        </w:sectPr>
      </w:pPr>
    </w:p>
    <w:p>
      <w:pPr>
        <w:pStyle w:val="3"/>
        <w:spacing w:before="0" w:after="0"/>
        <w:rPr>
          <w:rFonts w:ascii="仿宋_GB2312" w:hAnsi="仿宋" w:eastAsia="仿宋_GB2312" w:cs="宋体"/>
          <w:sz w:val="32"/>
          <w:szCs w:val="32"/>
        </w:rPr>
      </w:pPr>
      <w:bookmarkStart w:id="1" w:name="_Toc16727396"/>
      <w:bookmarkStart w:id="2" w:name="_Toc16535_WPSOffice_Level1"/>
      <w:bookmarkStart w:id="3" w:name="_Toc11507"/>
      <w:r>
        <w:rPr>
          <w:rFonts w:hint="eastAsia" w:ascii="仿宋_GB2312" w:hAnsi="仿宋" w:eastAsia="仿宋_GB2312" w:cs="宋体"/>
          <w:sz w:val="32"/>
          <w:szCs w:val="32"/>
        </w:rPr>
        <w:t xml:space="preserve">第一章  </w:t>
      </w:r>
      <w:bookmarkEnd w:id="1"/>
      <w:bookmarkEnd w:id="2"/>
      <w:bookmarkEnd w:id="3"/>
      <w:r>
        <w:rPr>
          <w:rFonts w:hint="eastAsia" w:ascii="仿宋_GB2312" w:hAnsi="仿宋" w:eastAsia="仿宋_GB2312" w:cs="宋体"/>
          <w:sz w:val="32"/>
          <w:szCs w:val="32"/>
        </w:rPr>
        <w:t>磋商邀请函</w:t>
      </w:r>
    </w:p>
    <w:p>
      <w:pPr>
        <w:adjustRightInd w:val="0"/>
        <w:snapToGrid w:val="0"/>
        <w:ind w:firstLine="660" w:firstLineChars="236"/>
        <w:rPr>
          <w:rFonts w:ascii="仿宋_GB2312" w:hAnsi="仿宋" w:eastAsia="仿宋_GB2312" w:cs="宋体"/>
          <w:bCs/>
          <w:kern w:val="0"/>
          <w:sz w:val="28"/>
          <w:szCs w:val="28"/>
          <w:lang w:val="en-GB"/>
        </w:rPr>
      </w:pPr>
      <w:r>
        <w:rPr>
          <w:rFonts w:hint="eastAsia" w:ascii="仿宋_GB2312" w:hAnsi="仿宋" w:eastAsia="仿宋_GB2312" w:cs="宋体"/>
          <w:bCs/>
          <w:kern w:val="0"/>
          <w:sz w:val="28"/>
          <w:szCs w:val="28"/>
          <w:lang w:val="en-GB"/>
        </w:rPr>
        <w:t>受海南省地质环境监测总站的委托，海南金政采项目管理有限公司对海南省矿产资源总体规划（2021-2025年）环境影响评价（海域部分）</w:t>
      </w:r>
      <w:r>
        <w:rPr>
          <w:rFonts w:hint="eastAsia" w:ascii="仿宋_GB2312" w:hAnsi="仿宋" w:eastAsia="仿宋_GB2312" w:cs="宋体"/>
          <w:bCs/>
          <w:kern w:val="0"/>
          <w:sz w:val="28"/>
          <w:szCs w:val="28"/>
          <w:lang w:val="en-GB" w:eastAsia="zh-CN"/>
        </w:rPr>
        <w:t>（四次）</w:t>
      </w:r>
      <w:r>
        <w:rPr>
          <w:rFonts w:hint="eastAsia" w:ascii="仿宋_GB2312" w:hAnsi="仿宋" w:eastAsia="仿宋_GB2312" w:cs="宋体"/>
          <w:bCs/>
          <w:kern w:val="0"/>
          <w:sz w:val="28"/>
          <w:szCs w:val="28"/>
          <w:lang w:val="en-GB"/>
        </w:rPr>
        <w:t>进行竞争性磋商采购，诚邀合格供应商前来参加磋商。</w:t>
      </w:r>
    </w:p>
    <w:p>
      <w:pPr>
        <w:pStyle w:val="4"/>
        <w:adjustRightInd w:val="0"/>
        <w:snapToGrid w:val="0"/>
        <w:rPr>
          <w:rFonts w:ascii="仿宋_GB2312" w:hAnsi="仿宋" w:eastAsia="仿宋_GB2312" w:cs="宋体"/>
          <w:sz w:val="28"/>
          <w:szCs w:val="28"/>
        </w:rPr>
      </w:pPr>
      <w:bookmarkStart w:id="4" w:name="OLE_LINK3"/>
      <w:r>
        <w:rPr>
          <w:rFonts w:hint="eastAsia" w:ascii="仿宋_GB2312" w:hAnsi="仿宋" w:eastAsia="仿宋_GB2312" w:cs="宋体"/>
          <w:sz w:val="28"/>
          <w:szCs w:val="28"/>
        </w:rPr>
        <w:t>一、项目简介</w:t>
      </w:r>
    </w:p>
    <w:bookmarkEnd w:id="4"/>
    <w:p>
      <w:pPr>
        <w:widowControl/>
        <w:adjustRightInd w:val="0"/>
        <w:snapToGrid w:val="0"/>
        <w:ind w:firstLine="560" w:firstLineChars="200"/>
        <w:rPr>
          <w:rFonts w:hint="eastAsia" w:ascii="仿宋_GB2312" w:hAnsi="仿宋" w:eastAsia="仿宋_GB2312" w:cs="宋体"/>
          <w:kern w:val="0"/>
          <w:sz w:val="28"/>
          <w:szCs w:val="28"/>
          <w:lang w:eastAsia="zh-CN"/>
        </w:rPr>
      </w:pPr>
      <w:r>
        <w:rPr>
          <w:rFonts w:hint="eastAsia" w:ascii="仿宋_GB2312" w:hAnsi="仿宋" w:eastAsia="仿宋_GB2312" w:cs="宋体"/>
          <w:kern w:val="0"/>
          <w:sz w:val="28"/>
          <w:szCs w:val="28"/>
        </w:rPr>
        <w:t>（一）项目名称：</w:t>
      </w:r>
      <w:r>
        <w:rPr>
          <w:rFonts w:hint="eastAsia" w:ascii="仿宋_GB2312" w:hAnsi="仿宋" w:eastAsia="仿宋_GB2312" w:cs="宋体"/>
          <w:bCs/>
          <w:kern w:val="0"/>
          <w:sz w:val="28"/>
          <w:szCs w:val="28"/>
        </w:rPr>
        <w:t>海南省矿产资源总体规划（2021-2025年）环境影响评价（海域部分）</w:t>
      </w:r>
      <w:r>
        <w:rPr>
          <w:rFonts w:hint="eastAsia" w:ascii="仿宋_GB2312" w:hAnsi="仿宋" w:eastAsia="仿宋_GB2312" w:cs="宋体"/>
          <w:bCs/>
          <w:kern w:val="0"/>
          <w:sz w:val="28"/>
          <w:szCs w:val="28"/>
          <w:lang w:eastAsia="zh-CN"/>
        </w:rPr>
        <w:t>（四次）</w:t>
      </w:r>
    </w:p>
    <w:p>
      <w:pPr>
        <w:widowControl/>
        <w:adjustRightInd w:val="0"/>
        <w:snapToGrid w:val="0"/>
        <w:ind w:firstLine="560" w:firstLineChars="200"/>
        <w:rPr>
          <w:rFonts w:hint="eastAsia" w:ascii="仿宋_GB2312" w:hAnsi="仿宋" w:eastAsia="仿宋_GB2312" w:cs="宋体"/>
          <w:kern w:val="0"/>
          <w:sz w:val="28"/>
          <w:szCs w:val="28"/>
          <w:lang w:eastAsia="zh-CN"/>
        </w:rPr>
      </w:pPr>
      <w:r>
        <w:rPr>
          <w:rFonts w:hint="eastAsia" w:ascii="仿宋_GB2312" w:hAnsi="仿宋" w:eastAsia="仿宋_GB2312" w:cs="宋体"/>
          <w:kern w:val="0"/>
          <w:sz w:val="28"/>
          <w:szCs w:val="28"/>
        </w:rPr>
        <w:t>（二）项目编</w:t>
      </w:r>
      <w:r>
        <w:rPr>
          <w:rFonts w:hint="eastAsia" w:ascii="仿宋_GB2312" w:hAnsi="仿宋" w:eastAsia="仿宋_GB2312" w:cs="宋体"/>
          <w:bCs/>
          <w:kern w:val="0"/>
          <w:sz w:val="28"/>
          <w:szCs w:val="28"/>
        </w:rPr>
        <w:t>号：</w:t>
      </w:r>
      <w:r>
        <w:rPr>
          <w:rFonts w:hint="eastAsia" w:ascii="仿宋_GB2312" w:hAnsi="仿宋" w:eastAsia="仿宋_GB2312" w:cs="宋体"/>
          <w:bCs/>
          <w:kern w:val="0"/>
          <w:sz w:val="28"/>
          <w:szCs w:val="28"/>
          <w:lang w:eastAsia="zh-CN"/>
        </w:rPr>
        <w:t>GGP20210309Q</w:t>
      </w:r>
    </w:p>
    <w:p>
      <w:pPr>
        <w:widowControl/>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（三）预算金</w:t>
      </w:r>
      <w:r>
        <w:rPr>
          <w:rFonts w:hint="eastAsia" w:ascii="仿宋_GB2312" w:hAnsi="仿宋" w:eastAsia="仿宋_GB2312" w:cs="宋体"/>
          <w:bCs/>
          <w:sz w:val="28"/>
          <w:szCs w:val="28"/>
        </w:rPr>
        <w:t>额</w:t>
      </w:r>
      <w:r>
        <w:rPr>
          <w:rFonts w:hint="eastAsia" w:ascii="仿宋_GB2312" w:hAnsi="仿宋" w:eastAsia="仿宋_GB2312" w:cs="宋体"/>
          <w:bCs/>
          <w:kern w:val="0"/>
          <w:sz w:val="28"/>
          <w:szCs w:val="28"/>
        </w:rPr>
        <w:t>：300</w:t>
      </w:r>
      <w:r>
        <w:rPr>
          <w:rFonts w:hint="eastAsia" w:ascii="仿宋_GB2312" w:hAnsi="仿宋" w:eastAsia="仿宋_GB2312" w:cs="宋体"/>
          <w:kern w:val="0"/>
          <w:sz w:val="28"/>
          <w:szCs w:val="28"/>
        </w:rPr>
        <w:t>0000.00</w:t>
      </w:r>
      <w:r>
        <w:rPr>
          <w:rFonts w:hint="eastAsia" w:ascii="仿宋_GB2312" w:hAnsi="仿宋" w:eastAsia="仿宋_GB2312" w:cs="宋体"/>
          <w:bCs/>
          <w:kern w:val="0"/>
          <w:sz w:val="28"/>
          <w:szCs w:val="28"/>
          <w:lang w:val="en-GB"/>
        </w:rPr>
        <w:t>元</w:t>
      </w:r>
      <w:r>
        <w:rPr>
          <w:rFonts w:hint="eastAsia" w:ascii="仿宋_GB2312" w:hAnsi="仿宋" w:eastAsia="仿宋_GB2312" w:cs="宋体"/>
          <w:bCs/>
          <w:sz w:val="28"/>
          <w:szCs w:val="28"/>
        </w:rPr>
        <w:t>（大写：叁佰万元整）</w:t>
      </w:r>
      <w:r>
        <w:rPr>
          <w:rFonts w:hint="eastAsia" w:ascii="仿宋_GB2312" w:hAnsi="仿宋" w:eastAsia="仿宋_GB2312" w:cs="宋体"/>
          <w:sz w:val="28"/>
          <w:szCs w:val="28"/>
        </w:rPr>
        <w:t>（</w:t>
      </w:r>
      <w:r>
        <w:rPr>
          <w:rFonts w:hint="eastAsia" w:ascii="仿宋_GB2312" w:hAnsi="仿宋" w:eastAsia="仿宋_GB2312" w:cs="宋体"/>
          <w:bCs/>
          <w:sz w:val="28"/>
          <w:szCs w:val="28"/>
        </w:rPr>
        <w:t>超出采购预算金额的按无效响应处理</w:t>
      </w:r>
      <w:r>
        <w:rPr>
          <w:rFonts w:hint="eastAsia" w:ascii="仿宋_GB2312" w:hAnsi="仿宋" w:eastAsia="仿宋_GB2312" w:cs="宋体"/>
          <w:sz w:val="28"/>
          <w:szCs w:val="28"/>
        </w:rPr>
        <w:t>）</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（四）资金来源：财政资金</w:t>
      </w:r>
    </w:p>
    <w:p>
      <w:pPr>
        <w:widowControl/>
        <w:adjustRightInd w:val="0"/>
        <w:snapToGrid w:val="0"/>
        <w:ind w:firstLine="560" w:firstLineChars="200"/>
        <w:rPr>
          <w:rFonts w:ascii="仿宋_GB2312" w:hAnsi="仿宋" w:eastAsia="仿宋_GB2312" w:cs="宋体"/>
          <w:bCs/>
          <w:kern w:val="0"/>
          <w:sz w:val="28"/>
          <w:szCs w:val="28"/>
          <w:lang w:val="en-GB"/>
        </w:rPr>
      </w:pPr>
      <w:r>
        <w:rPr>
          <w:rFonts w:hint="eastAsia" w:ascii="仿宋_GB2312" w:hAnsi="仿宋" w:eastAsia="仿宋_GB2312" w:cs="宋体"/>
          <w:sz w:val="28"/>
          <w:szCs w:val="28"/>
        </w:rPr>
        <w:t>（五）简要技术要求或采购项目的</w:t>
      </w:r>
      <w:r>
        <w:rPr>
          <w:rFonts w:hint="eastAsia" w:ascii="仿宋_GB2312" w:hAnsi="仿宋" w:eastAsia="仿宋_GB2312" w:cs="宋体"/>
          <w:bCs/>
          <w:kern w:val="0"/>
          <w:sz w:val="28"/>
          <w:szCs w:val="28"/>
          <w:lang w:val="en-GB"/>
        </w:rPr>
        <w:t>性质：海南省矿产资源总体规划（2021-2025年）环境影响评价（海域部分）</w:t>
      </w:r>
      <w:r>
        <w:rPr>
          <w:rFonts w:hint="eastAsia" w:ascii="仿宋_GB2312" w:hAnsi="仿宋" w:eastAsia="仿宋_GB2312" w:cs="宋体"/>
          <w:bCs/>
          <w:kern w:val="0"/>
          <w:sz w:val="28"/>
          <w:szCs w:val="28"/>
          <w:lang w:val="en-GB" w:eastAsia="zh-CN"/>
        </w:rPr>
        <w:t>（四次）</w:t>
      </w:r>
      <w:r>
        <w:rPr>
          <w:rFonts w:hint="eastAsia" w:ascii="仿宋_GB2312" w:hAnsi="仿宋" w:eastAsia="仿宋_GB2312" w:cs="宋体"/>
          <w:bCs/>
          <w:kern w:val="0"/>
          <w:sz w:val="28"/>
          <w:szCs w:val="28"/>
          <w:lang w:val="en-GB"/>
        </w:rPr>
        <w:t>。详见磋商文件</w:t>
      </w:r>
      <w:r>
        <w:rPr>
          <w:rFonts w:hint="eastAsia" w:ascii="仿宋_GB2312" w:hAnsi="仿宋" w:eastAsia="仿宋_GB2312" w:cs="宋体"/>
          <w:bCs/>
          <w:kern w:val="0"/>
          <w:sz w:val="28"/>
          <w:szCs w:val="28"/>
        </w:rPr>
        <w:t xml:space="preserve">第三章 </w:t>
      </w:r>
      <w:r>
        <w:rPr>
          <w:rFonts w:hint="eastAsia" w:ascii="仿宋_GB2312" w:hAnsi="仿宋" w:eastAsia="仿宋_GB2312" w:cs="宋体"/>
          <w:bCs/>
          <w:kern w:val="0"/>
          <w:sz w:val="28"/>
          <w:szCs w:val="28"/>
          <w:lang w:val="en-GB"/>
        </w:rPr>
        <w:t>采购需求。</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kern w:val="0"/>
          <w:sz w:val="28"/>
          <w:szCs w:val="28"/>
        </w:rPr>
        <w:t>（六）项目实施地点：采购人指定地点</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b w:val="0"/>
          <w:bCs w:val="0"/>
          <w:sz w:val="28"/>
          <w:szCs w:val="28"/>
        </w:rPr>
        <w:t>二、</w:t>
      </w:r>
      <w:r>
        <w:rPr>
          <w:rFonts w:hint="eastAsia" w:ascii="仿宋_GB2312" w:hAnsi="仿宋" w:eastAsia="仿宋_GB2312" w:cs="宋体"/>
          <w:sz w:val="28"/>
          <w:szCs w:val="28"/>
        </w:rPr>
        <w:t>供应商资格要求</w:t>
      </w:r>
    </w:p>
    <w:p>
      <w:pPr>
        <w:pStyle w:val="76"/>
        <w:adjustRightInd w:val="0"/>
        <w:snapToGrid w:val="0"/>
        <w:ind w:firstLine="560"/>
        <w:rPr>
          <w:rFonts w:ascii="仿宋_GB2312" w:eastAsia="仿宋_GB2312"/>
        </w:rPr>
      </w:pPr>
      <w:r>
        <w:rPr>
          <w:rFonts w:hint="eastAsia" w:ascii="仿宋_GB2312" w:hAnsi="仿宋" w:eastAsia="仿宋_GB2312" w:cs="宋体"/>
          <w:sz w:val="28"/>
          <w:szCs w:val="28"/>
        </w:rPr>
        <w:t>供应商必须具备以下条件并提供相关有效证明资料:</w:t>
      </w:r>
    </w:p>
    <w:p>
      <w:pPr>
        <w:pStyle w:val="21"/>
        <w:numPr>
          <w:ilvl w:val="0"/>
          <w:numId w:val="1"/>
        </w:numPr>
        <w:adjustRightInd w:val="0"/>
        <w:snapToGrid w:val="0"/>
        <w:spacing w:beforeAutospacing="0" w:afterAutospacing="0"/>
        <w:ind w:firstLine="495" w:firstLineChars="177"/>
        <w:rPr>
          <w:rFonts w:ascii="仿宋_GB2312" w:hAnsi="仿宋" w:eastAsia="仿宋_GB2312"/>
          <w:sz w:val="28"/>
          <w:szCs w:val="28"/>
        </w:rPr>
      </w:pPr>
      <w:r>
        <w:rPr>
          <w:rFonts w:hint="eastAsia" w:ascii="仿宋_GB2312" w:hAnsi="仿宋" w:eastAsia="仿宋_GB2312"/>
          <w:sz w:val="28"/>
          <w:szCs w:val="28"/>
        </w:rPr>
        <w:t>在中华人民共和国注册的、具有独立承担民事责任的能力须提供三证（营业执照副本、税务登记证、组织机构代码证）复印件或具有统一社会信用代码相关证件复印件或自然人身份证明复印件，加盖公章；</w:t>
      </w:r>
    </w:p>
    <w:p>
      <w:pPr>
        <w:pStyle w:val="21"/>
        <w:numPr>
          <w:ilvl w:val="0"/>
          <w:numId w:val="1"/>
        </w:numPr>
        <w:adjustRightInd w:val="0"/>
        <w:snapToGrid w:val="0"/>
        <w:spacing w:beforeAutospacing="0" w:afterAutospacing="0"/>
        <w:ind w:firstLine="495" w:firstLineChars="177"/>
        <w:rPr>
          <w:rFonts w:ascii="仿宋_GB2312" w:hAnsi="仿宋" w:eastAsia="仿宋_GB2312"/>
          <w:sz w:val="28"/>
          <w:szCs w:val="28"/>
        </w:rPr>
      </w:pPr>
      <w:r>
        <w:rPr>
          <w:rFonts w:hint="eastAsia" w:ascii="仿宋_GB2312" w:hAnsi="仿宋" w:eastAsia="仿宋_GB2312"/>
          <w:kern w:val="2"/>
          <w:sz w:val="28"/>
          <w:szCs w:val="28"/>
        </w:rPr>
        <w:t>具有依法缴纳税收和社会保障资金的良好记录</w:t>
      </w:r>
      <w:r>
        <w:rPr>
          <w:rFonts w:hint="eastAsia" w:ascii="仿宋_GB2312" w:hAnsi="仿宋" w:eastAsia="仿宋_GB2312"/>
          <w:sz w:val="28"/>
          <w:szCs w:val="28"/>
        </w:rPr>
        <w:t>，提供2020年6月以来3个月</w:t>
      </w:r>
      <w:r>
        <w:rPr>
          <w:rFonts w:hint="eastAsia" w:ascii="仿宋_GB2312" w:hAnsi="仿宋" w:eastAsia="仿宋_GB2312"/>
          <w:sz w:val="28"/>
          <w:szCs w:val="28"/>
          <w:lang w:eastAsia="zh-CN"/>
        </w:rPr>
        <w:t>的</w:t>
      </w:r>
      <w:r>
        <w:rPr>
          <w:rFonts w:hint="eastAsia" w:ascii="仿宋_GB2312" w:hAnsi="仿宋" w:eastAsia="仿宋_GB2312"/>
          <w:sz w:val="28"/>
          <w:szCs w:val="28"/>
        </w:rPr>
        <w:t>依法缴纳税收证明和缴纳社保证明复印件，加盖公章；</w:t>
      </w:r>
    </w:p>
    <w:p>
      <w:pPr>
        <w:pStyle w:val="21"/>
        <w:numPr>
          <w:ilvl w:val="0"/>
          <w:numId w:val="1"/>
        </w:numPr>
        <w:adjustRightInd w:val="0"/>
        <w:snapToGrid w:val="0"/>
        <w:spacing w:beforeAutospacing="0" w:afterAutospacing="0"/>
        <w:ind w:firstLine="495" w:firstLineChars="177"/>
        <w:rPr>
          <w:rFonts w:ascii="仿宋_GB2312" w:hAnsi="仿宋" w:eastAsia="仿宋_GB2312"/>
          <w:sz w:val="28"/>
          <w:szCs w:val="28"/>
        </w:rPr>
      </w:pPr>
      <w:r>
        <w:rPr>
          <w:rFonts w:hint="eastAsia" w:ascii="仿宋_GB2312" w:hAnsi="仿宋" w:eastAsia="仿宋_GB2312"/>
          <w:color w:val="000000"/>
          <w:sz w:val="28"/>
          <w:szCs w:val="28"/>
        </w:rPr>
        <w:t>具有良好的商业信誉和健全的财务会计制度提供会计师事务所出具的2020年度财务审计报告或</w:t>
      </w:r>
      <w:r>
        <w:rPr>
          <w:rFonts w:hint="eastAsia" w:ascii="仿宋_GB2312" w:hAnsi="仿宋" w:eastAsia="仿宋_GB2312"/>
          <w:sz w:val="28"/>
          <w:szCs w:val="28"/>
        </w:rPr>
        <w:t>2021年</w:t>
      </w:r>
      <w:r>
        <w:rPr>
          <w:rFonts w:hint="eastAsia" w:ascii="仿宋_GB2312" w:hAnsi="仿宋" w:eastAsia="仿宋_GB2312"/>
          <w:color w:val="000000"/>
          <w:sz w:val="28"/>
          <w:szCs w:val="28"/>
        </w:rPr>
        <w:t>以来任意一个月的财务报表</w:t>
      </w:r>
      <w:r>
        <w:rPr>
          <w:rFonts w:hint="eastAsia" w:ascii="仿宋_GB2312" w:hAnsi="仿宋" w:eastAsia="仿宋_GB2312"/>
          <w:sz w:val="28"/>
          <w:szCs w:val="28"/>
        </w:rPr>
        <w:t>，新成立公司根据实际情况提供财务报表复印件，加盖公章；</w:t>
      </w:r>
    </w:p>
    <w:p>
      <w:pPr>
        <w:pStyle w:val="21"/>
        <w:numPr>
          <w:ilvl w:val="0"/>
          <w:numId w:val="1"/>
        </w:numPr>
        <w:adjustRightInd w:val="0"/>
        <w:snapToGrid w:val="0"/>
        <w:spacing w:beforeAutospacing="0" w:afterAutospacing="0"/>
        <w:ind w:firstLine="495" w:firstLineChars="177"/>
        <w:rPr>
          <w:rFonts w:ascii="仿宋_GB2312" w:hAnsi="仿宋" w:eastAsia="仿宋_GB2312"/>
          <w:sz w:val="28"/>
          <w:szCs w:val="28"/>
        </w:rPr>
      </w:pPr>
      <w:r>
        <w:rPr>
          <w:rFonts w:hint="eastAsia" w:ascii="仿宋_GB2312" w:hAnsi="仿宋" w:eastAsia="仿宋_GB2312"/>
          <w:sz w:val="28"/>
          <w:szCs w:val="28"/>
        </w:rPr>
        <w:t>提供参加政府采购活动近三年内，在经营活动中没有重大违法记录的声明函；</w:t>
      </w:r>
    </w:p>
    <w:p>
      <w:pPr>
        <w:pStyle w:val="21"/>
        <w:numPr>
          <w:ilvl w:val="0"/>
          <w:numId w:val="1"/>
        </w:numPr>
        <w:adjustRightInd w:val="0"/>
        <w:snapToGrid w:val="0"/>
        <w:spacing w:beforeAutospacing="0" w:afterAutospacing="0"/>
        <w:ind w:firstLine="566" w:firstLineChars="177"/>
        <w:rPr>
          <w:rFonts w:ascii="仿宋_GB2312" w:hAnsi="仿宋" w:eastAsia="仿宋_GB2312"/>
          <w:sz w:val="28"/>
          <w:szCs w:val="28"/>
        </w:rPr>
      </w:pPr>
      <w:r>
        <w:rPr>
          <w:rFonts w:hint="eastAsia" w:ascii="仿宋_GB2312" w:hAnsi="仿宋" w:eastAsia="仿宋_GB2312"/>
          <w:spacing w:val="20"/>
          <w:sz w:val="28"/>
          <w:szCs w:val="28"/>
        </w:rPr>
        <w:t>供应商最近三年内在参与政府招投标采购项目活动中没有不良信用记录：必须为未被列入“信用中国”网站</w:t>
      </w:r>
      <w:r>
        <w:rPr>
          <w:rFonts w:hint="eastAsia" w:ascii="仿宋_GB2312" w:hAnsi="仿宋" w:eastAsia="仿宋_GB2312"/>
          <w:sz w:val="28"/>
          <w:szCs w:val="28"/>
        </w:rPr>
        <w:t>(www.creditchina.gov.cn)“失信被执行人、重大税收违法案件当事人名单、政府采购严重违法失信名单”的供应商和中国政府采购网(www.ccgp.gov.cn)“政府采购严重违法失信行为记录”名单的供应商（提供查询结果网页截图或承诺函并加盖单位公章）；</w:t>
      </w:r>
    </w:p>
    <w:p>
      <w:pPr>
        <w:pStyle w:val="21"/>
        <w:numPr>
          <w:ilvl w:val="0"/>
          <w:numId w:val="1"/>
        </w:numPr>
        <w:adjustRightInd w:val="0"/>
        <w:snapToGrid w:val="0"/>
        <w:spacing w:beforeAutospacing="0" w:afterAutospacing="0"/>
        <w:ind w:firstLine="495" w:firstLineChars="177"/>
        <w:rPr>
          <w:rFonts w:ascii="仿宋_GB2312" w:hAnsi="仿宋" w:eastAsia="仿宋_GB2312"/>
          <w:sz w:val="28"/>
          <w:szCs w:val="28"/>
        </w:rPr>
      </w:pPr>
      <w:r>
        <w:rPr>
          <w:rFonts w:hint="eastAsia" w:ascii="仿宋_GB2312" w:hAnsi="仿宋" w:eastAsia="仿宋_GB2312"/>
          <w:sz w:val="28"/>
          <w:szCs w:val="28"/>
        </w:rPr>
        <w:t>本项目为专门面向中小企业的政府采购项目，参加政府采购活动的中小企业应当提供《中小企业声明函》；</w:t>
      </w:r>
    </w:p>
    <w:p>
      <w:pPr>
        <w:pStyle w:val="21"/>
        <w:adjustRightInd w:val="0"/>
        <w:snapToGrid w:val="0"/>
        <w:spacing w:beforeAutospacing="0" w:afterAutospacing="0"/>
        <w:ind w:firstLine="560" w:firstLineChars="200"/>
        <w:rPr>
          <w:rFonts w:ascii="仿宋_GB2312" w:hAnsi="仿宋" w:eastAsia="仿宋_GB2312"/>
          <w:sz w:val="28"/>
          <w:szCs w:val="28"/>
        </w:rPr>
      </w:pPr>
      <w:r>
        <w:rPr>
          <w:rFonts w:hint="eastAsia" w:ascii="仿宋_GB2312" w:hAnsi="仿宋" w:eastAsia="仿宋_GB2312"/>
          <w:sz w:val="28"/>
          <w:szCs w:val="28"/>
        </w:rPr>
        <w:t>（七）本项目接受联合体投标，若为联合体投标，需提供《联合体投标声明函》。（联合体各个成员都应当满足</w:t>
      </w:r>
      <w:r>
        <w:rPr>
          <w:rFonts w:hint="eastAsia" w:ascii="仿宋_GB2312" w:hAnsi="仿宋" w:eastAsia="仿宋_GB2312"/>
          <w:sz w:val="28"/>
          <w:szCs w:val="28"/>
          <w:lang w:eastAsia="zh-CN"/>
        </w:rPr>
        <w:t>前五条</w:t>
      </w:r>
      <w:r>
        <w:rPr>
          <w:rFonts w:hint="eastAsia" w:ascii="仿宋_GB2312" w:hAnsi="仿宋" w:eastAsia="仿宋_GB2312"/>
          <w:sz w:val="28"/>
          <w:szCs w:val="28"/>
        </w:rPr>
        <w:t>资格</w:t>
      </w:r>
      <w:r>
        <w:rPr>
          <w:rFonts w:hint="eastAsia" w:ascii="仿宋_GB2312" w:hAnsi="仿宋" w:eastAsia="仿宋_GB2312"/>
          <w:sz w:val="28"/>
          <w:szCs w:val="28"/>
          <w:lang w:eastAsia="zh-CN"/>
        </w:rPr>
        <w:t>要求</w:t>
      </w:r>
      <w:r>
        <w:rPr>
          <w:rFonts w:hint="eastAsia" w:ascii="仿宋_GB2312" w:hAnsi="仿宋" w:eastAsia="仿宋_GB2312"/>
          <w:sz w:val="28"/>
          <w:szCs w:val="28"/>
        </w:rPr>
        <w:t>，</w:t>
      </w:r>
      <w:r>
        <w:rPr>
          <w:rFonts w:hint="eastAsia" w:ascii="仿宋_GB2312" w:hAnsi="仿宋" w:eastAsia="仿宋_GB2312"/>
          <w:sz w:val="28"/>
          <w:szCs w:val="28"/>
          <w:lang w:eastAsia="zh-CN"/>
        </w:rPr>
        <w:t>联合体中有一家为</w:t>
      </w:r>
      <w:r>
        <w:rPr>
          <w:rFonts w:hint="eastAsia" w:ascii="仿宋_GB2312" w:hAnsi="仿宋" w:eastAsia="仿宋_GB2312"/>
          <w:sz w:val="28"/>
          <w:szCs w:val="28"/>
        </w:rPr>
        <w:t>中小企业</w:t>
      </w:r>
      <w:r>
        <w:rPr>
          <w:rFonts w:hint="eastAsia" w:ascii="仿宋_GB2312" w:hAnsi="仿宋" w:eastAsia="仿宋_GB2312"/>
          <w:sz w:val="28"/>
          <w:szCs w:val="28"/>
          <w:lang w:eastAsia="zh-CN"/>
        </w:rPr>
        <w:t>即可</w:t>
      </w:r>
      <w:r>
        <w:rPr>
          <w:rFonts w:hint="eastAsia" w:ascii="仿宋_GB2312" w:hAnsi="仿宋" w:eastAsia="仿宋_GB2312"/>
          <w:sz w:val="28"/>
          <w:szCs w:val="28"/>
        </w:rPr>
        <w:t>）。</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三、磋商文件的获取</w:t>
      </w:r>
    </w:p>
    <w:p>
      <w:pPr>
        <w:pStyle w:val="83"/>
        <w:adjustRightInd w:val="0"/>
        <w:snapToGrid w:val="0"/>
        <w:ind w:firstLine="560" w:firstLineChars="200"/>
        <w:rPr>
          <w:rFonts w:ascii="仿宋_GB2312" w:hAnsi="仿宋" w:eastAsia="仿宋_GB2312"/>
          <w:sz w:val="28"/>
          <w:szCs w:val="28"/>
        </w:rPr>
      </w:pPr>
      <w:r>
        <w:rPr>
          <w:rFonts w:hint="eastAsia" w:ascii="仿宋_GB2312" w:hAnsi="仿宋" w:eastAsia="仿宋_GB2312"/>
          <w:sz w:val="28"/>
          <w:szCs w:val="28"/>
        </w:rPr>
        <w:t>（一）发售标书时间：</w:t>
      </w:r>
      <w:r>
        <w:rPr>
          <w:rFonts w:hint="eastAsia" w:ascii="仿宋_GB2312" w:hAnsi="仿宋" w:eastAsia="仿宋_GB2312"/>
          <w:sz w:val="28"/>
          <w:szCs w:val="28"/>
          <w:highlight w:val="yellow"/>
        </w:rPr>
        <w:t>2021年05月</w:t>
      </w:r>
      <w:r>
        <w:rPr>
          <w:rFonts w:hint="eastAsia" w:ascii="仿宋_GB2312" w:hAnsi="仿宋" w:eastAsia="仿宋_GB2312"/>
          <w:sz w:val="28"/>
          <w:szCs w:val="28"/>
          <w:highlight w:val="yellow"/>
          <w:lang w:val="en-US" w:eastAsia="zh-CN"/>
        </w:rPr>
        <w:t>20</w:t>
      </w:r>
      <w:r>
        <w:rPr>
          <w:rFonts w:hint="eastAsia" w:ascii="仿宋_GB2312" w:hAnsi="仿宋" w:eastAsia="仿宋_GB2312"/>
          <w:sz w:val="28"/>
          <w:szCs w:val="28"/>
          <w:highlight w:val="yellow"/>
        </w:rPr>
        <w:t>日起至2021年05月</w:t>
      </w:r>
      <w:r>
        <w:rPr>
          <w:rFonts w:hint="eastAsia" w:ascii="仿宋_GB2312" w:hAnsi="仿宋" w:eastAsia="仿宋_GB2312"/>
          <w:sz w:val="28"/>
          <w:szCs w:val="28"/>
          <w:highlight w:val="yellow"/>
          <w:lang w:val="en-US" w:eastAsia="zh-CN"/>
        </w:rPr>
        <w:t>26</w:t>
      </w:r>
      <w:r>
        <w:rPr>
          <w:rFonts w:hint="eastAsia" w:ascii="仿宋_GB2312" w:hAnsi="仿宋" w:eastAsia="仿宋_GB2312"/>
          <w:sz w:val="28"/>
          <w:szCs w:val="28"/>
          <w:highlight w:val="yellow"/>
        </w:rPr>
        <w:t>日</w:t>
      </w:r>
      <w:r>
        <w:rPr>
          <w:rFonts w:hint="eastAsia" w:ascii="仿宋_GB2312" w:hAnsi="仿宋" w:eastAsia="仿宋_GB2312"/>
          <w:sz w:val="28"/>
          <w:szCs w:val="28"/>
        </w:rPr>
        <w:t>工作时间（早上08:30～12:00；下午14:00～17:30）。</w:t>
      </w:r>
    </w:p>
    <w:p>
      <w:pPr>
        <w:pStyle w:val="83"/>
        <w:adjustRightInd w:val="0"/>
        <w:snapToGrid w:val="0"/>
        <w:ind w:firstLine="560" w:firstLineChars="200"/>
        <w:rPr>
          <w:rFonts w:ascii="仿宋_GB2312" w:hAnsi="仿宋" w:eastAsia="仿宋_GB2312"/>
          <w:sz w:val="28"/>
          <w:szCs w:val="28"/>
        </w:rPr>
      </w:pPr>
      <w:r>
        <w:rPr>
          <w:rFonts w:hint="eastAsia" w:ascii="仿宋_GB2312" w:hAnsi="仿宋" w:eastAsia="仿宋_GB2312"/>
          <w:sz w:val="28"/>
          <w:szCs w:val="28"/>
        </w:rPr>
        <w:t>（二）发售标书地址：海口市美兰区蓝天路12号世纪港14楼C1401室。</w:t>
      </w:r>
    </w:p>
    <w:p>
      <w:pPr>
        <w:pStyle w:val="83"/>
        <w:adjustRightInd w:val="0"/>
        <w:snapToGrid w:val="0"/>
        <w:ind w:firstLine="560" w:firstLineChars="200"/>
        <w:rPr>
          <w:rFonts w:ascii="仿宋_GB2312" w:hAnsi="仿宋" w:eastAsia="仿宋_GB2312"/>
          <w:sz w:val="28"/>
          <w:szCs w:val="28"/>
        </w:rPr>
      </w:pPr>
      <w:r>
        <w:rPr>
          <w:rFonts w:hint="eastAsia" w:ascii="仿宋_GB2312" w:hAnsi="仿宋" w:eastAsia="仿宋_GB2312"/>
          <w:sz w:val="28"/>
          <w:szCs w:val="28"/>
        </w:rPr>
        <w:t>（三）标书售价。磋商文件每套售价200.00元（售后不退）。</w:t>
      </w:r>
    </w:p>
    <w:p>
      <w:pPr>
        <w:pStyle w:val="83"/>
        <w:adjustRightInd w:val="0"/>
        <w:snapToGrid w:val="0"/>
        <w:ind w:firstLine="416" w:firstLineChars="139"/>
        <w:rPr>
          <w:rFonts w:ascii="仿宋_GB2312" w:hAnsi="仿宋" w:eastAsia="仿宋_GB2312"/>
          <w:b/>
          <w:bCs/>
          <w:spacing w:val="10"/>
          <w:sz w:val="28"/>
          <w:szCs w:val="28"/>
        </w:rPr>
      </w:pPr>
      <w:r>
        <w:rPr>
          <w:rFonts w:hint="eastAsia" w:ascii="仿宋_GB2312" w:hAnsi="仿宋" w:eastAsia="仿宋_GB2312"/>
          <w:spacing w:val="10"/>
          <w:sz w:val="28"/>
          <w:szCs w:val="28"/>
        </w:rPr>
        <w:t>（四）</w:t>
      </w:r>
      <w:r>
        <w:rPr>
          <w:rFonts w:hint="eastAsia" w:ascii="仿宋_GB2312" w:hAnsi="仿宋" w:eastAsia="仿宋_GB2312"/>
          <w:b/>
          <w:bCs/>
          <w:spacing w:val="10"/>
          <w:sz w:val="28"/>
          <w:szCs w:val="28"/>
        </w:rPr>
        <w:t>报名时需提交的材料</w:t>
      </w:r>
      <w:r>
        <w:rPr>
          <w:rFonts w:hint="eastAsia" w:ascii="仿宋_GB2312" w:hAnsi="仿宋" w:eastAsia="仿宋_GB2312"/>
          <w:spacing w:val="10"/>
          <w:sz w:val="28"/>
          <w:szCs w:val="28"/>
        </w:rPr>
        <w:t>：</w:t>
      </w:r>
      <w:r>
        <w:rPr>
          <w:rFonts w:hint="eastAsia" w:ascii="仿宋_GB2312" w:hAnsi="仿宋" w:eastAsia="仿宋_GB2312"/>
          <w:b/>
          <w:bCs/>
          <w:spacing w:val="10"/>
          <w:sz w:val="28"/>
          <w:szCs w:val="28"/>
        </w:rPr>
        <w:t>需提供营业执照副本复印件、授权代表身份证、法定代表人身份证复印件及法定代表人授权委托书。（注：所有复印件加盖公章）</w:t>
      </w:r>
    </w:p>
    <w:p>
      <w:pPr>
        <w:pStyle w:val="83"/>
        <w:adjustRightInd w:val="0"/>
        <w:snapToGrid w:val="0"/>
        <w:ind w:firstLine="480" w:firstLineChars="160"/>
        <w:rPr>
          <w:rFonts w:ascii="仿宋_GB2312" w:hAnsi="仿宋" w:eastAsia="仿宋_GB2312"/>
          <w:sz w:val="28"/>
          <w:szCs w:val="28"/>
        </w:rPr>
      </w:pPr>
      <w:r>
        <w:rPr>
          <w:rFonts w:hint="eastAsia" w:ascii="仿宋_GB2312" w:hAnsi="仿宋" w:eastAsia="仿宋_GB2312"/>
          <w:spacing w:val="10"/>
          <w:sz w:val="28"/>
          <w:szCs w:val="28"/>
        </w:rPr>
        <w:t>（五）</w:t>
      </w:r>
      <w:r>
        <w:rPr>
          <w:rFonts w:hint="eastAsia" w:ascii="仿宋_GB2312" w:hAnsi="仿宋" w:eastAsia="仿宋_GB2312"/>
          <w:sz w:val="28"/>
          <w:szCs w:val="28"/>
        </w:rPr>
        <w:t>磋商保证金30000.00元，应在磋商截止前转入采购代理机构以下账户并注明汇款单位、项目编号以及项目名称，联合体由牵头单位缴纳磋商保证金。</w:t>
      </w:r>
    </w:p>
    <w:p>
      <w:pPr>
        <w:tabs>
          <w:tab w:val="left" w:pos="4680"/>
        </w:tabs>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户  名：海南金政采项目管理有限公司</w:t>
      </w:r>
    </w:p>
    <w:p>
      <w:pPr>
        <w:tabs>
          <w:tab w:val="left" w:pos="4680"/>
        </w:tabs>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开户行：平安银行海口海府支行</w:t>
      </w:r>
    </w:p>
    <w:p>
      <w:pPr>
        <w:tabs>
          <w:tab w:val="left" w:pos="4680"/>
        </w:tabs>
        <w:adjustRightInd w:val="0"/>
        <w:snapToGrid w:val="0"/>
        <w:ind w:firstLine="560" w:firstLineChars="200"/>
        <w:rPr>
          <w:rFonts w:ascii="仿宋_GB2312" w:hAnsi="仿宋" w:eastAsia="仿宋_GB2312" w:cs="宋体"/>
          <w:spacing w:val="10"/>
          <w:sz w:val="28"/>
          <w:szCs w:val="28"/>
        </w:rPr>
      </w:pPr>
      <w:r>
        <w:rPr>
          <w:rFonts w:hint="eastAsia" w:ascii="仿宋_GB2312" w:hAnsi="仿宋" w:eastAsia="仿宋_GB2312" w:cs="宋体"/>
          <w:sz w:val="28"/>
          <w:szCs w:val="28"/>
        </w:rPr>
        <w:t>帐  户：</w:t>
      </w:r>
      <w:r>
        <w:rPr>
          <w:rFonts w:hint="eastAsia" w:ascii="仿宋_GB2312" w:hAnsi="仿宋" w:eastAsia="仿宋_GB2312" w:cs="宋体"/>
          <w:color w:val="000000"/>
          <w:sz w:val="28"/>
          <w:szCs w:val="28"/>
        </w:rPr>
        <w:t>110 1471093 6004</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四、响应截止时间、响应时间及地点</w:t>
      </w:r>
    </w:p>
    <w:p>
      <w:pPr>
        <w:tabs>
          <w:tab w:val="left" w:pos="4680"/>
        </w:tabs>
        <w:adjustRightInd w:val="0"/>
        <w:snapToGrid w:val="0"/>
        <w:ind w:firstLine="560" w:firstLineChars="200"/>
        <w:rPr>
          <w:rFonts w:ascii="仿宋_GB2312" w:hAnsi="仿宋" w:eastAsia="仿宋_GB2312" w:cs="宋体"/>
          <w:color w:val="000000"/>
          <w:sz w:val="28"/>
          <w:szCs w:val="28"/>
        </w:rPr>
      </w:pPr>
      <w:r>
        <w:rPr>
          <w:rFonts w:hint="eastAsia" w:ascii="仿宋_GB2312" w:hAnsi="仿宋" w:eastAsia="仿宋_GB2312" w:cs="宋体"/>
          <w:color w:val="000000"/>
          <w:sz w:val="28"/>
          <w:szCs w:val="28"/>
        </w:rPr>
        <w:t>（一）响应文件递交截止时间：</w:t>
      </w:r>
      <w:r>
        <w:rPr>
          <w:rFonts w:hint="eastAsia" w:ascii="仿宋_GB2312" w:hAnsi="仿宋" w:eastAsia="仿宋_GB2312" w:cs="宋体"/>
          <w:color w:val="000000"/>
          <w:sz w:val="28"/>
          <w:szCs w:val="28"/>
          <w:highlight w:val="yellow"/>
        </w:rPr>
        <w:t>2021年05月</w:t>
      </w:r>
      <w:r>
        <w:rPr>
          <w:rFonts w:hint="eastAsia" w:ascii="仿宋_GB2312" w:hAnsi="仿宋" w:eastAsia="仿宋_GB2312" w:cs="宋体"/>
          <w:color w:val="000000"/>
          <w:sz w:val="28"/>
          <w:szCs w:val="28"/>
          <w:highlight w:val="yellow"/>
          <w:lang w:val="en-US" w:eastAsia="zh-CN"/>
        </w:rPr>
        <w:t>31</w:t>
      </w:r>
      <w:r>
        <w:rPr>
          <w:rFonts w:hint="eastAsia" w:ascii="仿宋_GB2312" w:hAnsi="仿宋" w:eastAsia="仿宋_GB2312" w:cs="宋体"/>
          <w:color w:val="000000"/>
          <w:sz w:val="28"/>
          <w:szCs w:val="28"/>
          <w:highlight w:val="yellow"/>
        </w:rPr>
        <w:t>日</w:t>
      </w:r>
      <w:r>
        <w:rPr>
          <w:rFonts w:hint="eastAsia" w:ascii="仿宋_GB2312" w:hAnsi="仿宋" w:eastAsia="仿宋_GB2312" w:cs="宋体"/>
          <w:color w:val="000000"/>
          <w:sz w:val="28"/>
          <w:szCs w:val="28"/>
        </w:rPr>
        <w:t>09时00分（北京时间），逾期或不符合规定的磋商响应文件恕不接收；</w:t>
      </w:r>
    </w:p>
    <w:p>
      <w:pPr>
        <w:tabs>
          <w:tab w:val="left" w:pos="4680"/>
        </w:tabs>
        <w:adjustRightInd w:val="0"/>
        <w:snapToGrid w:val="0"/>
        <w:ind w:firstLine="560" w:firstLineChars="200"/>
        <w:rPr>
          <w:rFonts w:ascii="仿宋_GB2312" w:hAnsi="仿宋" w:eastAsia="仿宋_GB2312" w:cs="宋体"/>
          <w:color w:val="000000"/>
          <w:sz w:val="28"/>
          <w:szCs w:val="28"/>
        </w:rPr>
      </w:pPr>
      <w:r>
        <w:rPr>
          <w:rFonts w:hint="eastAsia" w:ascii="仿宋_GB2312" w:hAnsi="仿宋" w:eastAsia="仿宋_GB2312" w:cs="宋体"/>
          <w:color w:val="000000"/>
          <w:sz w:val="28"/>
          <w:szCs w:val="28"/>
        </w:rPr>
        <w:t>（二）响应文件递交地址：海口市美兰区蓝天路12号世纪港14楼C1401室。</w:t>
      </w:r>
    </w:p>
    <w:p>
      <w:pPr>
        <w:tabs>
          <w:tab w:val="left" w:pos="4680"/>
        </w:tabs>
        <w:adjustRightInd w:val="0"/>
        <w:snapToGrid w:val="0"/>
        <w:ind w:firstLine="560" w:firstLineChars="200"/>
        <w:rPr>
          <w:rFonts w:ascii="仿宋_GB2312" w:hAnsi="仿宋" w:eastAsia="仿宋_GB2312" w:cs="宋体"/>
          <w:color w:val="000000"/>
          <w:sz w:val="28"/>
          <w:szCs w:val="28"/>
        </w:rPr>
      </w:pPr>
      <w:r>
        <w:rPr>
          <w:rFonts w:hint="eastAsia" w:ascii="仿宋_GB2312" w:hAnsi="仿宋" w:eastAsia="仿宋_GB2312" w:cs="宋体"/>
          <w:color w:val="000000"/>
          <w:sz w:val="28"/>
          <w:szCs w:val="28"/>
        </w:rPr>
        <w:t>（三）磋商时间：</w:t>
      </w:r>
      <w:r>
        <w:rPr>
          <w:rFonts w:hint="eastAsia" w:ascii="仿宋_GB2312" w:hAnsi="仿宋" w:eastAsia="仿宋_GB2312" w:cs="宋体"/>
          <w:color w:val="000000"/>
          <w:sz w:val="28"/>
          <w:szCs w:val="28"/>
          <w:highlight w:val="yellow"/>
        </w:rPr>
        <w:t>2021年05月</w:t>
      </w:r>
      <w:r>
        <w:rPr>
          <w:rFonts w:hint="eastAsia" w:ascii="仿宋_GB2312" w:hAnsi="仿宋" w:eastAsia="仿宋_GB2312" w:cs="宋体"/>
          <w:color w:val="000000"/>
          <w:sz w:val="28"/>
          <w:szCs w:val="28"/>
          <w:highlight w:val="yellow"/>
          <w:lang w:val="en-US" w:eastAsia="zh-CN"/>
        </w:rPr>
        <w:t>31</w:t>
      </w:r>
      <w:r>
        <w:rPr>
          <w:rFonts w:hint="eastAsia" w:ascii="仿宋_GB2312" w:hAnsi="仿宋" w:eastAsia="仿宋_GB2312" w:cs="宋体"/>
          <w:color w:val="000000"/>
          <w:sz w:val="28"/>
          <w:szCs w:val="28"/>
          <w:highlight w:val="yellow"/>
        </w:rPr>
        <w:t>日09时00分</w:t>
      </w:r>
      <w:r>
        <w:rPr>
          <w:rFonts w:hint="eastAsia" w:ascii="仿宋_GB2312" w:hAnsi="仿宋" w:eastAsia="仿宋_GB2312" w:cs="宋体"/>
          <w:color w:val="000000"/>
          <w:sz w:val="28"/>
          <w:szCs w:val="28"/>
        </w:rPr>
        <w:t xml:space="preserve">（北京时间）   </w:t>
      </w:r>
    </w:p>
    <w:p>
      <w:pPr>
        <w:tabs>
          <w:tab w:val="left" w:pos="4680"/>
        </w:tabs>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（四）磋商地点：海口市美兰区蓝天路12号世纪港</w:t>
      </w:r>
      <w:r>
        <w:rPr>
          <w:rFonts w:hint="eastAsia" w:ascii="仿宋_GB2312" w:hAnsi="仿宋" w:eastAsia="仿宋_GB2312" w:cs="宋体"/>
          <w:color w:val="000000"/>
          <w:sz w:val="28"/>
          <w:szCs w:val="28"/>
        </w:rPr>
        <w:t>14楼</w:t>
      </w:r>
      <w:r>
        <w:rPr>
          <w:rFonts w:hint="eastAsia" w:ascii="仿宋_GB2312" w:hAnsi="仿宋" w:eastAsia="仿宋_GB2312" w:cs="宋体"/>
          <w:sz w:val="28"/>
          <w:szCs w:val="28"/>
        </w:rPr>
        <w:t>C1401室。</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五、采购信息发布媒体</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1、本项目采购信息指定发布媒体为中国海南政府采购网、全国公共资源交易服务中心（海南省）。</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2、有关本项目竞争性磋商文件的补遗、澄清及变更信息以上述网站公告为准，代理机构不再另行通知，竞争性磋商文件与更正公告的内容相互矛盾时，以最后发出的更正公告内容为准。</w:t>
      </w:r>
    </w:p>
    <w:p>
      <w:pPr>
        <w:pStyle w:val="4"/>
        <w:adjustRightInd w:val="0"/>
        <w:snapToGrid w:val="0"/>
        <w:rPr>
          <w:rFonts w:ascii="仿宋_GB2312" w:hAnsi="仿宋" w:eastAsia="仿宋_GB2312" w:cs="宋体"/>
          <w:sz w:val="28"/>
          <w:szCs w:val="28"/>
        </w:rPr>
      </w:pPr>
      <w:bookmarkStart w:id="5" w:name="_Toc1925"/>
      <w:bookmarkStart w:id="6" w:name="_Toc25829_WPSOffice_Level1"/>
      <w:bookmarkStart w:id="7" w:name="OLE_LINK4"/>
      <w:r>
        <w:rPr>
          <w:rFonts w:hint="eastAsia" w:ascii="仿宋_GB2312" w:hAnsi="仿宋" w:eastAsia="仿宋_GB2312" w:cs="宋体"/>
          <w:sz w:val="28"/>
          <w:szCs w:val="28"/>
        </w:rPr>
        <w:t>六、公告期限</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本竞争性磋商公告自发布之日起公告期限为3个工作日。</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七、需要落实的政府采购政策</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政府采购促进中小企业发展暂行办法》、《关于调整优化节能产品、环境标志产品政府采购执行机制的通知》、《关于信息安全产品实施政府采购的通知》、《关于促进残疾人就业政府采购政策的通知》、《财政部 司法部关于政府采购支持监狱企业发展有关问题的通知书》。</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八、联系方式</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（一）采购单位联系方式</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采购单位：</w:t>
      </w:r>
      <w:r>
        <w:rPr>
          <w:rFonts w:hint="eastAsia" w:ascii="仿宋_GB2312" w:hAnsi="仿宋" w:eastAsia="仿宋_GB2312" w:cs="宋体"/>
          <w:bCs/>
          <w:kern w:val="0"/>
          <w:sz w:val="28"/>
          <w:szCs w:val="28"/>
          <w:lang w:val="en-GB"/>
        </w:rPr>
        <w:t>海南省地质环境监测总站</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采购单位所在地点：海口市龙华区龙昆南路12号</w:t>
      </w:r>
    </w:p>
    <w:p>
      <w:pPr>
        <w:adjustRightInd w:val="0"/>
        <w:snapToGrid w:val="0"/>
        <w:ind w:firstLine="700" w:firstLineChars="250"/>
        <w:rPr>
          <w:rFonts w:ascii="仿宋_GB2312" w:hAnsi="仿宋" w:eastAsia="仿宋_GB2312" w:cs="宋体"/>
          <w:bCs/>
          <w:color w:val="FF0000"/>
          <w:kern w:val="0"/>
          <w:sz w:val="28"/>
          <w:szCs w:val="28"/>
          <w:lang w:val="en-GB"/>
        </w:rPr>
      </w:pPr>
      <w:r>
        <w:rPr>
          <w:rFonts w:hint="eastAsia" w:ascii="仿宋_GB2312" w:hAnsi="仿宋" w:eastAsia="仿宋_GB2312" w:cs="宋体"/>
          <w:bCs/>
          <w:kern w:val="0"/>
          <w:sz w:val="28"/>
          <w:szCs w:val="28"/>
          <w:lang w:val="en-GB"/>
        </w:rPr>
        <w:t>联系</w:t>
      </w:r>
      <w:r>
        <w:rPr>
          <w:rFonts w:hint="eastAsia" w:ascii="仿宋_GB2312" w:hAnsi="仿宋" w:eastAsia="仿宋_GB2312" w:cs="宋体"/>
          <w:sz w:val="28"/>
          <w:szCs w:val="28"/>
          <w:lang w:val="en-GB"/>
        </w:rPr>
        <w:t>人：刘先生</w:t>
      </w:r>
    </w:p>
    <w:p>
      <w:pPr>
        <w:adjustRightInd w:val="0"/>
        <w:snapToGrid w:val="0"/>
        <w:ind w:firstLine="700" w:firstLineChars="250"/>
        <w:rPr>
          <w:rFonts w:ascii="仿宋_GB2312" w:hAnsi="仿宋" w:eastAsia="仿宋_GB2312" w:cs="宋体"/>
          <w:sz w:val="28"/>
          <w:szCs w:val="28"/>
          <w:lang w:val="en-GB"/>
        </w:rPr>
      </w:pPr>
      <w:r>
        <w:rPr>
          <w:rFonts w:hint="eastAsia" w:ascii="仿宋_GB2312" w:hAnsi="仿宋" w:eastAsia="仿宋_GB2312" w:cs="宋体"/>
          <w:bCs/>
          <w:kern w:val="0"/>
          <w:sz w:val="28"/>
          <w:szCs w:val="28"/>
          <w:lang w:val="en-GB"/>
        </w:rPr>
        <w:t>联系方</w:t>
      </w:r>
      <w:r>
        <w:rPr>
          <w:rFonts w:hint="eastAsia" w:ascii="仿宋_GB2312" w:hAnsi="仿宋" w:eastAsia="仿宋_GB2312" w:cs="宋体"/>
          <w:sz w:val="28"/>
          <w:szCs w:val="28"/>
          <w:lang w:val="en-GB"/>
        </w:rPr>
        <w:t>式：0898-66811386</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（二）采购代理机构联系方式</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采购代理机构:海南金政采项目管理有限公司</w:t>
      </w:r>
    </w:p>
    <w:p>
      <w:pPr>
        <w:adjustRightInd w:val="0"/>
        <w:snapToGrid w:val="0"/>
        <w:ind w:firstLine="700" w:firstLineChars="250"/>
        <w:rPr>
          <w:rFonts w:eastAsia="仿宋_GB2312"/>
        </w:rPr>
      </w:pPr>
      <w:r>
        <w:rPr>
          <w:rFonts w:hint="eastAsia" w:ascii="仿宋_GB2312" w:hAnsi="仿宋" w:eastAsia="仿宋_GB2312" w:cs="宋体"/>
          <w:sz w:val="28"/>
          <w:szCs w:val="28"/>
        </w:rPr>
        <w:t>采购代理机构地址：海口市美兰区蓝天路世纪港</w:t>
      </w:r>
      <w:r>
        <w:rPr>
          <w:rFonts w:hint="eastAsia" w:ascii="仿宋_GB2312" w:hAnsi="仿宋" w:eastAsia="仿宋_GB2312" w:cs="宋体"/>
          <w:color w:val="000000"/>
          <w:sz w:val="28"/>
          <w:szCs w:val="28"/>
        </w:rPr>
        <w:t>14楼</w:t>
      </w:r>
      <w:r>
        <w:rPr>
          <w:rFonts w:hint="eastAsia" w:ascii="仿宋_GB2312" w:hAnsi="仿宋" w:eastAsia="仿宋_GB2312" w:cs="宋体"/>
          <w:sz w:val="28"/>
          <w:szCs w:val="28"/>
        </w:rPr>
        <w:t>C1401室</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 xml:space="preserve">项目联系人: 王女士       </w:t>
      </w:r>
    </w:p>
    <w:p>
      <w:pPr>
        <w:adjustRightInd w:val="0"/>
        <w:snapToGrid w:val="0"/>
        <w:ind w:firstLine="700" w:firstLineChars="250"/>
        <w:rPr>
          <w:rFonts w:ascii="仿宋_GB2312" w:hAnsi="仿宋" w:eastAsia="仿宋_GB2312" w:cs="宋体"/>
          <w:sz w:val="28"/>
          <w:szCs w:val="28"/>
        </w:rPr>
      </w:pPr>
      <w:r>
        <w:rPr>
          <w:rFonts w:hint="eastAsia" w:ascii="仿宋_GB2312" w:hAnsi="仿宋" w:eastAsia="仿宋_GB2312" w:cs="宋体"/>
          <w:sz w:val="28"/>
          <w:szCs w:val="28"/>
        </w:rPr>
        <w:t>联系电话: 0898-6675</w:t>
      </w:r>
      <w:bookmarkStart w:id="8" w:name="_Toc16727397"/>
      <w:r>
        <w:rPr>
          <w:rFonts w:hint="eastAsia" w:ascii="仿宋_GB2312" w:hAnsi="仿宋" w:eastAsia="仿宋_GB2312" w:cs="宋体"/>
          <w:sz w:val="28"/>
          <w:szCs w:val="28"/>
        </w:rPr>
        <w:t>6504</w:t>
      </w:r>
    </w:p>
    <w:p>
      <w:pPr>
        <w:pStyle w:val="23"/>
        <w:ind w:firstLine="240"/>
      </w:pPr>
      <w:r>
        <w:br w:type="page"/>
      </w:r>
    </w:p>
    <w:p>
      <w:pPr>
        <w:pStyle w:val="3"/>
        <w:spacing w:before="0" w:after="0"/>
        <w:rPr>
          <w:rFonts w:ascii="仿宋_GB2312" w:hAnsi="仿宋" w:eastAsia="仿宋_GB2312" w:cs="宋体"/>
          <w:sz w:val="32"/>
          <w:szCs w:val="32"/>
        </w:rPr>
      </w:pPr>
      <w:r>
        <w:rPr>
          <w:rFonts w:hint="eastAsia" w:ascii="仿宋_GB2312" w:hAnsi="仿宋" w:eastAsia="仿宋_GB2312" w:cs="宋体"/>
          <w:sz w:val="32"/>
          <w:szCs w:val="32"/>
        </w:rPr>
        <w:t>第二章  供应商须知</w:t>
      </w:r>
      <w:bookmarkEnd w:id="5"/>
      <w:bookmarkEnd w:id="6"/>
      <w:bookmarkEnd w:id="8"/>
    </w:p>
    <w:bookmarkEnd w:id="7"/>
    <w:p>
      <w:pPr>
        <w:spacing w:beforeLines="50" w:afterLines="50" w:line="480" w:lineRule="exact"/>
        <w:jc w:val="center"/>
        <w:rPr>
          <w:rFonts w:ascii="仿宋_GB2312" w:hAnsi="仿宋" w:eastAsia="仿宋_GB2312"/>
          <w:b/>
          <w:color w:val="000000"/>
          <w:sz w:val="32"/>
          <w:szCs w:val="32"/>
        </w:rPr>
      </w:pPr>
      <w:bookmarkStart w:id="9" w:name="OLE_LINK6"/>
      <w:bookmarkStart w:id="10" w:name="OLE_LINK5"/>
      <w:bookmarkStart w:id="11" w:name="_Toc13084"/>
      <w:bookmarkStart w:id="12" w:name="_Toc18090"/>
      <w:r>
        <w:rPr>
          <w:rFonts w:hint="eastAsia" w:ascii="仿宋_GB2312" w:hAnsi="仿宋" w:eastAsia="仿宋_GB2312"/>
          <w:b/>
          <w:color w:val="000000"/>
          <w:sz w:val="30"/>
          <w:szCs w:val="32"/>
        </w:rPr>
        <w:t>报价须知前附表</w:t>
      </w:r>
    </w:p>
    <w:tbl>
      <w:tblPr>
        <w:tblStyle w:val="25"/>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29"/>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12" w:space="0"/>
              <w:left w:val="single" w:color="auto" w:sz="12" w:space="0"/>
            </w:tcBorders>
            <w:vAlign w:val="center"/>
          </w:tcPr>
          <w:p>
            <w:pPr>
              <w:pStyle w:val="12"/>
              <w:jc w:val="center"/>
              <w:rPr>
                <w:rFonts w:ascii="仿宋_GB2312" w:hAnsi="仿宋" w:eastAsia="仿宋_GB2312" w:cs="宋体"/>
                <w:sz w:val="24"/>
                <w:szCs w:val="24"/>
              </w:rPr>
            </w:pPr>
            <w:r>
              <w:rPr>
                <w:rFonts w:hint="eastAsia" w:ascii="仿宋_GB2312" w:hAnsi="仿宋" w:eastAsia="仿宋_GB2312" w:cs="宋体"/>
                <w:sz w:val="24"/>
                <w:szCs w:val="24"/>
              </w:rPr>
              <w:t>序号</w:t>
            </w:r>
          </w:p>
        </w:tc>
        <w:tc>
          <w:tcPr>
            <w:tcW w:w="2529" w:type="dxa"/>
            <w:tcBorders>
              <w:top w:val="single" w:color="auto" w:sz="12" w:space="0"/>
            </w:tcBorders>
            <w:vAlign w:val="center"/>
          </w:tcPr>
          <w:p>
            <w:pPr>
              <w:pStyle w:val="12"/>
              <w:jc w:val="center"/>
              <w:rPr>
                <w:rFonts w:ascii="仿宋_GB2312" w:hAnsi="仿宋" w:eastAsia="仿宋_GB2312" w:cs="宋体"/>
                <w:sz w:val="24"/>
                <w:szCs w:val="24"/>
              </w:rPr>
            </w:pPr>
            <w:r>
              <w:rPr>
                <w:rFonts w:hint="eastAsia" w:ascii="仿宋_GB2312" w:hAnsi="仿宋" w:eastAsia="仿宋_GB2312" w:cs="宋体"/>
                <w:sz w:val="24"/>
                <w:szCs w:val="24"/>
              </w:rPr>
              <w:t>应知事项</w:t>
            </w:r>
          </w:p>
        </w:tc>
        <w:tc>
          <w:tcPr>
            <w:tcW w:w="6543" w:type="dxa"/>
            <w:tcBorders>
              <w:top w:val="single" w:color="auto" w:sz="12" w:space="0"/>
              <w:right w:val="single" w:color="auto" w:sz="12" w:space="0"/>
            </w:tcBorders>
            <w:vAlign w:val="center"/>
          </w:tcPr>
          <w:p>
            <w:pPr>
              <w:pStyle w:val="12"/>
              <w:jc w:val="center"/>
              <w:rPr>
                <w:rFonts w:ascii="仿宋_GB2312" w:hAnsi="仿宋" w:eastAsia="仿宋_GB2312" w:cs="宋体"/>
                <w:sz w:val="24"/>
                <w:szCs w:val="24"/>
              </w:rPr>
            </w:pPr>
            <w:r>
              <w:rPr>
                <w:rFonts w:hint="eastAsia" w:ascii="仿宋_GB2312" w:hAnsi="仿宋" w:eastAsia="仿宋_GB2312"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12" w:space="0"/>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1</w:t>
            </w:r>
          </w:p>
        </w:tc>
        <w:tc>
          <w:tcPr>
            <w:tcW w:w="2529" w:type="dxa"/>
            <w:tcBorders>
              <w:top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项目名称及项目编号</w:t>
            </w:r>
          </w:p>
        </w:tc>
        <w:tc>
          <w:tcPr>
            <w:tcW w:w="6543" w:type="dxa"/>
            <w:tcBorders>
              <w:top w:val="single" w:color="auto" w:sz="12" w:space="0"/>
              <w:right w:val="single" w:color="auto" w:sz="12" w:space="0"/>
            </w:tcBorders>
            <w:vAlign w:val="center"/>
          </w:tcPr>
          <w:p>
            <w:pPr>
              <w:pStyle w:val="12"/>
              <w:spacing w:line="400" w:lineRule="exact"/>
              <w:rPr>
                <w:rFonts w:hint="eastAsia" w:ascii="仿宋_GB2312" w:hAnsi="仿宋" w:eastAsia="仿宋_GB2312"/>
                <w:sz w:val="24"/>
                <w:lang w:eastAsia="zh-CN"/>
              </w:rPr>
            </w:pPr>
            <w:r>
              <w:rPr>
                <w:rFonts w:hint="eastAsia" w:ascii="仿宋_GB2312" w:hAnsi="仿宋" w:eastAsia="仿宋_GB2312" w:cs="Tahoma"/>
                <w:kern w:val="2"/>
                <w:sz w:val="24"/>
                <w:szCs w:val="20"/>
              </w:rPr>
              <w:t>项目名称：海南省矿产资源总体规划（2021-2025年）环境影响评价（海域部分）</w:t>
            </w:r>
            <w:r>
              <w:rPr>
                <w:rFonts w:hint="eastAsia" w:ascii="仿宋_GB2312" w:hAnsi="仿宋" w:eastAsia="仿宋_GB2312" w:cs="Tahoma"/>
                <w:kern w:val="2"/>
                <w:sz w:val="24"/>
                <w:szCs w:val="20"/>
                <w:lang w:eastAsia="zh-CN"/>
              </w:rPr>
              <w:t>（四次）</w:t>
            </w:r>
          </w:p>
          <w:p>
            <w:pPr>
              <w:pStyle w:val="12"/>
              <w:spacing w:line="400" w:lineRule="exact"/>
              <w:rPr>
                <w:rFonts w:hint="eastAsia" w:ascii="仿宋_GB2312" w:hAnsi="仿宋" w:eastAsia="仿宋_GB2312" w:cs="Tahoma"/>
                <w:kern w:val="2"/>
                <w:sz w:val="24"/>
                <w:szCs w:val="20"/>
                <w:lang w:eastAsia="zh-CN"/>
              </w:rPr>
            </w:pPr>
            <w:r>
              <w:rPr>
                <w:rFonts w:hint="eastAsia" w:ascii="仿宋_GB2312" w:hAnsi="仿宋" w:eastAsia="仿宋_GB2312" w:cs="Tahoma"/>
                <w:kern w:val="2"/>
                <w:sz w:val="24"/>
                <w:szCs w:val="20"/>
              </w:rPr>
              <w:t>项目编号：</w:t>
            </w:r>
            <w:r>
              <w:rPr>
                <w:rFonts w:hint="eastAsia" w:ascii="仿宋_GB2312" w:hAnsi="仿宋" w:eastAsia="仿宋_GB2312" w:cs="Tahoma"/>
                <w:kern w:val="2"/>
                <w:sz w:val="24"/>
                <w:szCs w:val="20"/>
                <w:lang w:eastAsia="zh-CN"/>
              </w:rPr>
              <w:t>GGP20210309Q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12" w:space="0"/>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2</w:t>
            </w:r>
          </w:p>
        </w:tc>
        <w:tc>
          <w:tcPr>
            <w:tcW w:w="2529" w:type="dxa"/>
            <w:tcBorders>
              <w:top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采购方式</w:t>
            </w:r>
          </w:p>
        </w:tc>
        <w:tc>
          <w:tcPr>
            <w:tcW w:w="6543" w:type="dxa"/>
            <w:tcBorders>
              <w:top w:val="single" w:color="auto" w:sz="12" w:space="0"/>
              <w:righ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3</w:t>
            </w:r>
          </w:p>
        </w:tc>
        <w:tc>
          <w:tcPr>
            <w:tcW w:w="2529" w:type="dxa"/>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采购预算</w:t>
            </w:r>
          </w:p>
        </w:tc>
        <w:tc>
          <w:tcPr>
            <w:tcW w:w="6543" w:type="dxa"/>
            <w:tcBorders>
              <w:righ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3000000.00元（大写：叁佰万元整）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4</w:t>
            </w:r>
          </w:p>
        </w:tc>
        <w:tc>
          <w:tcPr>
            <w:tcW w:w="2529" w:type="dxa"/>
            <w:vAlign w:val="center"/>
          </w:tcPr>
          <w:p>
            <w:pPr>
              <w:pStyle w:val="12"/>
              <w:spacing w:line="400" w:lineRule="exact"/>
              <w:rPr>
                <w:rFonts w:ascii="仿宋_GB2312" w:hAnsi="仿宋" w:eastAsia="仿宋_GB2312"/>
                <w:color w:val="000000"/>
                <w:kern w:val="28"/>
                <w:sz w:val="24"/>
              </w:rPr>
            </w:pPr>
            <w:r>
              <w:rPr>
                <w:rFonts w:hint="eastAsia" w:ascii="仿宋_GB2312" w:hAnsi="仿宋" w:eastAsia="仿宋_GB2312"/>
                <w:color w:val="000000"/>
                <w:kern w:val="28"/>
                <w:sz w:val="24"/>
              </w:rPr>
              <w:t>服务期限</w:t>
            </w:r>
          </w:p>
        </w:tc>
        <w:tc>
          <w:tcPr>
            <w:tcW w:w="6543" w:type="dxa"/>
            <w:tcBorders>
              <w:right w:val="single" w:color="auto" w:sz="12" w:space="0"/>
            </w:tcBorders>
            <w:vAlign w:val="center"/>
          </w:tcPr>
          <w:p>
            <w:pPr>
              <w:pStyle w:val="12"/>
              <w:spacing w:line="400" w:lineRule="exact"/>
              <w:rPr>
                <w:rFonts w:ascii="仿宋_GB2312" w:hAnsi="仿宋" w:eastAsia="仿宋_GB2312"/>
                <w:color w:val="000000"/>
                <w:kern w:val="28"/>
                <w:sz w:val="24"/>
              </w:rPr>
            </w:pPr>
            <w:r>
              <w:rPr>
                <w:rFonts w:hint="eastAsia" w:ascii="仿宋_GB2312" w:hAnsi="仿宋" w:eastAsia="仿宋_GB2312"/>
                <w:color w:val="000000"/>
                <w:kern w:val="28"/>
                <w:sz w:val="24"/>
              </w:rPr>
              <w:t>从签订合同之日起至2021年12月31日止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5</w:t>
            </w:r>
          </w:p>
        </w:tc>
        <w:tc>
          <w:tcPr>
            <w:tcW w:w="2529" w:type="dxa"/>
            <w:vAlign w:val="center"/>
          </w:tcPr>
          <w:p>
            <w:pPr>
              <w:pStyle w:val="12"/>
              <w:spacing w:line="400" w:lineRule="exact"/>
              <w:rPr>
                <w:rFonts w:ascii="仿宋_GB2312" w:hAnsi="仿宋" w:eastAsia="仿宋_GB2312"/>
                <w:kern w:val="28"/>
                <w:sz w:val="24"/>
              </w:rPr>
            </w:pPr>
            <w:r>
              <w:rPr>
                <w:rFonts w:hint="eastAsia" w:ascii="仿宋_GB2312" w:hAnsi="仿宋" w:eastAsia="仿宋_GB2312"/>
                <w:kern w:val="28"/>
                <w:sz w:val="24"/>
              </w:rPr>
              <w:t>地点</w:t>
            </w:r>
          </w:p>
        </w:tc>
        <w:tc>
          <w:tcPr>
            <w:tcW w:w="6543" w:type="dxa"/>
            <w:tcBorders>
              <w:righ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6</w:t>
            </w:r>
          </w:p>
        </w:tc>
        <w:tc>
          <w:tcPr>
            <w:tcW w:w="2529" w:type="dxa"/>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磋商时间及地点</w:t>
            </w:r>
          </w:p>
        </w:tc>
        <w:tc>
          <w:tcPr>
            <w:tcW w:w="6543" w:type="dxa"/>
            <w:tcBorders>
              <w:righ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磋商时间</w:t>
            </w:r>
            <w:r>
              <w:rPr>
                <w:rFonts w:hint="eastAsia" w:ascii="仿宋_GB2312" w:hAnsi="仿宋" w:eastAsia="仿宋_GB2312" w:cs="Tahoma"/>
                <w:kern w:val="2"/>
                <w:sz w:val="24"/>
                <w:szCs w:val="20"/>
              </w:rPr>
              <w:t>：</w:t>
            </w:r>
            <w:r>
              <w:rPr>
                <w:rFonts w:hint="eastAsia" w:ascii="仿宋_GB2312" w:hAnsi="仿宋" w:eastAsia="仿宋_GB2312" w:cs="Tahoma"/>
                <w:kern w:val="2"/>
                <w:sz w:val="24"/>
                <w:szCs w:val="20"/>
                <w:highlight w:val="yellow"/>
              </w:rPr>
              <w:t>2021年05月</w:t>
            </w:r>
            <w:r>
              <w:rPr>
                <w:rFonts w:hint="eastAsia" w:ascii="仿宋_GB2312" w:hAnsi="仿宋" w:eastAsia="仿宋_GB2312" w:cs="Tahoma"/>
                <w:kern w:val="2"/>
                <w:sz w:val="24"/>
                <w:szCs w:val="20"/>
                <w:highlight w:val="yellow"/>
                <w:lang w:val="en-US" w:eastAsia="zh-CN"/>
              </w:rPr>
              <w:t>31</w:t>
            </w:r>
            <w:r>
              <w:rPr>
                <w:rFonts w:hint="eastAsia" w:ascii="仿宋_GB2312" w:hAnsi="仿宋" w:eastAsia="仿宋_GB2312" w:cs="Tahoma"/>
                <w:kern w:val="2"/>
                <w:sz w:val="24"/>
                <w:szCs w:val="20"/>
                <w:highlight w:val="yellow"/>
              </w:rPr>
              <w:t>日9:00时（北京时间）</w:t>
            </w:r>
          </w:p>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磋商地点：海口市美兰区蓝天路12号世纪港14楼C1401室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7</w:t>
            </w:r>
          </w:p>
        </w:tc>
        <w:tc>
          <w:tcPr>
            <w:tcW w:w="2529" w:type="dxa"/>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w:t>
            </w:r>
            <w:r>
              <w:rPr>
                <w:rFonts w:hint="eastAsia" w:ascii="仿宋_GB2312" w:hAnsi="仿宋" w:eastAsia="仿宋_GB2312" w:cs="Tahoma"/>
                <w:kern w:val="2"/>
                <w:sz w:val="24"/>
                <w:szCs w:val="20"/>
              </w:rPr>
              <w:t>保证金</w:t>
            </w:r>
          </w:p>
        </w:tc>
        <w:tc>
          <w:tcPr>
            <w:tcW w:w="6543" w:type="dxa"/>
            <w:tcBorders>
              <w:right w:val="single" w:color="auto" w:sz="12" w:space="0"/>
            </w:tcBorders>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w:t>
            </w:r>
            <w:r>
              <w:rPr>
                <w:rFonts w:hint="eastAsia" w:ascii="仿宋_GB2312" w:hAnsi="仿宋" w:eastAsia="仿宋_GB2312" w:cs="Tahoma"/>
                <w:kern w:val="2"/>
                <w:sz w:val="24"/>
                <w:szCs w:val="20"/>
              </w:rPr>
              <w:t>保证金：人民币叁万元整（￥30000.00）</w:t>
            </w:r>
          </w:p>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w:t>
            </w:r>
            <w:r>
              <w:rPr>
                <w:rFonts w:hint="eastAsia" w:ascii="仿宋_GB2312" w:hAnsi="仿宋" w:eastAsia="仿宋_GB2312" w:cs="Tahoma"/>
                <w:kern w:val="2"/>
                <w:sz w:val="24"/>
                <w:szCs w:val="20"/>
              </w:rPr>
              <w:t>保证金递交形式：网上支付或线下银行转账支付。</w:t>
            </w:r>
          </w:p>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w:t>
            </w:r>
            <w:r>
              <w:rPr>
                <w:rFonts w:hint="eastAsia" w:ascii="仿宋_GB2312" w:hAnsi="仿宋" w:eastAsia="仿宋_GB2312" w:cs="Tahoma"/>
                <w:kern w:val="2"/>
                <w:sz w:val="24"/>
                <w:szCs w:val="20"/>
              </w:rPr>
              <w:t>保证金汇至：海南金政采项目管理有限公司</w:t>
            </w:r>
          </w:p>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开 户 行：平安银行海口海府支行</w:t>
            </w:r>
          </w:p>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账    号：110 1471093 6004</w:t>
            </w:r>
          </w:p>
          <w:p>
            <w:pPr>
              <w:pStyle w:val="12"/>
              <w:spacing w:line="400" w:lineRule="exact"/>
              <w:rPr>
                <w:rFonts w:ascii="仿宋_GB2312" w:hAnsi="仿宋" w:eastAsia="仿宋_GB2312" w:cs="Tahoma"/>
                <w:kern w:val="2"/>
                <w:sz w:val="24"/>
                <w:szCs w:val="20"/>
              </w:rPr>
            </w:pPr>
            <w:r>
              <w:rPr>
                <w:rFonts w:hint="eastAsia" w:ascii="仿宋_GB2312" w:hAnsi="仿宋" w:eastAsia="仿宋_GB2312" w:cs="宋体"/>
                <w:sz w:val="24"/>
                <w:szCs w:val="24"/>
              </w:rPr>
              <w:t>磋商保证金凭证：须提供磋商保证金缴纳凭证，且磋商保证金缴纳凭证上用途需备注“(项目名称)磋商保证金”或“（项目编号）磋商保证金”用以确认为本项目磋商保证金（如备注字数有限制，项目编号可用后四位数字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8</w:t>
            </w:r>
          </w:p>
        </w:tc>
        <w:tc>
          <w:tcPr>
            <w:tcW w:w="2529" w:type="dxa"/>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w:t>
            </w:r>
            <w:r>
              <w:rPr>
                <w:rFonts w:hint="eastAsia" w:ascii="仿宋_GB2312" w:hAnsi="仿宋" w:eastAsia="仿宋_GB2312" w:cs="Tahoma"/>
                <w:kern w:val="2"/>
                <w:sz w:val="24"/>
                <w:szCs w:val="20"/>
              </w:rPr>
              <w:t>有效期</w:t>
            </w:r>
          </w:p>
        </w:tc>
        <w:tc>
          <w:tcPr>
            <w:tcW w:w="6543" w:type="dxa"/>
            <w:tcBorders>
              <w:righ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磋商</w:t>
            </w:r>
            <w:r>
              <w:rPr>
                <w:rFonts w:hint="eastAsia" w:ascii="仿宋_GB2312" w:hAnsi="仿宋" w:eastAsia="仿宋_GB2312" w:cs="Tahoma"/>
                <w:kern w:val="2"/>
                <w:sz w:val="24"/>
                <w:szCs w:val="20"/>
              </w:rPr>
              <w:t>有效期：60天（日历天）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9</w:t>
            </w:r>
          </w:p>
        </w:tc>
        <w:tc>
          <w:tcPr>
            <w:tcW w:w="2529" w:type="dxa"/>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olor w:val="000000"/>
                <w:kern w:val="28"/>
                <w:sz w:val="24"/>
              </w:rPr>
              <w:t>响应</w:t>
            </w:r>
            <w:r>
              <w:rPr>
                <w:rFonts w:hint="eastAsia" w:ascii="仿宋_GB2312" w:hAnsi="仿宋" w:eastAsia="仿宋_GB2312" w:cs="Tahoma"/>
                <w:kern w:val="2"/>
                <w:sz w:val="24"/>
                <w:szCs w:val="20"/>
              </w:rPr>
              <w:t>文件份数</w:t>
            </w:r>
          </w:p>
        </w:tc>
        <w:tc>
          <w:tcPr>
            <w:tcW w:w="6543" w:type="dxa"/>
            <w:tcBorders>
              <w:right w:val="single" w:color="auto" w:sz="12" w:space="0"/>
            </w:tcBorders>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响应文件份数：正本壹份，副本贰份，电子版一份（U盘），开标一览表一份。</w:t>
            </w:r>
          </w:p>
          <w:p>
            <w:pPr>
              <w:pStyle w:val="12"/>
              <w:spacing w:line="400" w:lineRule="exact"/>
              <w:rPr>
                <w:rFonts w:ascii="仿宋_GB2312" w:hAnsi="仿宋" w:eastAsia="仿宋_GB2312" w:cs="Tahoma"/>
                <w:kern w:val="2"/>
                <w:sz w:val="24"/>
                <w:szCs w:val="20"/>
              </w:rPr>
            </w:pPr>
            <w:r>
              <w:rPr>
                <w:rFonts w:hint="eastAsia" w:ascii="仿宋_GB2312" w:hAnsi="仿宋" w:eastAsia="仿宋_GB2312" w:cs="Tahoma"/>
                <w:b/>
                <w:bCs/>
                <w:kern w:val="2"/>
                <w:sz w:val="24"/>
                <w:szCs w:val="20"/>
              </w:rPr>
              <w:t>注：响应文件不得采用活页夹装订，均须胶装</w:t>
            </w:r>
            <w:r>
              <w:rPr>
                <w:rFonts w:hint="eastAsia" w:ascii="仿宋_GB2312" w:hAnsi="仿宋" w:eastAsia="仿宋_GB2312" w:cs="Tahoma"/>
                <w:kern w:val="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left w:val="single" w:color="auto" w:sz="12" w:space="0"/>
            </w:tcBorders>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Tahoma"/>
                <w:kern w:val="2"/>
                <w:sz w:val="24"/>
                <w:szCs w:val="20"/>
              </w:rPr>
              <w:t>10</w:t>
            </w:r>
          </w:p>
        </w:tc>
        <w:tc>
          <w:tcPr>
            <w:tcW w:w="2529" w:type="dxa"/>
            <w:vAlign w:val="center"/>
          </w:tcPr>
          <w:p>
            <w:pPr>
              <w:pStyle w:val="12"/>
              <w:spacing w:line="400" w:lineRule="exact"/>
              <w:rPr>
                <w:rFonts w:ascii="仿宋_GB2312" w:hAnsi="仿宋" w:eastAsia="仿宋_GB2312" w:cs="Tahoma"/>
                <w:kern w:val="2"/>
                <w:sz w:val="24"/>
                <w:szCs w:val="20"/>
              </w:rPr>
            </w:pPr>
            <w:r>
              <w:rPr>
                <w:rFonts w:hint="eastAsia" w:ascii="仿宋_GB2312" w:hAnsi="仿宋" w:eastAsia="仿宋_GB2312" w:cs="Arial Unicode MS"/>
                <w:sz w:val="24"/>
              </w:rPr>
              <w:t>磋商报价</w:t>
            </w:r>
          </w:p>
        </w:tc>
        <w:tc>
          <w:tcPr>
            <w:tcW w:w="6543" w:type="dxa"/>
            <w:tcBorders>
              <w:right w:val="single" w:color="auto" w:sz="12" w:space="0"/>
            </w:tcBorders>
          </w:tcPr>
          <w:p>
            <w:pPr>
              <w:pStyle w:val="12"/>
              <w:spacing w:line="400" w:lineRule="exact"/>
              <w:rPr>
                <w:rFonts w:ascii="仿宋_GB2312" w:hAnsi="仿宋" w:eastAsia="仿宋_GB2312" w:cs="Tahoma"/>
                <w:kern w:val="2"/>
                <w:sz w:val="24"/>
                <w:szCs w:val="20"/>
              </w:rPr>
            </w:pPr>
            <w:r>
              <w:rPr>
                <w:rFonts w:hint="eastAsia" w:ascii="仿宋_GB2312" w:hAnsi="仿宋" w:eastAsia="仿宋_GB2312" w:cs="宋体"/>
                <w:sz w:val="24"/>
              </w:rPr>
              <w:t>磋商报价：供应商必须就本项目采购需求中的全部内容作完整报价，每轮报价均应是唯一报价，最后报价是供应商响应文件的有效组成部分。最后报价出现漏项报价的或有选择的或有条件的报价，其响应文件将视为无效。</w:t>
            </w:r>
          </w:p>
        </w:tc>
      </w:tr>
    </w:tbl>
    <w:p>
      <w:pPr>
        <w:pStyle w:val="4"/>
        <w:jc w:val="center"/>
        <w:rPr>
          <w:rFonts w:ascii="仿宋_GB2312" w:hAnsi="仿宋" w:eastAsia="仿宋_GB2312"/>
          <w:sz w:val="28"/>
          <w:szCs w:val="28"/>
        </w:rPr>
      </w:pPr>
      <w:r>
        <w:rPr>
          <w:rFonts w:hint="eastAsia" w:ascii="仿宋_GB2312" w:hAnsi="仿宋" w:eastAsia="仿宋_GB2312" w:cs="宋体"/>
          <w:sz w:val="28"/>
          <w:szCs w:val="28"/>
        </w:rPr>
        <w:t>一、总则</w:t>
      </w:r>
      <w:bookmarkEnd w:id="9"/>
      <w:bookmarkEnd w:id="10"/>
      <w:bookmarkEnd w:id="11"/>
      <w:bookmarkEnd w:id="12"/>
    </w:p>
    <w:p>
      <w:pPr>
        <w:snapToGrid w:val="0"/>
        <w:rPr>
          <w:rFonts w:ascii="仿宋_GB2312" w:hAnsi="仿宋" w:eastAsia="仿宋_GB2312"/>
          <w:b/>
          <w:bCs/>
          <w:kern w:val="0"/>
          <w:sz w:val="28"/>
          <w:szCs w:val="28"/>
        </w:rPr>
      </w:pPr>
      <w:r>
        <w:rPr>
          <w:rFonts w:hint="eastAsia" w:ascii="仿宋_GB2312" w:hAnsi="仿宋" w:eastAsia="仿宋_GB2312"/>
          <w:b/>
          <w:bCs/>
          <w:kern w:val="0"/>
          <w:sz w:val="28"/>
          <w:szCs w:val="28"/>
        </w:rPr>
        <w:t>（一）综合说明</w:t>
      </w:r>
    </w:p>
    <w:p>
      <w:pPr>
        <w:adjustRightInd w:val="0"/>
        <w:snapToGrid w:val="0"/>
        <w:ind w:firstLine="560" w:firstLineChars="200"/>
        <w:rPr>
          <w:rFonts w:hint="eastAsia" w:ascii="仿宋_GB2312" w:hAnsi="仿宋" w:eastAsia="仿宋_GB2312" w:cs="宋体"/>
          <w:color w:val="FF0000"/>
          <w:sz w:val="28"/>
          <w:szCs w:val="28"/>
          <w:lang w:eastAsia="zh-CN"/>
        </w:rPr>
      </w:pPr>
      <w:r>
        <w:rPr>
          <w:rFonts w:hint="eastAsia" w:ascii="仿宋_GB2312" w:hAnsi="仿宋" w:eastAsia="仿宋_GB2312" w:cs="宋体"/>
          <w:sz w:val="28"/>
          <w:szCs w:val="28"/>
        </w:rPr>
        <w:t>1、采购项目：海南省矿产资源总体规划（2021-2025年）环境影响评价（海域部分）</w:t>
      </w:r>
      <w:r>
        <w:rPr>
          <w:rFonts w:hint="eastAsia" w:ascii="仿宋_GB2312" w:hAnsi="仿宋" w:eastAsia="仿宋_GB2312" w:cs="宋体"/>
          <w:sz w:val="28"/>
          <w:szCs w:val="28"/>
          <w:lang w:eastAsia="zh-CN"/>
        </w:rPr>
        <w:t>（四次）</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2、采购代理机构：海南金政采项目管理有限公司</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3、供应商：已从采购代理机构购买磋商文件并提交响应文件的法人、其他组织或自然人。</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4、成交供应商：经过采购确定的提供合同货物或服务的供应商。</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5、本磋商文件仅适用于组织的本次磋商活动。</w:t>
      </w:r>
    </w:p>
    <w:p>
      <w:pPr>
        <w:snapToGrid w:val="0"/>
        <w:ind w:firstLine="560" w:firstLineChars="200"/>
        <w:textAlignment w:val="baseline"/>
        <w:rPr>
          <w:rFonts w:ascii="仿宋_GB2312" w:hAnsi="仿宋" w:eastAsia="仿宋_GB2312" w:cs="宋体"/>
          <w:sz w:val="28"/>
          <w:szCs w:val="28"/>
        </w:rPr>
      </w:pPr>
      <w:r>
        <w:rPr>
          <w:rFonts w:hint="eastAsia" w:ascii="仿宋_GB2312" w:hAnsi="仿宋" w:eastAsia="仿宋_GB2312" w:cs="宋体"/>
          <w:sz w:val="28"/>
          <w:szCs w:val="28"/>
        </w:rPr>
        <w:t>6、本项目按照《中华人民共和国政府采购法》及相关法规，已办理采购申请，并得到采购管理机构批准，现通过竞争性磋商来择优选定服务的供应商。本磋商文件包括本文所列内容及按本须知发出的全部和补充资料。供应商应认真阅读本磋商文件中所有的事项、格式、条款、技术规范等实质性的条件和要求。供应商被视为充分熟悉本采购项目的全部内容及与履行合同有关的全部内容，熟悉磋商文件的格式、条件和范围。供应商没有按照磋商文件的要求提交相关资料，或者供应商没有对磋商文件相关内容都做出实质性响应是供应商的风险，并可能导致其磋商无效。</w:t>
      </w:r>
    </w:p>
    <w:p>
      <w:pPr>
        <w:pStyle w:val="12"/>
        <w:adjustRightInd w:val="0"/>
        <w:snapToGrid w:val="0"/>
        <w:rPr>
          <w:rFonts w:ascii="仿宋_GB2312" w:hAnsi="仿宋" w:eastAsia="仿宋_GB2312" w:cs="宋体"/>
          <w:b/>
          <w:bCs/>
          <w:sz w:val="28"/>
          <w:szCs w:val="28"/>
        </w:rPr>
      </w:pPr>
      <w:r>
        <w:rPr>
          <w:rFonts w:hint="eastAsia" w:ascii="仿宋_GB2312" w:hAnsi="仿宋" w:eastAsia="仿宋_GB2312" w:cs="宋体"/>
          <w:b/>
          <w:kern w:val="2"/>
          <w:sz w:val="28"/>
          <w:szCs w:val="28"/>
        </w:rPr>
        <w:t>（二）</w:t>
      </w:r>
      <w:r>
        <w:rPr>
          <w:rFonts w:hint="eastAsia" w:ascii="仿宋_GB2312" w:hAnsi="仿宋" w:eastAsia="仿宋_GB2312" w:cs="宋体"/>
          <w:b/>
          <w:sz w:val="28"/>
          <w:szCs w:val="28"/>
        </w:rPr>
        <w:t>合格的供应商</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1、供应商参加本次政府采购活动应当符合《中华人民共和国政府采购法》第二十二条的规定并具备磋商文件第一章“供应商资格要求”规定的条件。</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2、供应商其他合格条件详见本项目采购公告。</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3、被列入失信被执行人、重大税收违法案件当事人名单、政府采购严重违法失信行为记录名单，以及存在其他不符合《中华人民共和国政府采购法》第二十二条规定条件的情况的供应商不得参与磋商。</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因违法经营受到刑事处罚或者责令停产停业、吊销许可证或者执照、较大数额罚款等行政处罚、或者存在财政部门认定的其他重大违法记录，以及在财政部门禁止参加政府采购活动期限以内的供应商不得参与磋商。</w:t>
      </w:r>
    </w:p>
    <w:p>
      <w:pPr>
        <w:pStyle w:val="23"/>
        <w:snapToGrid w:val="0"/>
        <w:spacing w:after="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6.供应商为中小企业(含中型、小型、微型企业，下同)应当同时符合以下条件：</w:t>
      </w:r>
    </w:p>
    <w:p>
      <w:pPr>
        <w:pStyle w:val="23"/>
        <w:snapToGrid w:val="0"/>
        <w:spacing w:after="0"/>
        <w:ind w:firstLine="280"/>
        <w:rPr>
          <w:rFonts w:ascii="仿宋_GB2312" w:hAnsi="仿宋" w:eastAsia="仿宋_GB2312" w:cs="宋体"/>
          <w:sz w:val="28"/>
          <w:szCs w:val="28"/>
        </w:rPr>
      </w:pPr>
      <w:r>
        <w:rPr>
          <w:rFonts w:hint="eastAsia" w:ascii="仿宋_GB2312" w:hAnsi="仿宋" w:eastAsia="仿宋_GB2312" w:cs="宋体"/>
          <w:sz w:val="28"/>
          <w:szCs w:val="28"/>
        </w:rPr>
        <w:t>　　(一)符合中小企业划分标准;</w:t>
      </w:r>
    </w:p>
    <w:p>
      <w:pPr>
        <w:pStyle w:val="23"/>
        <w:snapToGrid w:val="0"/>
        <w:spacing w:after="0"/>
        <w:ind w:firstLine="280"/>
        <w:rPr>
          <w:rFonts w:ascii="仿宋_GB2312" w:hAnsi="仿宋" w:eastAsia="仿宋_GB2312" w:cs="宋体"/>
          <w:sz w:val="28"/>
          <w:szCs w:val="28"/>
        </w:rPr>
      </w:pPr>
      <w:r>
        <w:rPr>
          <w:rFonts w:hint="eastAsia" w:ascii="仿宋_GB2312" w:hAnsi="仿宋" w:eastAsia="仿宋_GB2312" w:cs="宋体"/>
          <w:sz w:val="28"/>
          <w:szCs w:val="28"/>
        </w:rPr>
        <w:t>　　(二)提供本企业制造的货物、承担的工程或者服务，或者提供其他中小企业制造的货物。本项所称货物不包括使用大型企业注册商标的货物。</w:t>
      </w:r>
    </w:p>
    <w:p>
      <w:pPr>
        <w:pStyle w:val="23"/>
        <w:snapToGrid w:val="0"/>
        <w:spacing w:after="0"/>
        <w:ind w:firstLine="280"/>
        <w:rPr>
          <w:rFonts w:ascii="仿宋_GB2312" w:hAnsi="仿宋" w:eastAsia="仿宋_GB2312" w:cs="宋体"/>
          <w:sz w:val="28"/>
          <w:szCs w:val="28"/>
        </w:rPr>
      </w:pPr>
      <w:r>
        <w:rPr>
          <w:rFonts w:hint="eastAsia" w:ascii="仿宋_GB2312" w:hAnsi="仿宋" w:eastAsia="仿宋_GB2312" w:cs="宋体"/>
          <w:sz w:val="28"/>
          <w:szCs w:val="28"/>
        </w:rPr>
        <w:t>　　中小企业划分标准，是指国务院有关部门根据企业从业人员、营业收入、资产总额等指标制定的中小企业划型标准。</w:t>
      </w:r>
    </w:p>
    <w:p>
      <w:pPr>
        <w:pStyle w:val="23"/>
        <w:snapToGrid w:val="0"/>
        <w:spacing w:after="0"/>
        <w:ind w:firstLine="280"/>
        <w:rPr>
          <w:rFonts w:ascii="仿宋_GB2312" w:eastAsia="仿宋_GB2312"/>
        </w:rPr>
      </w:pPr>
      <w:r>
        <w:rPr>
          <w:rFonts w:hint="eastAsia" w:ascii="仿宋_GB2312" w:hAnsi="仿宋" w:eastAsia="仿宋_GB2312" w:cs="宋体"/>
          <w:sz w:val="28"/>
          <w:szCs w:val="28"/>
        </w:rPr>
        <w:t>　　小型、微型企业提供中型企业制造的货物的，视同为中型企业。</w:t>
      </w:r>
    </w:p>
    <w:p>
      <w:pPr>
        <w:snapToGrid w:val="0"/>
        <w:rPr>
          <w:rFonts w:ascii="仿宋_GB2312" w:hAnsi="仿宋" w:eastAsia="仿宋_GB2312" w:cs="宋体"/>
          <w:b/>
          <w:sz w:val="28"/>
          <w:szCs w:val="28"/>
        </w:rPr>
      </w:pPr>
      <w:r>
        <w:rPr>
          <w:rFonts w:hint="eastAsia" w:ascii="仿宋_GB2312" w:hAnsi="仿宋" w:eastAsia="仿宋_GB2312" w:cs="宋体"/>
          <w:b/>
          <w:sz w:val="28"/>
          <w:szCs w:val="28"/>
        </w:rPr>
        <w:t>（三）费用</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1、供应商应承担其编制响应文件与递交响应文件等磋商过程中所涉及的一切费用，不论磋商结果如何，采购人及采购代理机构将不予承担。</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2、供应商的报价须充分考虑采购过程中产生的费用，不论成交与否，采购人均不予以补偿。</w:t>
      </w:r>
    </w:p>
    <w:p>
      <w:pPr>
        <w:pStyle w:val="7"/>
        <w:snapToGrid w:val="0"/>
        <w:spacing w:before="0"/>
        <w:ind w:firstLine="560"/>
        <w:rPr>
          <w:rFonts w:ascii="仿宋_GB2312" w:hAnsi="仿宋" w:eastAsia="仿宋_GB2312" w:cs="宋体"/>
          <w:b/>
          <w:sz w:val="28"/>
          <w:szCs w:val="28"/>
        </w:rPr>
      </w:pPr>
      <w:r>
        <w:rPr>
          <w:rFonts w:hint="eastAsia" w:ascii="仿宋_GB2312" w:hAnsi="仿宋" w:eastAsia="仿宋_GB2312" w:cs="宋体"/>
          <w:sz w:val="28"/>
          <w:szCs w:val="28"/>
        </w:rPr>
        <w:t>3、本项目向</w:t>
      </w:r>
      <w:r>
        <w:rPr>
          <w:rFonts w:hint="eastAsia" w:ascii="仿宋_GB2312" w:hAnsi="仿宋" w:eastAsia="仿宋_GB2312" w:cs="宋体"/>
          <w:sz w:val="28"/>
          <w:szCs w:val="28"/>
          <w:u w:val="single"/>
        </w:rPr>
        <w:t>成交单位</w:t>
      </w:r>
      <w:r>
        <w:rPr>
          <w:rFonts w:hint="eastAsia" w:ascii="仿宋_GB2312" w:hAnsi="仿宋" w:eastAsia="仿宋_GB2312" w:cs="宋体"/>
          <w:sz w:val="28"/>
          <w:szCs w:val="28"/>
        </w:rPr>
        <w:t>收取采购代理服务费，按成交价格根据《关于降低部分招标代理服务收费标准的通知》（琼价费〔2011〕225号）的规定计，</w:t>
      </w:r>
      <w:r>
        <w:rPr>
          <w:rStyle w:val="61"/>
          <w:rFonts w:hint="eastAsia" w:ascii="仿宋_GB2312" w:hAnsi="仿宋" w:eastAsia="仿宋_GB2312" w:cs="仿宋"/>
          <w:bCs/>
          <w:sz w:val="28"/>
          <w:szCs w:val="28"/>
        </w:rPr>
        <w:t>在领取成交通知书前一次性支付。磋商供应商报价时自行考虑到磋商报价中。</w:t>
      </w:r>
    </w:p>
    <w:p>
      <w:pPr>
        <w:snapToGrid w:val="0"/>
        <w:rPr>
          <w:rFonts w:ascii="仿宋_GB2312" w:hAnsi="仿宋" w:eastAsia="仿宋_GB2312" w:cs="宋体"/>
          <w:b/>
          <w:sz w:val="28"/>
          <w:szCs w:val="28"/>
        </w:rPr>
      </w:pPr>
      <w:bookmarkStart w:id="13" w:name="_Toc238907005"/>
      <w:r>
        <w:rPr>
          <w:rFonts w:hint="eastAsia" w:ascii="仿宋_GB2312" w:hAnsi="仿宋" w:eastAsia="仿宋_GB2312" w:cs="宋体"/>
          <w:b/>
          <w:sz w:val="28"/>
          <w:szCs w:val="28"/>
        </w:rPr>
        <w:t>（四）法律适用</w:t>
      </w:r>
      <w:bookmarkEnd w:id="13"/>
    </w:p>
    <w:p>
      <w:pPr>
        <w:snapToGrid w:val="0"/>
        <w:ind w:firstLine="560" w:firstLineChars="200"/>
        <w:rPr>
          <w:rFonts w:ascii="仿宋_GB2312" w:hAnsi="仿宋" w:eastAsia="仿宋_GB2312" w:cs="宋体"/>
          <w:sz w:val="28"/>
          <w:szCs w:val="28"/>
        </w:rPr>
      </w:pPr>
      <w:bookmarkStart w:id="14" w:name="_Toc238907006"/>
      <w:r>
        <w:rPr>
          <w:rFonts w:hint="eastAsia" w:ascii="仿宋_GB2312" w:hAnsi="仿宋" w:eastAsia="仿宋_GB2312" w:cs="宋体"/>
          <w:sz w:val="28"/>
          <w:szCs w:val="28"/>
        </w:rPr>
        <w:t>本次采购活动及由本次磋商产生的合同受中华人民共和国的法律制约和保护。</w:t>
      </w:r>
    </w:p>
    <w:p>
      <w:pPr>
        <w:snapToGrid w:val="0"/>
        <w:rPr>
          <w:rFonts w:ascii="仿宋_GB2312" w:hAnsi="仿宋" w:eastAsia="仿宋_GB2312" w:cs="宋体"/>
          <w:b/>
          <w:sz w:val="28"/>
          <w:szCs w:val="28"/>
        </w:rPr>
      </w:pPr>
      <w:r>
        <w:rPr>
          <w:rFonts w:hint="eastAsia" w:ascii="仿宋_GB2312" w:hAnsi="仿宋" w:eastAsia="仿宋_GB2312" w:cs="宋体"/>
          <w:b/>
          <w:sz w:val="28"/>
          <w:szCs w:val="28"/>
        </w:rPr>
        <w:t>（五）磋商文件的约束力</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1、供应商一旦购买了本磋商文件并在7个工作日内未对采购代理机构提出书面质疑，即被认为接受了本磋商文件中的所有条款和规定。</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2、本磋商文件由采购人和采购代理机构负责解释。</w:t>
      </w:r>
    </w:p>
    <w:bookmarkEnd w:id="14"/>
    <w:p>
      <w:pPr>
        <w:pStyle w:val="4"/>
        <w:jc w:val="center"/>
        <w:rPr>
          <w:rFonts w:ascii="仿宋_GB2312" w:hAnsi="仿宋" w:eastAsia="仿宋_GB2312" w:cs="宋体"/>
          <w:sz w:val="28"/>
          <w:szCs w:val="28"/>
        </w:rPr>
      </w:pPr>
      <w:bookmarkStart w:id="15" w:name="_Toc238907007"/>
      <w:r>
        <w:rPr>
          <w:rFonts w:hint="eastAsia" w:ascii="仿宋_GB2312" w:hAnsi="仿宋" w:eastAsia="仿宋_GB2312" w:cs="宋体"/>
          <w:sz w:val="28"/>
          <w:szCs w:val="28"/>
        </w:rPr>
        <w:t>二、磋商文件</w:t>
      </w:r>
      <w:bookmarkEnd w:id="15"/>
    </w:p>
    <w:p>
      <w:pPr>
        <w:adjustRightInd w:val="0"/>
        <w:snapToGrid w:val="0"/>
        <w:rPr>
          <w:rFonts w:ascii="仿宋_GB2312" w:hAnsi="仿宋" w:eastAsia="仿宋_GB2312" w:cs="宋体"/>
          <w:b/>
          <w:sz w:val="28"/>
          <w:szCs w:val="28"/>
        </w:rPr>
      </w:pPr>
      <w:bookmarkStart w:id="16" w:name="_Toc238907008"/>
      <w:r>
        <w:rPr>
          <w:rFonts w:hint="eastAsia" w:ascii="仿宋_GB2312" w:hAnsi="仿宋" w:eastAsia="仿宋_GB2312" w:cs="宋体"/>
          <w:b/>
          <w:sz w:val="28"/>
          <w:szCs w:val="28"/>
        </w:rPr>
        <w:t>（一）磋商文件的组成</w:t>
      </w:r>
      <w:bookmarkEnd w:id="16"/>
    </w:p>
    <w:p>
      <w:pPr>
        <w:adjustRightInd w:val="0"/>
        <w:snapToGrid w:val="0"/>
        <w:ind w:firstLine="560" w:firstLineChars="200"/>
        <w:rPr>
          <w:rFonts w:ascii="仿宋_GB2312" w:hAnsi="仿宋" w:eastAsia="仿宋_GB2312" w:cs="宋体"/>
          <w:sz w:val="28"/>
          <w:szCs w:val="28"/>
        </w:rPr>
      </w:pPr>
      <w:bookmarkStart w:id="17" w:name="_Toc238907009"/>
      <w:r>
        <w:rPr>
          <w:rFonts w:hint="eastAsia" w:ascii="仿宋_GB2312" w:hAnsi="仿宋" w:eastAsia="仿宋_GB2312" w:cs="宋体"/>
          <w:sz w:val="28"/>
          <w:szCs w:val="28"/>
        </w:rPr>
        <w:t>1、磋商文件由下列部分以及在采购过程中发出的修正和补充文件组成：</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第一章  磋商邀请函</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第二章  供应商须知</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第三章  采购需求</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第四章  合同草案的条款</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第五章  评审方法、标准及程序</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第六章  响应文件内容及格式</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请仔细检查磋商文件是否齐全，如有缺漏，请立即与采购代理机构联系解决。</w:t>
      </w:r>
    </w:p>
    <w:p>
      <w:pPr>
        <w:numPr>
          <w:ilvl w:val="0"/>
          <w:numId w:val="2"/>
        </w:numPr>
        <w:adjustRightInd w:val="0"/>
        <w:snapToGrid w:val="0"/>
        <w:ind w:firstLine="560" w:firstLineChars="200"/>
        <w:rPr>
          <w:rFonts w:ascii="仿宋_GB2312" w:hAnsi="仿宋" w:eastAsia="仿宋_GB2312"/>
          <w:sz w:val="28"/>
          <w:szCs w:val="28"/>
        </w:rPr>
      </w:pPr>
      <w:r>
        <w:rPr>
          <w:rFonts w:hint="eastAsia" w:ascii="仿宋_GB2312" w:hAnsi="仿宋" w:eastAsia="仿宋_GB2312"/>
          <w:sz w:val="28"/>
          <w:szCs w:val="28"/>
        </w:rPr>
        <w:t>供应商被视为充分熟悉本采购项目所在地的与履行合同有关的各种情况，包括自然环境、气候条件、劳动力及公用设施等，本磋商文件不再对上述情况进行描述。</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3、供应商必须详阅磋商文件的所有事项、格式、条款等。供应商若未按磋商文件的要求和规范编制、提交响应文件，将有可能导致响应文件被拒绝接受或无效磋商，所造成的负面后果由供应商负责。</w:t>
      </w:r>
    </w:p>
    <w:bookmarkEnd w:id="17"/>
    <w:p>
      <w:pPr>
        <w:adjustRightInd w:val="0"/>
        <w:snapToGrid w:val="0"/>
        <w:rPr>
          <w:rFonts w:ascii="仿宋_GB2312" w:hAnsi="仿宋" w:eastAsia="仿宋_GB2312" w:cs="宋体"/>
          <w:b/>
          <w:sz w:val="28"/>
          <w:szCs w:val="28"/>
        </w:rPr>
      </w:pPr>
      <w:bookmarkStart w:id="18" w:name="_Toc238907011"/>
      <w:r>
        <w:rPr>
          <w:rFonts w:hint="eastAsia" w:ascii="仿宋_GB2312" w:hAnsi="仿宋" w:eastAsia="仿宋_GB2312" w:cs="宋体"/>
          <w:b/>
          <w:sz w:val="28"/>
          <w:szCs w:val="28"/>
        </w:rPr>
        <w:t>（二）磋商文件的询问或澄清</w:t>
      </w:r>
    </w:p>
    <w:p>
      <w:pPr>
        <w:adjustRightInd w:val="0"/>
        <w:snapToGrid w:val="0"/>
        <w:ind w:firstLine="630" w:firstLineChars="225"/>
        <w:rPr>
          <w:rFonts w:ascii="仿宋_GB2312" w:hAnsi="仿宋" w:eastAsia="仿宋_GB2312" w:cs="宋体"/>
          <w:sz w:val="28"/>
          <w:szCs w:val="28"/>
        </w:rPr>
      </w:pPr>
      <w:r>
        <w:rPr>
          <w:rFonts w:hint="eastAsia" w:ascii="仿宋_GB2312" w:hAnsi="仿宋" w:eastAsia="仿宋_GB2312" w:cs="宋体"/>
          <w:sz w:val="28"/>
          <w:szCs w:val="28"/>
        </w:rPr>
        <w:t>供应商在收到磋商文件后，若有疑问需要询问或要求澄清的，可以书面形式（包括信函、传真、电传，下同）在响应文件递交截止时间五日前通知采购代理机构，采购代理机构将以澄清或书面形式进行答复，同时采购代理机构有权将答复内容（包括所提问题，但不包括问题来源）分发给所有购买了本磋商文件的供应商。未对采购代理机构提出书面意见，即视为接受了本磋商文件中的所有条款和规定。供应商对采购代理机构提供的磋商文件所做出的推论、解释和结论，采购代理机构概不负责。供应商由于对磋商文件的任何推论误解以及采购代理机构对有关问题的口头解释所造成的后果，均由供应商自负。</w:t>
      </w:r>
      <w:bookmarkStart w:id="19" w:name="_Toc183582213"/>
      <w:bookmarkStart w:id="20" w:name="_Toc217446041"/>
      <w:bookmarkStart w:id="21" w:name="_Toc183682350"/>
      <w:bookmarkStart w:id="22" w:name="_Toc208848971"/>
    </w:p>
    <w:bookmarkEnd w:id="19"/>
    <w:bookmarkEnd w:id="20"/>
    <w:bookmarkEnd w:id="21"/>
    <w:bookmarkEnd w:id="22"/>
    <w:p>
      <w:pPr>
        <w:adjustRightInd w:val="0"/>
        <w:snapToGrid w:val="0"/>
        <w:rPr>
          <w:rFonts w:ascii="仿宋_GB2312" w:hAnsi="仿宋" w:eastAsia="仿宋_GB2312" w:cs="宋体"/>
          <w:b/>
          <w:sz w:val="28"/>
          <w:szCs w:val="28"/>
        </w:rPr>
      </w:pPr>
      <w:bookmarkStart w:id="23" w:name="_Toc238907010"/>
      <w:r>
        <w:rPr>
          <w:rFonts w:hint="eastAsia" w:ascii="仿宋_GB2312" w:hAnsi="仿宋" w:eastAsia="仿宋_GB2312" w:cs="宋体"/>
          <w:b/>
          <w:sz w:val="28"/>
          <w:szCs w:val="28"/>
        </w:rPr>
        <w:t>（三）磋商文件的</w:t>
      </w:r>
      <w:bookmarkEnd w:id="23"/>
      <w:r>
        <w:rPr>
          <w:rFonts w:hint="eastAsia" w:ascii="仿宋_GB2312" w:hAnsi="仿宋" w:eastAsia="仿宋_GB2312" w:cs="宋体"/>
          <w:b/>
          <w:sz w:val="28"/>
          <w:szCs w:val="28"/>
        </w:rPr>
        <w:t>补遗、澄清及变更信息</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采购人、采购代理机构均可对磋商文件用更正公告的方式进行补遗、澄清及变更，补遗、澄清及变更的内容可能影响响应文件编制的，采购人、采购代理机构应当在提交首次响应文件截止时间至少5日前（不足五日的应当顺延），将有关的补遗、澄清及变更信息以公告的形式发布，并以书面形式通知所有接收磋商文件的供应商，采购文件与更正公告的内容相互矛盾时，以最后发出的更正公告内容为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2、潜在供应商在收到上述通知后，应立即以书面形式向采购代理机构和采购人确认。</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3、为使供应商有足够的时间按磋商文件的更正要求修正响应文件，采购代理机构有权决定推迟响应文件提交截止日期和磋商时间，并将有关信息以公告的形式通知所有供应商。</w:t>
      </w:r>
    </w:p>
    <w:p>
      <w:pPr>
        <w:pStyle w:val="4"/>
        <w:adjustRightInd w:val="0"/>
        <w:snapToGrid w:val="0"/>
        <w:jc w:val="center"/>
        <w:rPr>
          <w:rFonts w:ascii="仿宋_GB2312" w:hAnsi="仿宋" w:eastAsia="仿宋_GB2312" w:cs="宋体"/>
          <w:sz w:val="28"/>
          <w:szCs w:val="28"/>
        </w:rPr>
      </w:pPr>
      <w:r>
        <w:rPr>
          <w:rFonts w:hint="eastAsia" w:ascii="仿宋_GB2312" w:hAnsi="仿宋" w:eastAsia="仿宋_GB2312" w:cs="宋体"/>
          <w:sz w:val="28"/>
          <w:szCs w:val="28"/>
        </w:rPr>
        <w:t>三、响应文件</w:t>
      </w:r>
      <w:bookmarkEnd w:id="18"/>
    </w:p>
    <w:p>
      <w:pPr>
        <w:adjustRightInd w:val="0"/>
        <w:snapToGrid w:val="0"/>
        <w:rPr>
          <w:rFonts w:ascii="仿宋_GB2312" w:hAnsi="仿宋" w:eastAsia="仿宋_GB2312" w:cs="宋体"/>
          <w:b/>
          <w:sz w:val="28"/>
          <w:szCs w:val="28"/>
        </w:rPr>
      </w:pPr>
      <w:bookmarkStart w:id="24" w:name="_Toc238907012"/>
      <w:r>
        <w:rPr>
          <w:rFonts w:hint="eastAsia" w:ascii="仿宋_GB2312" w:hAnsi="仿宋" w:eastAsia="仿宋_GB2312" w:cs="宋体"/>
          <w:b/>
          <w:sz w:val="28"/>
          <w:szCs w:val="28"/>
        </w:rPr>
        <w:t>（一）响应文件的语言及度量衡</w:t>
      </w:r>
      <w:bookmarkEnd w:id="24"/>
    </w:p>
    <w:p>
      <w:pPr>
        <w:adjustRightInd w:val="0"/>
        <w:snapToGrid w:val="0"/>
        <w:ind w:firstLine="560" w:firstLineChars="200"/>
        <w:rPr>
          <w:rFonts w:ascii="仿宋_GB2312" w:hAnsi="仿宋" w:eastAsia="仿宋_GB2312" w:cs="宋体"/>
          <w:sz w:val="28"/>
          <w:szCs w:val="28"/>
        </w:rPr>
      </w:pPr>
      <w:bookmarkStart w:id="25" w:name="_Toc238907013"/>
      <w:r>
        <w:rPr>
          <w:rFonts w:hint="eastAsia" w:ascii="仿宋_GB2312" w:hAnsi="仿宋" w:eastAsia="仿宋_GB2312" w:cs="宋体"/>
          <w:sz w:val="28"/>
          <w:szCs w:val="28"/>
        </w:rPr>
        <w:t>1、供应商提交的响应文件以及供应商与采购人就有关磋商的所有来往书面文件均须使用</w:t>
      </w:r>
      <w:r>
        <w:rPr>
          <w:rFonts w:hint="eastAsia" w:ascii="仿宋_GB2312" w:hAnsi="仿宋" w:eastAsia="仿宋_GB2312" w:cs="宋体"/>
          <w:b/>
          <w:sz w:val="28"/>
          <w:szCs w:val="28"/>
          <w:u w:val="single"/>
        </w:rPr>
        <w:t xml:space="preserve">中 文 </w:t>
      </w:r>
      <w:r>
        <w:rPr>
          <w:rFonts w:hint="eastAsia" w:ascii="仿宋_GB2312" w:hAnsi="仿宋" w:eastAsia="仿宋_GB2312" w:cs="宋体"/>
          <w:sz w:val="28"/>
          <w:szCs w:val="28"/>
        </w:rPr>
        <w:t>（语言文字）。响应文件中如附有外文资料，必须逐一对应翻译成中文并加盖供应商公章后附在相关外文资料后面，否则后果由供应商自行承担。</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2、供应商已印刷好的资料如项目实施技术方案等可以用其他语言，但其中要点应附有中文译文。在解释响应文件时，以译文为准。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3、除在磋商文件第六章中另有规定外，度量衡单位应使用国际单位制。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4、本磋商文件所表述的时间均为北京时间。</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（二）响应文件的组成</w:t>
      </w:r>
      <w:bookmarkEnd w:id="25"/>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1、响应文件的组成见第六章“响应文件内容及格式”，供应商应按磋商文件第六章“响应文件内容及格式”要求编制。</w:t>
      </w:r>
    </w:p>
    <w:p>
      <w:pPr>
        <w:adjustRightInd w:val="0"/>
        <w:snapToGrid w:val="0"/>
        <w:rPr>
          <w:rFonts w:ascii="仿宋_GB2312" w:hAnsi="仿宋" w:eastAsia="仿宋_GB2312" w:cs="宋体"/>
          <w:b/>
          <w:bCs/>
          <w:sz w:val="28"/>
          <w:szCs w:val="28"/>
        </w:rPr>
      </w:pPr>
      <w:bookmarkStart w:id="26" w:name="_Toc238907015"/>
      <w:r>
        <w:rPr>
          <w:rFonts w:hint="eastAsia" w:ascii="仿宋_GB2312" w:hAnsi="仿宋" w:eastAsia="仿宋_GB2312" w:cs="宋体"/>
          <w:b/>
          <w:bCs/>
          <w:sz w:val="28"/>
          <w:szCs w:val="28"/>
        </w:rPr>
        <w:t>（三）响应文件编制</w:t>
      </w:r>
    </w:p>
    <w:p>
      <w:pPr>
        <w:adjustRightInd w:val="0"/>
        <w:snapToGrid w:val="0"/>
        <w:ind w:firstLine="560" w:firstLineChars="200"/>
        <w:rPr>
          <w:rFonts w:ascii="仿宋_GB2312" w:hAnsi="仿宋" w:eastAsia="仿宋_GB2312" w:cs="宋体"/>
          <w:bCs/>
          <w:sz w:val="28"/>
          <w:szCs w:val="28"/>
          <w:lang w:val="en-GB"/>
        </w:rPr>
      </w:pPr>
      <w:r>
        <w:rPr>
          <w:rFonts w:hint="eastAsia" w:ascii="仿宋_GB2312" w:hAnsi="仿宋" w:eastAsia="仿宋_GB2312" w:cs="宋体"/>
          <w:bCs/>
          <w:sz w:val="28"/>
          <w:szCs w:val="28"/>
        </w:rPr>
        <w:t>1、</w:t>
      </w:r>
      <w:r>
        <w:rPr>
          <w:rFonts w:hint="eastAsia" w:ascii="仿宋_GB2312" w:hAnsi="仿宋" w:eastAsia="仿宋_GB2312" w:cs="宋体"/>
          <w:bCs/>
          <w:sz w:val="28"/>
          <w:szCs w:val="28"/>
          <w:lang w:val="en-GB"/>
        </w:rPr>
        <w:t>供应商的响应文件应按要求装订和封装。</w:t>
      </w:r>
    </w:p>
    <w:p>
      <w:pPr>
        <w:adjustRightInd w:val="0"/>
        <w:snapToGrid w:val="0"/>
        <w:ind w:firstLine="560" w:firstLineChars="200"/>
        <w:rPr>
          <w:rFonts w:ascii="仿宋_GB2312" w:hAnsi="仿宋" w:eastAsia="仿宋_GB2312" w:cs="宋体"/>
          <w:bCs/>
          <w:sz w:val="28"/>
          <w:szCs w:val="28"/>
          <w:lang w:val="en-GB"/>
        </w:rPr>
      </w:pPr>
      <w:r>
        <w:rPr>
          <w:rFonts w:hint="eastAsia" w:ascii="仿宋_GB2312" w:hAnsi="仿宋" w:eastAsia="仿宋_GB2312" w:cs="宋体"/>
          <w:bCs/>
          <w:sz w:val="28"/>
          <w:szCs w:val="28"/>
        </w:rPr>
        <w:t>2、</w:t>
      </w:r>
      <w:r>
        <w:rPr>
          <w:rFonts w:hint="eastAsia" w:ascii="仿宋_GB2312" w:hAnsi="仿宋" w:eastAsia="仿宋_GB2312" w:cs="宋体"/>
          <w:bCs/>
          <w:sz w:val="28"/>
          <w:szCs w:val="28"/>
          <w:lang w:val="en-GB"/>
        </w:rPr>
        <w:t>供应商应完整地填写磋商文件中提供的《竞争性磋商响应函》、《报价一览表》等磋商文件中规定的所有内容。</w:t>
      </w:r>
    </w:p>
    <w:p>
      <w:pPr>
        <w:pStyle w:val="12"/>
        <w:adjustRightInd w:val="0"/>
        <w:snapToGrid w:val="0"/>
        <w:ind w:firstLine="560" w:firstLineChars="200"/>
        <w:rPr>
          <w:rFonts w:ascii="仿宋_GB2312" w:hAnsi="仿宋" w:eastAsia="仿宋_GB2312" w:cs="宋体"/>
          <w:bCs/>
          <w:sz w:val="28"/>
          <w:szCs w:val="28"/>
          <w:lang w:val="en-GB"/>
        </w:rPr>
      </w:pPr>
      <w:r>
        <w:rPr>
          <w:rFonts w:hint="eastAsia" w:ascii="仿宋_GB2312" w:hAnsi="仿宋" w:eastAsia="仿宋_GB2312" w:cs="宋体"/>
          <w:bCs/>
          <w:sz w:val="28"/>
          <w:szCs w:val="28"/>
        </w:rPr>
        <w:t>3、</w:t>
      </w:r>
      <w:r>
        <w:rPr>
          <w:rFonts w:hint="eastAsia" w:ascii="仿宋_GB2312" w:hAnsi="仿宋" w:eastAsia="仿宋_GB2312" w:cs="宋体"/>
          <w:bCs/>
          <w:sz w:val="28"/>
          <w:szCs w:val="28"/>
          <w:lang w:val="en-GB"/>
        </w:rPr>
        <w:t>供应商必须保证响应文件所提供的全部资料真实可靠，并接受</w:t>
      </w:r>
      <w:r>
        <w:rPr>
          <w:rFonts w:hint="eastAsia" w:ascii="仿宋_GB2312" w:hAnsi="仿宋" w:eastAsia="仿宋_GB2312" w:cs="宋体"/>
          <w:sz w:val="28"/>
          <w:szCs w:val="28"/>
        </w:rPr>
        <w:t>采购代理机构</w:t>
      </w:r>
      <w:r>
        <w:rPr>
          <w:rFonts w:hint="eastAsia" w:ascii="仿宋_GB2312" w:hAnsi="仿宋" w:eastAsia="仿宋_GB2312" w:cs="宋体"/>
          <w:bCs/>
          <w:sz w:val="28"/>
          <w:szCs w:val="28"/>
          <w:lang w:val="en-GB"/>
        </w:rPr>
        <w:t>对其中任何资料进一步审查的要求。</w:t>
      </w:r>
    </w:p>
    <w:p>
      <w:pPr>
        <w:pStyle w:val="12"/>
        <w:adjustRightInd w:val="0"/>
        <w:snapToGrid w:val="0"/>
        <w:ind w:firstLine="560" w:firstLineChars="200"/>
        <w:rPr>
          <w:rFonts w:ascii="仿宋_GB2312" w:hAnsi="仿宋" w:eastAsia="仿宋_GB2312" w:cs="宋体"/>
          <w:bCs/>
          <w:sz w:val="28"/>
          <w:szCs w:val="28"/>
          <w:lang w:val="en-GB"/>
        </w:rPr>
      </w:pPr>
      <w:r>
        <w:rPr>
          <w:rFonts w:hint="eastAsia" w:ascii="仿宋_GB2312" w:hAnsi="仿宋" w:eastAsia="仿宋_GB2312" w:cs="宋体"/>
          <w:bCs/>
          <w:sz w:val="28"/>
          <w:szCs w:val="28"/>
        </w:rPr>
        <w:t>4、</w:t>
      </w:r>
      <w:r>
        <w:rPr>
          <w:rFonts w:hint="eastAsia" w:ascii="仿宋_GB2312" w:hAnsi="仿宋" w:eastAsia="仿宋_GB2312" w:cs="宋体"/>
          <w:bCs/>
          <w:sz w:val="28"/>
          <w:szCs w:val="28"/>
          <w:lang w:val="en-GB"/>
        </w:rPr>
        <w:t>如果响应文件填报的内容不详，或没有提供磋商文件中所要求的全部资料，使磋商小组无法正常评审的，由此产生的结果由供应商承担。</w:t>
      </w:r>
    </w:p>
    <w:p>
      <w:pPr>
        <w:pStyle w:val="70"/>
        <w:adjustRightInd w:val="0"/>
        <w:snapToGrid w:val="0"/>
        <w:spacing w:before="0" w:after="0"/>
        <w:ind w:firstLine="600" w:firstLineChars="200"/>
        <w:rPr>
          <w:rFonts w:ascii="仿宋_GB2312" w:hAnsi="仿宋" w:eastAsia="仿宋_GB2312" w:cs="宋体"/>
          <w:bCs w:val="0"/>
          <w:sz w:val="28"/>
          <w:szCs w:val="28"/>
          <w:lang w:val="en-GB"/>
        </w:rPr>
      </w:pPr>
      <w:r>
        <w:rPr>
          <w:rFonts w:hint="eastAsia" w:ascii="仿宋_GB2312" w:hAnsi="仿宋" w:eastAsia="仿宋_GB2312" w:cs="宋体"/>
          <w:kern w:val="2"/>
          <w:sz w:val="28"/>
          <w:szCs w:val="28"/>
        </w:rPr>
        <w:t>5、</w:t>
      </w:r>
      <w:r>
        <w:rPr>
          <w:rFonts w:hint="eastAsia" w:ascii="仿宋_GB2312" w:hAnsi="仿宋" w:eastAsia="仿宋_GB2312" w:cs="宋体"/>
          <w:kern w:val="2"/>
          <w:sz w:val="28"/>
          <w:szCs w:val="28"/>
          <w:lang w:val="en-GB"/>
        </w:rPr>
        <w:t>响应文件外形尺寸应统一为A4纸规格，</w:t>
      </w:r>
      <w:r>
        <w:rPr>
          <w:rFonts w:hint="eastAsia" w:ascii="仿宋_GB2312" w:hAnsi="仿宋" w:eastAsia="仿宋_GB2312" w:cs="宋体"/>
          <w:bCs w:val="0"/>
          <w:sz w:val="28"/>
          <w:szCs w:val="28"/>
          <w:lang w:val="en-GB"/>
        </w:rPr>
        <w:t>文件所使用的印章必须为企业公章，且与供应商名称完全一致，不能以其它业务章或附属机构印章代替。需签名之处必须由经法人代表或授权代表（受托人）亲笔签署。</w:t>
      </w:r>
    </w:p>
    <w:p>
      <w:pPr>
        <w:pStyle w:val="70"/>
        <w:adjustRightInd w:val="0"/>
        <w:snapToGrid w:val="0"/>
        <w:spacing w:before="0" w:after="0"/>
        <w:ind w:firstLine="600" w:firstLineChars="200"/>
        <w:rPr>
          <w:rFonts w:ascii="仿宋_GB2312" w:hAnsi="仿宋" w:eastAsia="仿宋_GB2312" w:cs="宋体"/>
          <w:bCs w:val="0"/>
          <w:sz w:val="28"/>
          <w:szCs w:val="28"/>
          <w:lang w:val="en-GB"/>
        </w:rPr>
      </w:pPr>
      <w:r>
        <w:rPr>
          <w:rFonts w:hint="eastAsia" w:ascii="仿宋_GB2312" w:hAnsi="仿宋" w:eastAsia="仿宋_GB2312" w:cs="宋体"/>
          <w:bCs w:val="0"/>
          <w:sz w:val="28"/>
          <w:szCs w:val="28"/>
        </w:rPr>
        <w:t>6、</w:t>
      </w:r>
      <w:r>
        <w:rPr>
          <w:rFonts w:hint="eastAsia" w:ascii="仿宋_GB2312" w:hAnsi="仿宋" w:eastAsia="仿宋_GB2312" w:cs="宋体"/>
          <w:bCs w:val="0"/>
          <w:sz w:val="28"/>
          <w:szCs w:val="28"/>
          <w:lang w:val="en-GB"/>
        </w:rPr>
        <w:t>响应文件每页须按顺序加注页码，装订牢固且不会轻易脱落</w:t>
      </w:r>
      <w:r>
        <w:rPr>
          <w:rFonts w:hint="eastAsia" w:ascii="仿宋_GB2312" w:hAnsi="仿宋" w:eastAsia="仿宋_GB2312" w:cs="宋体"/>
          <w:b/>
          <w:sz w:val="28"/>
          <w:szCs w:val="28"/>
          <w:lang w:val="en-GB"/>
        </w:rPr>
        <w:t>（须胶装）</w:t>
      </w:r>
      <w:r>
        <w:rPr>
          <w:rFonts w:hint="eastAsia" w:ascii="仿宋_GB2312" w:hAnsi="仿宋" w:eastAsia="仿宋_GB2312" w:cs="宋体"/>
          <w:bCs w:val="0"/>
          <w:sz w:val="28"/>
          <w:szCs w:val="28"/>
          <w:lang w:val="en-GB"/>
        </w:rPr>
        <w:t>。如因装订问题而出现漏页或缺页，由此产生的一切后果由供应商自行承担。</w:t>
      </w:r>
    </w:p>
    <w:p>
      <w:pPr>
        <w:pStyle w:val="70"/>
        <w:adjustRightInd w:val="0"/>
        <w:snapToGrid w:val="0"/>
        <w:spacing w:before="0" w:after="0"/>
        <w:ind w:firstLine="600" w:firstLineChars="200"/>
        <w:rPr>
          <w:rFonts w:ascii="仿宋_GB2312" w:hAnsi="仿宋" w:eastAsia="仿宋_GB2312" w:cs="宋体"/>
          <w:bCs w:val="0"/>
          <w:sz w:val="28"/>
          <w:szCs w:val="28"/>
          <w:lang w:val="en-GB"/>
        </w:rPr>
      </w:pPr>
      <w:r>
        <w:rPr>
          <w:rFonts w:hint="eastAsia" w:ascii="仿宋_GB2312" w:hAnsi="仿宋" w:eastAsia="仿宋_GB2312" w:cs="宋体"/>
          <w:bCs w:val="0"/>
          <w:sz w:val="28"/>
          <w:szCs w:val="28"/>
        </w:rPr>
        <w:t>7、</w:t>
      </w:r>
      <w:r>
        <w:rPr>
          <w:rFonts w:hint="eastAsia" w:ascii="仿宋_GB2312" w:hAnsi="仿宋" w:eastAsia="仿宋_GB2312" w:cs="宋体"/>
          <w:bCs w:val="0"/>
          <w:sz w:val="28"/>
          <w:szCs w:val="28"/>
          <w:lang w:val="en-GB"/>
        </w:rPr>
        <w:t>所有密封文件封套正面须按“响应文件的密封及标记”格式进行标贴。</w:t>
      </w:r>
    </w:p>
    <w:bookmarkEnd w:id="26"/>
    <w:p>
      <w:pPr>
        <w:adjustRightInd w:val="0"/>
        <w:snapToGrid w:val="0"/>
        <w:rPr>
          <w:rFonts w:ascii="仿宋_GB2312" w:hAnsi="仿宋" w:eastAsia="仿宋_GB2312" w:cs="宋体"/>
          <w:b/>
          <w:sz w:val="28"/>
          <w:szCs w:val="28"/>
        </w:rPr>
      </w:pPr>
      <w:bookmarkStart w:id="27" w:name="_Toc238907016"/>
      <w:r>
        <w:rPr>
          <w:rFonts w:hint="eastAsia" w:ascii="仿宋_GB2312" w:hAnsi="仿宋" w:eastAsia="仿宋_GB2312" w:cs="宋体"/>
          <w:b/>
          <w:sz w:val="28"/>
          <w:szCs w:val="28"/>
        </w:rPr>
        <w:t>（四）磋商保证金</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1、磋商保证金可采用下列形式，并符合下列规定：</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（1）递交形式：网上支付或线下银行转账支付。</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（2）递交时间：在</w:t>
      </w:r>
      <w:r>
        <w:rPr>
          <w:rFonts w:hint="eastAsia" w:ascii="仿宋_GB2312" w:hAnsi="仿宋" w:eastAsia="仿宋_GB2312" w:cs="宋体"/>
          <w:sz w:val="28"/>
          <w:szCs w:val="28"/>
          <w:u w:val="single"/>
        </w:rPr>
        <w:t>响应文件递交截止时间</w:t>
      </w:r>
      <w:r>
        <w:rPr>
          <w:rFonts w:hint="eastAsia" w:ascii="仿宋_GB2312" w:hAnsi="仿宋" w:eastAsia="仿宋_GB2312" w:cs="宋体"/>
          <w:sz w:val="28"/>
          <w:szCs w:val="28"/>
        </w:rPr>
        <w:t>前划入采购代理机构账户（指定保证金账户）。</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2、若供应商不提交磋商保证金，其响应文件将被拒绝接受。</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磋商保证金凭证：须提供磋商保证金缴纳凭证，且磋商保证金缴纳凭证上用途需备注“(项目名称)磋商保证金”或“（项目编号）磋商保证金”用以确认为本项目磋商保证金（如备注字数有限制，项目编号可用后四位数字代替）。</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 磋商保证金的退还</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（1）成交供应商的磋商保证金在其与采购人签订了采购合同后5个工作日内办理退还手续。</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（2）未成交的供应商的磋商保证金将在采购代理机构发出成交通知书5个工作日内办理退还手续。</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5、发生下列情况之一，磋商保证金将不予退还：</w:t>
      </w:r>
    </w:p>
    <w:p>
      <w:pPr>
        <w:adjustRightInd w:val="0"/>
        <w:snapToGrid w:val="0"/>
        <w:ind w:firstLine="660" w:firstLineChars="236"/>
        <w:rPr>
          <w:rFonts w:ascii="仿宋_GB2312" w:hAnsi="仿宋" w:eastAsia="仿宋_GB2312" w:cs="宋体"/>
          <w:sz w:val="28"/>
          <w:szCs w:val="28"/>
        </w:rPr>
      </w:pPr>
      <w:r>
        <w:rPr>
          <w:rFonts w:hint="eastAsia" w:ascii="仿宋_GB2312" w:hAnsi="仿宋" w:eastAsia="仿宋_GB2312" w:cs="宋体"/>
          <w:sz w:val="28"/>
          <w:szCs w:val="28"/>
        </w:rPr>
        <w:t>（1）供应商在磋商有效期内撤回磋商；</w:t>
      </w:r>
    </w:p>
    <w:p>
      <w:pPr>
        <w:adjustRightInd w:val="0"/>
        <w:snapToGrid w:val="0"/>
        <w:ind w:firstLine="660" w:firstLineChars="236"/>
        <w:rPr>
          <w:rFonts w:ascii="仿宋_GB2312" w:hAnsi="仿宋" w:eastAsia="仿宋_GB2312" w:cs="宋体"/>
          <w:sz w:val="28"/>
          <w:szCs w:val="28"/>
        </w:rPr>
      </w:pPr>
      <w:r>
        <w:rPr>
          <w:rFonts w:hint="eastAsia" w:ascii="仿宋_GB2312" w:hAnsi="仿宋" w:eastAsia="仿宋_GB2312" w:cs="宋体"/>
          <w:sz w:val="28"/>
          <w:szCs w:val="28"/>
        </w:rPr>
        <w:t>（2）供应商提供虚假材料谋取中标、成交的；</w:t>
      </w:r>
    </w:p>
    <w:p>
      <w:pPr>
        <w:adjustRightInd w:val="0"/>
        <w:snapToGrid w:val="0"/>
        <w:ind w:firstLine="660" w:firstLineChars="236"/>
        <w:rPr>
          <w:rFonts w:ascii="仿宋_GB2312" w:hAnsi="仿宋" w:eastAsia="仿宋_GB2312" w:cs="宋体"/>
          <w:sz w:val="28"/>
          <w:szCs w:val="28"/>
        </w:rPr>
      </w:pPr>
      <w:r>
        <w:rPr>
          <w:rFonts w:hint="eastAsia" w:ascii="仿宋_GB2312" w:hAnsi="仿宋" w:eastAsia="仿宋_GB2312" w:cs="宋体"/>
          <w:sz w:val="28"/>
          <w:szCs w:val="28"/>
        </w:rPr>
        <w:t>（3）采取不正当手段诋毁、排挤其他供应商的；</w:t>
      </w:r>
    </w:p>
    <w:p>
      <w:pPr>
        <w:adjustRightInd w:val="0"/>
        <w:snapToGrid w:val="0"/>
        <w:ind w:firstLine="660" w:firstLineChars="236"/>
        <w:rPr>
          <w:rFonts w:ascii="仿宋_GB2312" w:hAnsi="仿宋" w:eastAsia="仿宋_GB2312" w:cs="宋体"/>
          <w:sz w:val="28"/>
          <w:szCs w:val="28"/>
        </w:rPr>
      </w:pPr>
      <w:r>
        <w:rPr>
          <w:rFonts w:hint="eastAsia" w:ascii="仿宋_GB2312" w:hAnsi="仿宋" w:eastAsia="仿宋_GB2312" w:cs="宋体"/>
          <w:sz w:val="28"/>
          <w:szCs w:val="28"/>
        </w:rPr>
        <w:t>（4）与采购人、其他供应商或者采购代理机构恶意串通的；</w:t>
      </w:r>
    </w:p>
    <w:p>
      <w:pPr>
        <w:adjustRightInd w:val="0"/>
        <w:snapToGrid w:val="0"/>
        <w:ind w:firstLine="660" w:firstLineChars="236"/>
        <w:rPr>
          <w:rFonts w:ascii="仿宋_GB2312" w:hAnsi="仿宋" w:eastAsia="仿宋_GB2312" w:cs="宋体"/>
          <w:sz w:val="28"/>
          <w:szCs w:val="28"/>
        </w:rPr>
      </w:pPr>
      <w:r>
        <w:rPr>
          <w:rFonts w:hint="eastAsia" w:ascii="仿宋_GB2312" w:hAnsi="仿宋" w:eastAsia="仿宋_GB2312" w:cs="宋体"/>
          <w:sz w:val="28"/>
          <w:szCs w:val="28"/>
        </w:rPr>
        <w:t>（5）向采购人、采购代理机构行贿或者提供其他不正当利益的。</w:t>
      </w:r>
    </w:p>
    <w:bookmarkEnd w:id="27"/>
    <w:p>
      <w:pPr>
        <w:adjustRightInd w:val="0"/>
        <w:snapToGrid w:val="0"/>
        <w:rPr>
          <w:rFonts w:ascii="仿宋_GB2312" w:hAnsi="仿宋" w:eastAsia="仿宋_GB2312" w:cs="宋体"/>
          <w:b/>
          <w:sz w:val="28"/>
          <w:szCs w:val="28"/>
        </w:rPr>
      </w:pPr>
      <w:bookmarkStart w:id="28" w:name="_Toc238907014"/>
      <w:bookmarkStart w:id="29" w:name="_Toc238907017"/>
      <w:r>
        <w:rPr>
          <w:rFonts w:hint="eastAsia" w:ascii="仿宋_GB2312" w:hAnsi="仿宋" w:eastAsia="仿宋_GB2312" w:cs="宋体"/>
          <w:b/>
          <w:sz w:val="28"/>
          <w:szCs w:val="28"/>
        </w:rPr>
        <w:t>（四）响应货币</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响应报价均须以人民币为计算单位。磋商文件另有规定的，从其规定。</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（五）响应报价</w:t>
      </w:r>
      <w:bookmarkEnd w:id="28"/>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1、本项目的采购预算金额见磋商文件第一章中的项目简介。</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2、对于本文件中未列明，而供应商认为必需的费用也需列入总报价。在合同实施时，采购人将不予支付成交供应商没有列入的项目费用，并认为此项目的费用已包括在总报价中。</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供应商必须就本项目采购需求中的全部内容作完整报价，每轮报价均应是唯一报价，最后报价是供应商响应文件的有效组成部分。最后报价出现漏项报价的或有选择的或有条件的报价，其响应文件将视为无效。</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4、预成交供应商的响应报价超过采购预算的，必须征得采购人同意追加预算，否则，采购人有权拒绝预成交供应商，而递选下一个顺位排序人。</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供应商不能恶意报价，磋商小组在评审过程中发现供应商的总报价明显低于其他供应商的总报价或者明显低于采购预算价，有理由怀疑其总报价可能低于其成本的，应要求该供应商做出书面说明并提供相关证明材料。供应商不能合理说明或者不能提供相关证明材料的，视作该供应商以低于成本报价，其磋商无效。</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（六）磋商有效期</w:t>
      </w:r>
      <w:bookmarkEnd w:id="29"/>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1、磋商有效期为从响应文件递交截止之日起计算的</w:t>
      </w:r>
      <w:r>
        <w:rPr>
          <w:rFonts w:hint="eastAsia" w:ascii="仿宋_GB2312" w:hAnsi="仿宋" w:eastAsia="仿宋_GB2312" w:cs="宋体"/>
          <w:sz w:val="28"/>
          <w:szCs w:val="28"/>
          <w:u w:val="single"/>
        </w:rPr>
        <w:t>60天</w:t>
      </w:r>
      <w:r>
        <w:rPr>
          <w:rFonts w:hint="eastAsia" w:ascii="仿宋_GB2312" w:hAnsi="仿宋" w:eastAsia="仿宋_GB2312" w:cs="宋体"/>
          <w:sz w:val="28"/>
          <w:szCs w:val="28"/>
        </w:rPr>
        <w:t>，有效期短于此规定的响应文件将被视为无效。</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在特殊情况下，采购代理机构可在磋商有效期满之前，征得供应商同意延长磋商有效期，要求与答复均应以书面形式进行。供应商可以拒绝接受这一要求而放弃投标，磋商保证金将尽快无息退还。同意这一要求的供应商，无需也不允许修改其响应文件，但须相应延长磋商保证金的有效期。受磋商有效期制约的所有权利和义务均应延长至新的有效期。</w:t>
      </w:r>
    </w:p>
    <w:p>
      <w:pPr>
        <w:adjustRightInd w:val="0"/>
        <w:snapToGrid w:val="0"/>
        <w:rPr>
          <w:rFonts w:ascii="仿宋_GB2312" w:hAnsi="仿宋" w:eastAsia="仿宋_GB2312" w:cs="宋体"/>
          <w:b/>
          <w:sz w:val="28"/>
          <w:szCs w:val="28"/>
        </w:rPr>
      </w:pPr>
      <w:bookmarkStart w:id="30" w:name="_Toc238907018"/>
      <w:r>
        <w:rPr>
          <w:rFonts w:hint="eastAsia" w:ascii="仿宋_GB2312" w:hAnsi="仿宋" w:eastAsia="仿宋_GB2312" w:cs="宋体"/>
          <w:b/>
          <w:sz w:val="28"/>
          <w:szCs w:val="28"/>
        </w:rPr>
        <w:t>（七）响应文件的数量、签署及形式</w:t>
      </w:r>
      <w:bookmarkEnd w:id="30"/>
    </w:p>
    <w:p>
      <w:pPr>
        <w:pStyle w:val="76"/>
        <w:adjustRightInd w:val="0"/>
        <w:snapToGrid w:val="0"/>
        <w:ind w:firstLine="560"/>
        <w:rPr>
          <w:rFonts w:ascii="仿宋_GB2312" w:hAnsi="仿宋" w:eastAsia="仿宋_GB2312" w:cs="宋体"/>
          <w:sz w:val="28"/>
          <w:szCs w:val="28"/>
        </w:rPr>
      </w:pPr>
      <w:r>
        <w:rPr>
          <w:rFonts w:hint="eastAsia" w:ascii="仿宋_GB2312" w:hAnsi="仿宋" w:eastAsia="仿宋_GB2312" w:cs="宋体"/>
          <w:sz w:val="28"/>
          <w:szCs w:val="28"/>
        </w:rPr>
        <w:t>1、供应商递交的响应文件为一式叁份，其中正本一份，副本贰份，电子版一份（U盘，文件格式为PDF，U盘上请标明供应商名称及项目编号，如有分包请注明包号，并密封在“唱标信封”中）。响应文件应用不褪色的墨水中文打印，并胶装成册。并在响应文件封面标明项目名称、项目编号、供应商名称以及“正本”（或“副本”、“电子版”）字样，否则视为无效磋商。响应文件的正本与副本应采用左侧方式固定胶装,不得采用活页夹等可随时拆换的方式装订。“正本”和“副本”之间如有差异，以正本为准。</w:t>
      </w:r>
    </w:p>
    <w:p>
      <w:pPr>
        <w:pStyle w:val="76"/>
        <w:adjustRightInd w:val="0"/>
        <w:snapToGrid w:val="0"/>
        <w:ind w:firstLine="560"/>
        <w:rPr>
          <w:rFonts w:ascii="仿宋_GB2312" w:hAnsi="仿宋" w:eastAsia="仿宋_GB2312" w:cs="宋体"/>
          <w:sz w:val="28"/>
          <w:szCs w:val="28"/>
        </w:rPr>
      </w:pPr>
      <w:bookmarkStart w:id="31" w:name="_Toc238907019"/>
      <w:r>
        <w:rPr>
          <w:rFonts w:hint="eastAsia" w:ascii="仿宋_GB2312" w:hAnsi="仿宋" w:eastAsia="仿宋_GB2312" w:cs="宋体"/>
          <w:sz w:val="28"/>
          <w:szCs w:val="28"/>
        </w:rPr>
        <w:t>2、响应文件正本须经供应商的法定代表人或其授权代表在响应文件对应签字处签字并在对应盖章处加盖单位公章，响应文件正本还需逐页盖章或盖骑缝章，副本可以采用经盖章的响应文件正本复印，但响应文件封面需由供应商的法定代表人或其授权代表签字并加盖单位公章，未要求制作的响应文件将被视为无效磋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3、响应文件不得涂改和增删，如要修改错漏处，修改处必须由法人代表或授权代表签名或盖公章。响应文件应根据磋商文件的要求制作，签署、盖章和内容应完整，如未按要求或有遗漏，将被视为无效磋商。</w:t>
      </w:r>
    </w:p>
    <w:p>
      <w:pPr>
        <w:pStyle w:val="4"/>
        <w:adjustRightInd w:val="0"/>
        <w:snapToGrid w:val="0"/>
        <w:jc w:val="center"/>
        <w:rPr>
          <w:rFonts w:ascii="仿宋_GB2312" w:hAnsi="仿宋" w:eastAsia="仿宋_GB2312" w:cs="宋体"/>
          <w:sz w:val="28"/>
          <w:szCs w:val="28"/>
        </w:rPr>
      </w:pPr>
      <w:r>
        <w:rPr>
          <w:rFonts w:hint="eastAsia" w:ascii="仿宋_GB2312" w:hAnsi="仿宋" w:eastAsia="仿宋_GB2312" w:cs="宋体"/>
          <w:sz w:val="28"/>
          <w:szCs w:val="28"/>
        </w:rPr>
        <w:t>四、响应文件的递交</w:t>
      </w:r>
      <w:bookmarkEnd w:id="31"/>
    </w:p>
    <w:p>
      <w:pPr>
        <w:adjustRightInd w:val="0"/>
        <w:snapToGrid w:val="0"/>
        <w:rPr>
          <w:rFonts w:ascii="仿宋_GB2312" w:hAnsi="仿宋" w:eastAsia="仿宋_GB2312" w:cs="宋体"/>
          <w:b/>
          <w:sz w:val="28"/>
          <w:szCs w:val="28"/>
        </w:rPr>
      </w:pPr>
      <w:bookmarkStart w:id="32" w:name="_Toc238907020"/>
      <w:r>
        <w:rPr>
          <w:rFonts w:hint="eastAsia" w:ascii="仿宋_GB2312" w:hAnsi="仿宋" w:eastAsia="仿宋_GB2312" w:cs="宋体"/>
          <w:b/>
          <w:sz w:val="28"/>
          <w:szCs w:val="28"/>
        </w:rPr>
        <w:t>（一）响应文件的密封及标记</w:t>
      </w:r>
      <w:bookmarkEnd w:id="32"/>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供应商应将响应文件正本和所有副本分别密封在两个密封专用袋（箱）中（正本一包，副本一包），并在密封专用袋（箱）上标明“正本”、“副本”字样，所有密封专用袋（箱）的封口处应粘贴牢固，并在正面四个角加盖密封骑缝章（供应商公章）。</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2、密封专用袋（箱）上须按采购代理机构提供的格式注明：</w:t>
      </w:r>
    </w:p>
    <w:p>
      <w:pPr>
        <w:adjustRightInd w:val="0"/>
        <w:snapToGrid w:val="0"/>
        <w:ind w:firstLine="560" w:firstLineChars="200"/>
        <w:rPr>
          <w:rFonts w:ascii="仿宋_GB2312" w:hAnsi="仿宋" w:eastAsia="仿宋_GB2312"/>
          <w:sz w:val="28"/>
          <w:szCs w:val="28"/>
        </w:rPr>
      </w:pPr>
      <w:r>
        <w:rPr>
          <w:rFonts w:hint="eastAsia" w:ascii="仿宋_GB2312" w:hAnsi="仿宋" w:eastAsia="仿宋_GB2312"/>
          <w:sz w:val="28"/>
          <w:szCs w:val="28"/>
        </w:rPr>
        <w:t>致：海南金政采项目管理有限公司</w:t>
      </w:r>
    </w:p>
    <w:p>
      <w:pPr>
        <w:adjustRightInd w:val="0"/>
        <w:snapToGrid w:val="0"/>
        <w:ind w:firstLine="560" w:firstLineChars="200"/>
        <w:rPr>
          <w:rFonts w:hint="eastAsia" w:ascii="仿宋_GB2312" w:hAnsi="仿宋" w:eastAsia="仿宋_GB2312"/>
          <w:color w:val="FF0000"/>
          <w:sz w:val="28"/>
          <w:szCs w:val="28"/>
          <w:lang w:eastAsia="zh-CN"/>
        </w:rPr>
      </w:pPr>
      <w:r>
        <w:rPr>
          <w:rFonts w:hint="eastAsia" w:ascii="仿宋_GB2312" w:hAnsi="仿宋" w:eastAsia="仿宋_GB2312"/>
          <w:sz w:val="28"/>
          <w:szCs w:val="28"/>
        </w:rPr>
        <w:t>项目名称：</w:t>
      </w:r>
      <w:r>
        <w:rPr>
          <w:rFonts w:hint="eastAsia" w:ascii="仿宋_GB2312" w:hAnsi="仿宋" w:eastAsia="仿宋_GB2312" w:cs="宋体"/>
          <w:sz w:val="28"/>
          <w:szCs w:val="28"/>
        </w:rPr>
        <w:t>海南省矿产资源总体规划（2021-2025年）环境影响评价（海域部分）</w:t>
      </w:r>
      <w:r>
        <w:rPr>
          <w:rFonts w:hint="eastAsia" w:ascii="仿宋_GB2312" w:hAnsi="仿宋" w:eastAsia="仿宋_GB2312" w:cs="宋体"/>
          <w:sz w:val="28"/>
          <w:szCs w:val="28"/>
          <w:lang w:eastAsia="zh-CN"/>
        </w:rPr>
        <w:t>（四次）</w:t>
      </w:r>
    </w:p>
    <w:p>
      <w:pPr>
        <w:adjustRightInd w:val="0"/>
        <w:snapToGrid w:val="0"/>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项目编号</w:t>
      </w:r>
      <w:r>
        <w:rPr>
          <w:rFonts w:hint="eastAsia" w:ascii="仿宋_GB2312" w:hAnsi="仿宋" w:eastAsia="仿宋_GB2312" w:cs="宋体"/>
          <w:sz w:val="28"/>
          <w:szCs w:val="28"/>
        </w:rPr>
        <w:t>：</w:t>
      </w:r>
      <w:r>
        <w:rPr>
          <w:rFonts w:hint="eastAsia" w:ascii="仿宋_GB2312" w:hAnsi="仿宋" w:eastAsia="仿宋_GB2312" w:cs="宋体"/>
          <w:sz w:val="28"/>
          <w:szCs w:val="28"/>
          <w:lang w:eastAsia="zh-CN"/>
        </w:rPr>
        <w:t>GGP20210309Q</w:t>
      </w:r>
    </w:p>
    <w:p>
      <w:pPr>
        <w:adjustRightInd w:val="0"/>
        <w:snapToGrid w:val="0"/>
        <w:ind w:firstLine="560" w:firstLineChars="200"/>
        <w:rPr>
          <w:rFonts w:ascii="仿宋_GB2312" w:hAnsi="仿宋" w:eastAsia="仿宋_GB2312"/>
          <w:sz w:val="28"/>
          <w:szCs w:val="28"/>
        </w:rPr>
      </w:pPr>
      <w:r>
        <w:rPr>
          <w:rFonts w:hint="eastAsia" w:ascii="仿宋_GB2312" w:hAnsi="仿宋" w:eastAsia="仿宋_GB2312"/>
          <w:sz w:val="28"/>
          <w:szCs w:val="28"/>
        </w:rPr>
        <w:t>注明：“请勿在开标时间之前启封”</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sz w:val="28"/>
          <w:szCs w:val="28"/>
        </w:rPr>
        <w:t>报价单位名称、联系人姓名和电话</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3、供应商提交响应文件时应备有一个“唱标信封”，并将下列内容单独密封入该信封，再将其封装于响应文件正本封套内：</w:t>
      </w:r>
    </w:p>
    <w:p>
      <w:pPr>
        <w:adjustRightInd w:val="0"/>
        <w:snapToGrid w:val="0"/>
        <w:ind w:firstLine="495" w:firstLineChars="177"/>
        <w:rPr>
          <w:rFonts w:ascii="仿宋_GB2312" w:hAnsi="仿宋" w:eastAsia="仿宋_GB2312" w:cs="宋体"/>
          <w:sz w:val="28"/>
          <w:szCs w:val="28"/>
        </w:rPr>
      </w:pPr>
      <w:r>
        <w:rPr>
          <w:rFonts w:hint="eastAsia" w:ascii="仿宋_GB2312" w:hAnsi="仿宋" w:eastAsia="仿宋_GB2312" w:cs="宋体"/>
          <w:sz w:val="28"/>
          <w:szCs w:val="28"/>
        </w:rPr>
        <w:t>（1）从响应文件正本中复印的报价一览表；</w:t>
      </w:r>
    </w:p>
    <w:p>
      <w:pPr>
        <w:adjustRightInd w:val="0"/>
        <w:snapToGrid w:val="0"/>
        <w:ind w:firstLine="495" w:firstLineChars="177"/>
        <w:rPr>
          <w:rFonts w:ascii="仿宋_GB2312" w:hAnsi="仿宋" w:eastAsia="仿宋_GB2312" w:cs="宋体"/>
          <w:sz w:val="28"/>
          <w:szCs w:val="28"/>
        </w:rPr>
      </w:pPr>
      <w:r>
        <w:rPr>
          <w:rFonts w:hint="eastAsia" w:ascii="仿宋_GB2312" w:hAnsi="仿宋" w:eastAsia="仿宋_GB2312" w:cs="宋体"/>
          <w:sz w:val="28"/>
          <w:szCs w:val="28"/>
        </w:rPr>
        <w:t>（2）交纳磋商保证金证明文件的复印件；</w:t>
      </w:r>
    </w:p>
    <w:p>
      <w:pPr>
        <w:adjustRightInd w:val="0"/>
        <w:snapToGrid w:val="0"/>
        <w:ind w:firstLine="495" w:firstLineChars="177"/>
        <w:rPr>
          <w:rFonts w:ascii="仿宋_GB2312" w:hAnsi="仿宋" w:eastAsia="仿宋_GB2312" w:cs="宋体"/>
          <w:sz w:val="28"/>
          <w:szCs w:val="28"/>
        </w:rPr>
      </w:pPr>
      <w:r>
        <w:rPr>
          <w:rFonts w:hint="eastAsia" w:ascii="仿宋_GB2312" w:hAnsi="仿宋" w:eastAsia="仿宋_GB2312" w:cs="宋体"/>
          <w:sz w:val="28"/>
          <w:szCs w:val="28"/>
        </w:rPr>
        <w:t>（3）竞争性磋商响应函；</w:t>
      </w:r>
    </w:p>
    <w:p>
      <w:pPr>
        <w:adjustRightInd w:val="0"/>
        <w:snapToGrid w:val="0"/>
        <w:ind w:firstLine="495" w:firstLineChars="177"/>
        <w:rPr>
          <w:rFonts w:ascii="仿宋_GB2312" w:hAnsi="仿宋" w:eastAsia="仿宋_GB2312" w:cs="宋体"/>
          <w:sz w:val="28"/>
          <w:szCs w:val="28"/>
        </w:rPr>
      </w:pPr>
      <w:r>
        <w:rPr>
          <w:rFonts w:hint="eastAsia" w:ascii="仿宋_GB2312" w:hAnsi="仿宋" w:eastAsia="仿宋_GB2312" w:cs="宋体"/>
          <w:sz w:val="28"/>
          <w:szCs w:val="28"/>
        </w:rPr>
        <w:t>（4）电子版（U盘）。</w:t>
      </w:r>
    </w:p>
    <w:p>
      <w:pPr>
        <w:pStyle w:val="16"/>
        <w:adjustRightIn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4、响应文件未按上述规定书写标记和密封者，采购代理机构</w:t>
      </w:r>
      <w:r>
        <w:rPr>
          <w:rFonts w:hint="eastAsia" w:ascii="仿宋_GB2312" w:hAnsi="仿宋" w:eastAsia="仿宋_GB2312" w:cs="宋体"/>
          <w:sz w:val="28"/>
          <w:szCs w:val="28"/>
          <w:lang w:eastAsia="zh-CN"/>
        </w:rPr>
        <w:t>有权</w:t>
      </w:r>
      <w:r>
        <w:rPr>
          <w:rFonts w:hint="eastAsia" w:ascii="仿宋_GB2312" w:hAnsi="仿宋" w:eastAsia="仿宋_GB2312" w:cs="宋体"/>
          <w:sz w:val="28"/>
          <w:szCs w:val="28"/>
        </w:rPr>
        <w:t>拒绝接收。</w:t>
      </w:r>
    </w:p>
    <w:p>
      <w:pPr>
        <w:adjustRightInd w:val="0"/>
        <w:snapToGrid w:val="0"/>
        <w:rPr>
          <w:rFonts w:ascii="仿宋_GB2312" w:hAnsi="仿宋" w:eastAsia="仿宋_GB2312" w:cs="宋体"/>
          <w:b/>
          <w:sz w:val="28"/>
          <w:szCs w:val="28"/>
        </w:rPr>
      </w:pPr>
      <w:bookmarkStart w:id="33" w:name="_Toc238907021"/>
      <w:r>
        <w:rPr>
          <w:rFonts w:hint="eastAsia" w:ascii="仿宋_GB2312" w:hAnsi="仿宋" w:eastAsia="仿宋_GB2312" w:cs="宋体"/>
          <w:b/>
          <w:sz w:val="28"/>
          <w:szCs w:val="28"/>
        </w:rPr>
        <w:t>（二）磋商截止时间</w:t>
      </w:r>
      <w:bookmarkEnd w:id="33"/>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1、供应商须在磋商截止时间前将响应文件送达采购代理机构规定的投标地点。</w:t>
      </w:r>
    </w:p>
    <w:p>
      <w:pPr>
        <w:adjustRightInd w:val="0"/>
        <w:snapToGrid w:val="0"/>
        <w:ind w:firstLine="560" w:firstLineChars="200"/>
        <w:rPr>
          <w:rFonts w:ascii="仿宋_GB2312" w:hAnsi="仿宋" w:eastAsia="仿宋_GB2312" w:cs="宋体"/>
          <w:b/>
          <w:sz w:val="28"/>
          <w:szCs w:val="28"/>
        </w:rPr>
      </w:pPr>
      <w:r>
        <w:rPr>
          <w:rFonts w:hint="eastAsia" w:ascii="仿宋_GB2312" w:hAnsi="仿宋" w:eastAsia="仿宋_GB2312" w:cs="宋体"/>
          <w:sz w:val="28"/>
          <w:szCs w:val="28"/>
        </w:rPr>
        <w:t>2、若采购代理机构推迟了磋商截止时间，采购代理机构和供应商受磋商截止时间制约的所有权利和义务均应以新的截止时间为准。</w:t>
      </w:r>
      <w:bookmarkStart w:id="34" w:name="_Toc238907022"/>
    </w:p>
    <w:bookmarkEnd w:id="34"/>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3、在磋商截止时间后递交的响应文件，采购代理机构将拒绝接受。</w:t>
      </w:r>
    </w:p>
    <w:p>
      <w:pPr>
        <w:adjustRightInd w:val="0"/>
        <w:snapToGrid w:val="0"/>
        <w:rPr>
          <w:rFonts w:ascii="仿宋_GB2312" w:hAnsi="仿宋" w:eastAsia="仿宋_GB2312" w:cs="宋体"/>
          <w:b/>
          <w:sz w:val="28"/>
          <w:szCs w:val="28"/>
        </w:rPr>
      </w:pPr>
      <w:bookmarkStart w:id="35" w:name="_Toc238907023"/>
      <w:r>
        <w:rPr>
          <w:rFonts w:hint="eastAsia" w:ascii="仿宋_GB2312" w:hAnsi="仿宋" w:eastAsia="仿宋_GB2312" w:cs="宋体"/>
          <w:b/>
          <w:sz w:val="28"/>
          <w:szCs w:val="28"/>
        </w:rPr>
        <w:t>（三）响应文件的修改和撤回</w:t>
      </w:r>
      <w:bookmarkEnd w:id="35"/>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1、供应商在提交响应文件后可对其进行修改或撤回，但必须使采购代理机构在磋商截止时间前收到该修改的书面内容或撤回的书面通知，该书面文件须由法人代表或其授权代表签署。</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响应文件的修改文件应按文件的规定签署、密封、标记，还须注明“修改响应文件”和“磋商前不得启封”字样。修改文件须在磋商截止时间前送达采购代理机构规定的磋商地点。上述补充或修改若涉及响应报价，必须注明“最终唯一报价”字样，否则将视为有选择的报价。</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3、供应商不得在磋商截止时间以后修改响应文件。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4、供应商不得在磋商截止时间起至磋商有效期满前撤回响应文件，否则磋商保证金将被没收。该供应商的响应文件不予退还。</w:t>
      </w:r>
      <w:bookmarkStart w:id="36" w:name="_Toc238907024"/>
    </w:p>
    <w:p>
      <w:pPr>
        <w:pStyle w:val="4"/>
        <w:adjustRightInd w:val="0"/>
        <w:snapToGrid w:val="0"/>
        <w:jc w:val="center"/>
        <w:rPr>
          <w:rFonts w:ascii="仿宋_GB2312" w:hAnsi="仿宋" w:eastAsia="仿宋_GB2312" w:cs="宋体"/>
          <w:sz w:val="28"/>
          <w:szCs w:val="28"/>
        </w:rPr>
      </w:pPr>
      <w:r>
        <w:rPr>
          <w:rFonts w:hint="eastAsia" w:ascii="仿宋_GB2312" w:hAnsi="仿宋" w:eastAsia="仿宋_GB2312" w:cs="宋体"/>
          <w:sz w:val="28"/>
          <w:szCs w:val="28"/>
        </w:rPr>
        <w:t>五、磋商及评</w:t>
      </w:r>
      <w:bookmarkEnd w:id="36"/>
      <w:r>
        <w:rPr>
          <w:rFonts w:hint="eastAsia" w:ascii="仿宋_GB2312" w:hAnsi="仿宋" w:eastAsia="仿宋_GB2312" w:cs="宋体"/>
          <w:sz w:val="28"/>
          <w:szCs w:val="28"/>
        </w:rPr>
        <w:t>审</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（一）磋商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1、采购代理机构按磋商文件第一章规定的时间和地点磋商。采购人代表、采购代理机构有关工作人员参加。</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2、供应商应委派授权代表参加磋商活动，参加磋商的代表须持本人身份证件签名报到以证明其出席。未派授权代表或不能证明其授权代表身份的，采购代理机构对响应文件的处理不承担责任。</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3、磋商时，采购代理机构、公证员（如有）或供应商代表将查验响应文件密封情况。</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4、若响应文件未密封，或供应商未提交磋商保证金，采购代理机构将拒绝接受该供应商的响应文件。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5、按照第“（三）响应文件的修改和撤回”条规定，同意撤回的响应文件将不予拆封。</w:t>
      </w:r>
    </w:p>
    <w:p>
      <w:pPr>
        <w:adjustRightInd w:val="0"/>
        <w:snapToGrid w:val="0"/>
        <w:rPr>
          <w:rFonts w:ascii="仿宋_GB2312" w:hAnsi="仿宋" w:eastAsia="仿宋_GB2312" w:cs="宋体"/>
          <w:b/>
          <w:sz w:val="28"/>
          <w:szCs w:val="28"/>
        </w:rPr>
      </w:pPr>
      <w:bookmarkStart w:id="37" w:name="_Toc238907026"/>
      <w:r>
        <w:rPr>
          <w:rFonts w:hint="eastAsia" w:ascii="仿宋_GB2312" w:hAnsi="仿宋" w:eastAsia="仿宋_GB2312" w:cs="宋体"/>
          <w:b/>
          <w:sz w:val="28"/>
          <w:szCs w:val="28"/>
        </w:rPr>
        <w:t>（二）磋商小组</w:t>
      </w:r>
      <w:bookmarkEnd w:id="37"/>
    </w:p>
    <w:p>
      <w:pPr>
        <w:adjustRightInd w:val="0"/>
        <w:snapToGrid w:val="0"/>
        <w:ind w:firstLine="560" w:firstLineChars="200"/>
        <w:rPr>
          <w:rFonts w:ascii="仿宋_GB2312" w:hAnsi="仿宋" w:eastAsia="仿宋_GB2312" w:cs="宋体"/>
          <w:sz w:val="28"/>
          <w:szCs w:val="28"/>
        </w:rPr>
      </w:pPr>
      <w:bookmarkStart w:id="38" w:name="_Toc238907027"/>
      <w:r>
        <w:rPr>
          <w:rFonts w:hint="eastAsia" w:ascii="仿宋_GB2312" w:hAnsi="仿宋" w:eastAsia="仿宋_GB2312" w:cs="宋体"/>
          <w:sz w:val="28"/>
          <w:szCs w:val="28"/>
        </w:rPr>
        <w:t>本项目的磋商小组的成员由采购人代表和从海南省综合评标专家库中随机抽取的相关专家组成，人数为三人（含三人）以上单数。</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（三）对响应文件的资格符合性审查</w:t>
      </w:r>
      <w:bookmarkEnd w:id="38"/>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 xml:space="preserve">l、资格符合性审查的内容包括：详见资格符合性审查表。资格符合性审查的内容只要有一条不满足，则响应文件无效。 </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所谓偏离是指响应文件的内容高于或低于磋商文件的相关要求。所谓重大负偏离是指供应商所磋商的范围、质量、数量和项目完成时间等明显不能满足磋商文件的要求。重大负偏离的认定须经磋商小组三分之二以上无记名投票同意。</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判断响应文件的响应与否只根据响应文件本身，而不寻求外部证据。</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3、磋商小组在评审中，对算术错误的修正原则如下:</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报价一览表（报价表）内容与响应文件中明细表内容不一致的，以报价一览表（报价表）为准；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响应文件的大写金额和小写金额不一致的，以大写金额为准；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总价金额与按单价汇总金额不一致的，以单价金额计算结果为准；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单价金额小数点有明显错位的，以总价为准并修改单价；</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若供应商不同意以上修正，响应文件将视为无效。</w:t>
      </w:r>
    </w:p>
    <w:p>
      <w:pPr>
        <w:adjustRightInd w:val="0"/>
        <w:snapToGrid w:val="0"/>
        <w:rPr>
          <w:rFonts w:ascii="仿宋_GB2312" w:hAnsi="仿宋" w:eastAsia="仿宋_GB2312" w:cs="宋体"/>
          <w:b/>
          <w:sz w:val="28"/>
          <w:szCs w:val="28"/>
        </w:rPr>
      </w:pPr>
      <w:bookmarkStart w:id="39" w:name="_Toc238907028"/>
      <w:r>
        <w:rPr>
          <w:rFonts w:hint="eastAsia" w:ascii="仿宋_GB2312" w:hAnsi="仿宋" w:eastAsia="仿宋_GB2312" w:cs="宋体"/>
          <w:b/>
          <w:sz w:val="28"/>
          <w:szCs w:val="28"/>
        </w:rPr>
        <w:t>（四）响应文件的澄清</w:t>
      </w:r>
      <w:bookmarkEnd w:id="39"/>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1、在评审期间，磋商小组有权要求供应商对其响应文件中含义不明确、同类问题表述不一致或者有明显文字和计算错误的内容进行澄清。供应商应派授权代表和技术人员按磋商小组通知的时间和地点接受询标。</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磋商小组认为有必要，可要求供应商对某些问题作出必要的澄清、说明和纠正。供应商的澄清、说明或者补正应当采用书面形式，由其授权的代表签字，并不得超出响应文件的范围或者改变响应文件的实质性内容。供应商的书面澄清材料作为响应文件的补充。</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3、供应商不按磋商小组规定的时间和地点作书面澄清，将视为放弃该权利。</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4、并非每个供应商都将被询标。</w:t>
      </w:r>
    </w:p>
    <w:p>
      <w:pPr>
        <w:adjustRightInd w:val="0"/>
        <w:snapToGrid w:val="0"/>
        <w:rPr>
          <w:rFonts w:ascii="仿宋_GB2312" w:hAnsi="仿宋" w:eastAsia="仿宋_GB2312" w:cs="宋体"/>
          <w:b/>
          <w:sz w:val="28"/>
          <w:szCs w:val="28"/>
        </w:rPr>
      </w:pPr>
      <w:bookmarkStart w:id="40" w:name="_Toc238907029"/>
      <w:r>
        <w:rPr>
          <w:rFonts w:hint="eastAsia" w:ascii="仿宋_GB2312" w:hAnsi="仿宋" w:eastAsia="仿宋_GB2312" w:cs="宋体"/>
          <w:b/>
          <w:sz w:val="28"/>
          <w:szCs w:val="28"/>
        </w:rPr>
        <w:t>（五）评审及</w:t>
      </w:r>
      <w:bookmarkEnd w:id="40"/>
      <w:r>
        <w:rPr>
          <w:rFonts w:hint="eastAsia" w:ascii="仿宋_GB2312" w:hAnsi="仿宋" w:eastAsia="仿宋_GB2312" w:cs="宋体"/>
          <w:b/>
          <w:sz w:val="28"/>
          <w:szCs w:val="28"/>
        </w:rPr>
        <w:t>确定成交候选供应商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1、磋商小组分别对通过资格性审查和符合性审查的响应文件进行评价和比较。</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2、磋商小组按公布的磋商文件中“第四章”评审方法、标准和程序对每份响应文件进行评审，确定成交候选供应商。最低响应报价等任何单项因素的最优不能作为成交的保证。</w:t>
      </w:r>
      <w:bookmarkStart w:id="41" w:name="_Toc238907030"/>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（六）磋商过程保密</w:t>
      </w:r>
      <w:bookmarkEnd w:id="41"/>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1、在宣布成交结果之前，凡属于审查、澄清、评价、比较响应文件和成交意向等有关信息，相关当事人均不得泄露给任何供应商或与评审工作无关的人员。</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2、供应商不得探听上述信息，不得以任何行为影响评审过程，否则其响应文件将被作为无效响应文件。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3、在评审期间，采购代理机构将有专门人员与供应商进行联络。</w:t>
      </w:r>
    </w:p>
    <w:p>
      <w:pPr>
        <w:pStyle w:val="4"/>
        <w:adjustRightInd w:val="0"/>
        <w:snapToGrid w:val="0"/>
        <w:jc w:val="center"/>
        <w:rPr>
          <w:rFonts w:ascii="仿宋_GB2312" w:hAnsi="仿宋" w:eastAsia="仿宋_GB2312" w:cs="宋体"/>
          <w:sz w:val="28"/>
          <w:szCs w:val="28"/>
        </w:rPr>
      </w:pPr>
      <w:bookmarkStart w:id="42" w:name="_Toc238907031"/>
      <w:r>
        <w:rPr>
          <w:rFonts w:hint="eastAsia" w:ascii="仿宋_GB2312" w:hAnsi="仿宋" w:eastAsia="仿宋_GB2312" w:cs="宋体"/>
          <w:sz w:val="28"/>
          <w:szCs w:val="28"/>
        </w:rPr>
        <w:t>六、</w:t>
      </w:r>
      <w:bookmarkEnd w:id="42"/>
      <w:r>
        <w:rPr>
          <w:rFonts w:hint="eastAsia" w:ascii="仿宋_GB2312" w:hAnsi="仿宋" w:eastAsia="仿宋_GB2312" w:cs="宋体"/>
          <w:sz w:val="28"/>
          <w:szCs w:val="28"/>
        </w:rPr>
        <w:t>确定成交供应商、签约和质疑投诉</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（一）确定成交候选供应商原则</w:t>
      </w:r>
    </w:p>
    <w:p>
      <w:pPr>
        <w:pStyle w:val="67"/>
        <w:snapToGrid w:val="0"/>
        <w:ind w:left="0" w:firstLine="560" w:firstLineChars="200"/>
        <w:rPr>
          <w:rFonts w:ascii="仿宋_GB2312" w:hAnsi="仿宋" w:eastAsia="仿宋_GB2312" w:cs="宋体"/>
          <w:sz w:val="28"/>
          <w:szCs w:val="28"/>
        </w:rPr>
      </w:pPr>
      <w:r>
        <w:rPr>
          <w:rFonts w:hint="eastAsia" w:ascii="仿宋_GB2312" w:hAnsi="仿宋" w:eastAsia="仿宋_GB2312" w:cs="宋体"/>
          <w:sz w:val="28"/>
          <w:szCs w:val="28"/>
        </w:rPr>
        <w:t>磋商小组将严格按照磋商文件的要求和条件进行评审,根据评审方法推荐出一至三人为成交候选供应商，并标明排列顺序。采购人将确定排名第一的成交候选供应商为成交供应商并向其授予合同。排名第一的成交候选供应商因不可抗力或者自身原因不能履行合同，或者本文件规定应当提交履约保证金而在规定期限未能提交的，或者是磋商小组出现评审错误，被他人质疑后证实确有其事的，采购人将把合同授予排名第二的成交候选供应商。排名第二的成交候选供应商因前款规定的同样原因不能签订合同的，采购人将把合同授予排名第三的成交候选供应商。</w:t>
      </w:r>
    </w:p>
    <w:p>
      <w:pPr>
        <w:adjustRightInd w:val="0"/>
        <w:snapToGrid w:val="0"/>
        <w:rPr>
          <w:rFonts w:ascii="仿宋_GB2312" w:hAnsi="仿宋" w:eastAsia="仿宋_GB2312" w:cs="宋体"/>
          <w:b/>
          <w:sz w:val="28"/>
          <w:szCs w:val="28"/>
        </w:rPr>
      </w:pPr>
      <w:bookmarkStart w:id="43" w:name="_Toc238907033"/>
      <w:r>
        <w:rPr>
          <w:rFonts w:hint="eastAsia" w:ascii="仿宋_GB2312" w:hAnsi="仿宋" w:eastAsia="仿宋_GB2312" w:cs="宋体"/>
          <w:b/>
          <w:sz w:val="28"/>
          <w:szCs w:val="28"/>
        </w:rPr>
        <w:t>（二）质疑</w:t>
      </w:r>
      <w:bookmarkEnd w:id="43"/>
      <w:r>
        <w:rPr>
          <w:rFonts w:hint="eastAsia" w:ascii="仿宋_GB2312" w:hAnsi="仿宋" w:eastAsia="仿宋_GB2312" w:cs="宋体"/>
          <w:b/>
          <w:sz w:val="28"/>
          <w:szCs w:val="28"/>
        </w:rPr>
        <w:t>的接收和处理、投诉</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sz w:val="28"/>
          <w:szCs w:val="28"/>
        </w:rPr>
        <w:t>1、接收质疑函的联系部门、联系电话和通讯地址：</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联系部门：海南金政采项目管理有限公司  电话：0898-66756504</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地址：海口市美兰区蓝天路12号世纪港C1401室  </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2、供应商如认为采购文件、采购过程和成交结果使自己的权益受到损害的，应在知道或应知道其权益受到损害之日起七个工作日内以书面形式向采购人、采购代理机构提出质疑。</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4、供应商须在质疑期内一次性提出针对同一采购程序环节的质疑。</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5、供应商提出质疑应当提交质疑函和必要的证明材料。质疑函应当包括下列内容：</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（1）供应商的姓名或者名称、地址、邮编、联系人及联系电话；</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（2）质疑项目的名称、编号；</w:t>
      </w:r>
      <w:bookmarkStart w:id="92" w:name="_GoBack"/>
      <w:bookmarkEnd w:id="92"/>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（3）具体、明确的质疑事项和与质疑事项相关的请求；</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（4）事实依据；</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（5）必要的法律依据；</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（6）提出质疑的日期。</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供应商为自然人的，应当由本人签字；供应商为法人或者其他组织的，应当由法定代表人、主要负责人，或者其授权代表签字或者盖章，并加盖公章。</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6、未按要求填写、匿名、非书面形式、七个工作日之外的质疑均不予受理。</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7、采购人或采购代理机构应当在收到供应商的书面质疑后7个工作日内作出答复，并以书面形式通知质疑供应商和其他有关供应商。</w:t>
      </w:r>
    </w:p>
    <w:p>
      <w:pPr>
        <w:adjustRightInd w:val="0"/>
        <w:snapToGrid w:val="0"/>
        <w:ind w:firstLine="560" w:firstLineChars="200"/>
        <w:rPr>
          <w:rFonts w:ascii="仿宋_GB2312" w:hAnsi="仿宋" w:eastAsia="仿宋_GB2312" w:cs="宋体"/>
          <w:kern w:val="0"/>
          <w:sz w:val="28"/>
          <w:szCs w:val="28"/>
          <w:lang w:val="en-GB"/>
        </w:rPr>
      </w:pPr>
      <w:r>
        <w:rPr>
          <w:rFonts w:hint="eastAsia" w:ascii="仿宋_GB2312" w:hAnsi="仿宋" w:eastAsia="仿宋_GB2312" w:cs="宋体"/>
          <w:kern w:val="0"/>
          <w:sz w:val="28"/>
          <w:szCs w:val="28"/>
        </w:rPr>
        <w:t>8、</w:t>
      </w:r>
      <w:r>
        <w:rPr>
          <w:rFonts w:hint="eastAsia" w:ascii="仿宋_GB2312" w:hAnsi="仿宋" w:eastAsia="仿宋_GB2312" w:cs="宋体"/>
          <w:sz w:val="28"/>
          <w:szCs w:val="28"/>
        </w:rPr>
        <w:t>采购代理机构</w:t>
      </w:r>
      <w:r>
        <w:rPr>
          <w:rFonts w:hint="eastAsia" w:ascii="仿宋_GB2312" w:hAnsi="仿宋" w:eastAsia="仿宋_GB2312" w:cs="宋体"/>
          <w:kern w:val="0"/>
          <w:sz w:val="28"/>
          <w:szCs w:val="28"/>
          <w:lang w:val="en-GB"/>
        </w:rPr>
        <w:t>在《中华人民共和国政府采购法》规定的时间内没有对供应商的质疑进行回复，或供应商对</w:t>
      </w:r>
      <w:r>
        <w:rPr>
          <w:rFonts w:hint="eastAsia" w:ascii="仿宋_GB2312" w:hAnsi="仿宋" w:eastAsia="仿宋_GB2312" w:cs="宋体"/>
          <w:sz w:val="28"/>
          <w:szCs w:val="28"/>
        </w:rPr>
        <w:t>采购代理机构</w:t>
      </w:r>
      <w:r>
        <w:rPr>
          <w:rFonts w:hint="eastAsia" w:ascii="仿宋_GB2312" w:hAnsi="仿宋" w:eastAsia="仿宋_GB2312" w:cs="宋体"/>
          <w:kern w:val="0"/>
          <w:sz w:val="28"/>
          <w:szCs w:val="28"/>
          <w:lang w:val="en-GB"/>
        </w:rPr>
        <w:t>的回复不满意时，可以在答复期满后15个工作日内按规定向财政部门投诉。</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（三）成交通知</w:t>
      </w:r>
    </w:p>
    <w:p>
      <w:pPr>
        <w:autoSpaceDE w:val="0"/>
        <w:autoSpaceDN w:val="0"/>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1、评审结束后确成交候选供应商，成交公告在法定媒体公告期限为1个工作日。</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2、成交后,采购代理机构应将成交结果通知所有的供应商，并向成交供应商发出成交通知书。</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3、成交供应商收到成交通知书后，须立即以书面形式回复采购代理机构，确认成交通知书已收到，并同意接受（若到采购代理机构领取则无需回复）。</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4、成交通知书将是合同的一个组成部分。</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（四）签订合同</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1、成交供应商应按成交通知书规定的时间、地点与采购人签订合同,否则磋商保证金将不予退还，给采购人和采购代理机构造成损失的，供应商还应承担赔偿责任。</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2、磋商文件、成交供应商的响应文件及评标过程中有关澄清文件均应作为合同附件。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3、签订合同后，成交供应商应当按照合同约定履行义务，完成项目。不得将货物、工程及其他相关服务进行转包。未经采购人同意，成交供应商不得采用分包的形式履行合同。</w:t>
      </w:r>
      <w:bookmarkStart w:id="44" w:name="_Toc468811121"/>
      <w:bookmarkStart w:id="45" w:name="_Toc483655694"/>
      <w:r>
        <w:rPr>
          <w:rFonts w:hint="eastAsia" w:ascii="仿宋_GB2312" w:hAnsi="仿宋" w:eastAsia="仿宋_GB2312" w:cs="宋体"/>
          <w:sz w:val="28"/>
          <w:szCs w:val="28"/>
        </w:rPr>
        <w:t>否则采购人或采购代理机构有权终止合同，成交供应商的履约保证金（如有）将不予退还。转包或分包造成采购人损失的，成交供应商还应承担相应赔偿责任。</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（五）腐败和欺诈行为</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本采购形成的合同项下的买方和卖方（成交供应商）在合同生效和实施过程中应遵守最高的道德标准。为此目的，定义下述条件：</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（1）“腐败行为”是指通过提供、给予、接受、索取任何有价值的东西来影响采购人员在采购过程中或合同实施过程中的行为；</w:t>
      </w:r>
    </w:p>
    <w:p>
      <w:pPr>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2）“欺诈行为”是指为了影响采购过程或合同实施过程而谎报事实，损害买方和公共利益，包括供应商之间串通（递交响应文件之前和之后），人为地使磋商丧失竞争性，剥夺了买方从竞争中所获得的利益。如果被推荐的成交供应商被认为在本采购合同的竞争中有腐败和欺诈行为，则其磋商将被拒绝。</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（六）</w:t>
      </w:r>
      <w:bookmarkEnd w:id="44"/>
      <w:bookmarkEnd w:id="45"/>
      <w:r>
        <w:rPr>
          <w:rFonts w:hint="eastAsia" w:ascii="仿宋_GB2312" w:hAnsi="仿宋" w:eastAsia="仿宋_GB2312"/>
          <w:b/>
          <w:sz w:val="28"/>
          <w:szCs w:val="28"/>
        </w:rPr>
        <w:t>关于政策性优惠</w:t>
      </w:r>
    </w:p>
    <w:p>
      <w:pPr>
        <w:autoSpaceDE w:val="0"/>
        <w:autoSpaceDN w:val="0"/>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1、政策优惠条件及要求:根据财政部、工业和信息化部关于《政府采购促进中小企业发展管理办法》（财库</w:t>
      </w:r>
      <w:r>
        <w:rPr>
          <w:rFonts w:hint="eastAsia" w:ascii="仿宋_GB2312" w:eastAsia="仿宋_GB2312"/>
          <w:sz w:val="28"/>
          <w:szCs w:val="28"/>
        </w:rPr>
        <w:t>〔2020〕46号</w:t>
      </w:r>
      <w:r>
        <w:rPr>
          <w:rFonts w:hint="eastAsia" w:ascii="仿宋_GB2312" w:hAnsi="仿宋" w:eastAsia="仿宋_GB2312" w:cs="宋体"/>
          <w:kern w:val="0"/>
          <w:sz w:val="28"/>
          <w:szCs w:val="28"/>
        </w:rPr>
        <w:t>）、财政部文件《关于促进残疾人就业政府采购政策的通知》（财库</w:t>
      </w:r>
      <w:r>
        <w:rPr>
          <w:rFonts w:hint="eastAsia" w:ascii="仿宋_GB2312" w:eastAsia="仿宋_GB2312"/>
          <w:sz w:val="28"/>
          <w:szCs w:val="28"/>
        </w:rPr>
        <w:t>〔2017〕</w:t>
      </w:r>
      <w:r>
        <w:rPr>
          <w:rFonts w:hint="eastAsia" w:ascii="仿宋_GB2312" w:hAnsi="仿宋" w:eastAsia="仿宋_GB2312" w:cs="宋体"/>
          <w:kern w:val="0"/>
          <w:sz w:val="28"/>
          <w:szCs w:val="28"/>
        </w:rPr>
        <w:t>141 号）及财政部司法部《财政部司法部关于政府采购支持监狱企业发展有关问题的通知书》（财库</w:t>
      </w:r>
      <w:r>
        <w:rPr>
          <w:rFonts w:hint="eastAsia" w:ascii="仿宋_GB2312" w:eastAsia="仿宋_GB2312"/>
          <w:sz w:val="28"/>
          <w:szCs w:val="28"/>
        </w:rPr>
        <w:t>〔2014〕</w:t>
      </w:r>
      <w:r>
        <w:rPr>
          <w:rFonts w:hint="eastAsia" w:ascii="仿宋_GB2312" w:hAnsi="仿宋" w:eastAsia="仿宋_GB2312" w:cs="宋体"/>
          <w:kern w:val="0"/>
          <w:sz w:val="28"/>
          <w:szCs w:val="28"/>
        </w:rPr>
        <w:t>68 号）等有关规定的要求，以及政府关于强制采购节能产品、信息安全产品和优先采购环境标志产品的实施意见，政府采购项目的政策优惠条件及要求如下。</w:t>
      </w:r>
    </w:p>
    <w:p>
      <w:pPr>
        <w:autoSpaceDE w:val="0"/>
        <w:autoSpaceDN w:val="0"/>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（1）关于小微企业（供应商）残疾人福利性单位和监狱企业产品参与投标</w:t>
      </w:r>
    </w:p>
    <w:p>
      <w:pPr>
        <w:autoSpaceDE w:val="0"/>
        <w:autoSpaceDN w:val="0"/>
        <w:adjustRightInd w:val="0"/>
        <w:snapToGrid w:val="0"/>
        <w:ind w:firstLine="560" w:firstLineChars="200"/>
        <w:rPr>
          <w:rFonts w:ascii="仿宋_GB2312" w:hAnsi="仿宋" w:eastAsia="仿宋_GB2312" w:cs="宋体"/>
          <w:kern w:val="0"/>
          <w:sz w:val="28"/>
          <w:szCs w:val="28"/>
        </w:rPr>
      </w:pPr>
      <w:r>
        <w:rPr>
          <w:rFonts w:hint="eastAsia" w:ascii="仿宋_GB2312" w:hAnsi="仿宋" w:eastAsia="仿宋_GB2312" w:cs="宋体"/>
          <w:sz w:val="28"/>
          <w:szCs w:val="28"/>
        </w:rPr>
        <w:t>根据财政部、工业和信息化部关于《政府采购促进中小企业发展管理办法》（财库</w:t>
      </w:r>
      <w:r>
        <w:rPr>
          <w:rFonts w:hint="eastAsia" w:ascii="仿宋_GB2312" w:eastAsia="仿宋_GB2312"/>
          <w:sz w:val="28"/>
          <w:szCs w:val="28"/>
        </w:rPr>
        <w:t>〔2020〕</w:t>
      </w:r>
      <w:r>
        <w:rPr>
          <w:rFonts w:hint="eastAsia" w:ascii="仿宋_GB2312" w:hAnsi="仿宋" w:eastAsia="仿宋_GB2312" w:cs="宋体"/>
          <w:sz w:val="28"/>
          <w:szCs w:val="28"/>
        </w:rPr>
        <w:t>46号）、财政部文件《关于促进残疾人就业政府采购政策的通知》（财库</w:t>
      </w:r>
      <w:r>
        <w:rPr>
          <w:rFonts w:hint="eastAsia" w:ascii="仿宋_GB2312" w:eastAsia="仿宋_GB2312"/>
          <w:sz w:val="28"/>
          <w:szCs w:val="28"/>
        </w:rPr>
        <w:t>〔2017〕</w:t>
      </w:r>
      <w:r>
        <w:rPr>
          <w:rFonts w:hint="eastAsia" w:ascii="仿宋_GB2312" w:hAnsi="仿宋" w:eastAsia="仿宋_GB2312" w:cs="宋体"/>
          <w:sz w:val="28"/>
          <w:szCs w:val="28"/>
        </w:rPr>
        <w:t>141号）及财政部司法部《财政部 司法部关于政府采购支持监狱企业发展有关问题的通知书》（财库</w:t>
      </w:r>
      <w:r>
        <w:rPr>
          <w:rFonts w:hint="eastAsia" w:ascii="仿宋_GB2312" w:eastAsia="仿宋_GB2312"/>
          <w:sz w:val="28"/>
          <w:szCs w:val="28"/>
        </w:rPr>
        <w:t>〔2014〕</w:t>
      </w:r>
      <w:r>
        <w:rPr>
          <w:rFonts w:hint="eastAsia" w:ascii="仿宋_GB2312" w:hAnsi="仿宋" w:eastAsia="仿宋_GB2312" w:cs="宋体"/>
          <w:sz w:val="28"/>
          <w:szCs w:val="28"/>
        </w:rPr>
        <w:t>68号）的要求，对于非专门面对中小微企业、残疾人福利性单位及监狱企业的项目，对小型和微型企业、残疾人福利性单位和监狱企业产品的价格给予6%的扣除，供应商为联合体的，联合体中有小型或微型企业且联合协议中约定小型、微型企业的协议合同金额占到联合体协议合同总金额30％以上的，产品的价格给予2%的扣除。（对于同时属于小型和微型企业、残疾人福利性单位和监狱企业的，不重复享受政策），用扣除后的价格参与评审。享受政策优惠的小型、微型供应商须提供合法有效的“中小企业声明函” 或“残疾人福利性单位声明函”。监狱企业参加政府采购活动时，应当提供由省级以上监狱管理局、戒毒管理局（含新疆生产建设兵团）出具的属于监狱企业的证明文件。</w:t>
      </w:r>
    </w:p>
    <w:p>
      <w:pPr>
        <w:autoSpaceDE w:val="0"/>
        <w:autoSpaceDN w:val="0"/>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（2）关于强制采购节能产品、信息安全产品和优先采购环境标志产品的要求</w:t>
      </w:r>
    </w:p>
    <w:p>
      <w:pPr>
        <w:autoSpaceDE w:val="0"/>
        <w:autoSpaceDN w:val="0"/>
        <w:adjustRightInd w:val="0"/>
        <w:snapToGrid w:val="0"/>
        <w:ind w:firstLine="420" w:firstLineChars="150"/>
        <w:rPr>
          <w:rFonts w:ascii="仿宋_GB2312" w:hAnsi="仿宋" w:eastAsia="仿宋_GB2312" w:cs="宋体"/>
          <w:sz w:val="28"/>
          <w:szCs w:val="28"/>
        </w:rPr>
      </w:pPr>
      <w:r>
        <w:rPr>
          <w:rFonts w:hint="eastAsia" w:ascii="仿宋_GB2312" w:hAnsi="仿宋" w:eastAsia="仿宋_GB2312" w:cs="宋体"/>
          <w:sz w:val="28"/>
          <w:szCs w:val="28"/>
        </w:rPr>
        <w:t>根据财政部、发展改革委、生态环境部、市场监管总局关于《关于调整优化节能产品、环境标志产品政府采购执行机制的通知》（财库</w:t>
      </w:r>
      <w:r>
        <w:rPr>
          <w:rFonts w:hint="eastAsia" w:ascii="仿宋_GB2312" w:eastAsia="仿宋_GB2312"/>
          <w:sz w:val="28"/>
          <w:szCs w:val="28"/>
        </w:rPr>
        <w:t>〔2019〕</w:t>
      </w:r>
      <w:r>
        <w:rPr>
          <w:rFonts w:hint="eastAsia" w:ascii="仿宋_GB2312" w:hAnsi="仿宋" w:eastAsia="仿宋_GB2312" w:cs="宋体"/>
          <w:sz w:val="28"/>
          <w:szCs w:val="28"/>
        </w:rPr>
        <w:t>9 号）的要求，对获得国家市场监督管理总局发布的认证机构名录中认证机构出具的、处于有效期之内的节能产品、环境标志产品认证证书的产品实施政府优先采购或强制采购。对于优先采购的节能产品和环境标志产品的响应单价给予1%的扣除（同时属于节能产品和环境标志产品的，响应单价只能给予1%的扣除），用扣除后的价格参与评审。供应商提供的产品属于节能产品或环境标志产品的，应提供有效的节能产品、环境标志产品认证证书。</w:t>
      </w:r>
    </w:p>
    <w:p>
      <w:pPr>
        <w:autoSpaceDE w:val="0"/>
        <w:autoSpaceDN w:val="0"/>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2、提供的产品属于政府强制采购节能产品的，供应商应当选择《节能产品政府采购品目清单》中的产品参与采购活动，并提供有效的节能产品认证证书复印件。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3、提供的产品属于信息安全产品的，供应商应当选择经国家认证的信息安全产品投标，并提供有效的中国国家信息安全产品认证证书复印件。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4、提供的产品属于优先采购环境标志产品的，供应商应当选择《环境标志产品政府采购品目清单》中的产品参与采购活动，并提供有效的环境标志产品认证证书复印件。</w:t>
      </w:r>
    </w:p>
    <w:p>
      <w:pPr>
        <w:pStyle w:val="4"/>
        <w:adjustRightInd w:val="0"/>
        <w:snapToGrid w:val="0"/>
        <w:jc w:val="center"/>
        <w:rPr>
          <w:rFonts w:ascii="仿宋_GB2312" w:hAnsi="仿宋" w:eastAsia="仿宋_GB2312" w:cs="宋体"/>
          <w:sz w:val="28"/>
          <w:szCs w:val="28"/>
        </w:rPr>
      </w:pPr>
      <w:r>
        <w:rPr>
          <w:rFonts w:hint="eastAsia" w:ascii="仿宋_GB2312" w:hAnsi="仿宋" w:eastAsia="仿宋_GB2312" w:cs="宋体"/>
          <w:sz w:val="28"/>
          <w:szCs w:val="28"/>
        </w:rPr>
        <w:t>七、其他</w:t>
      </w:r>
    </w:p>
    <w:p>
      <w:pPr>
        <w:adjustRightInd w:val="0"/>
        <w:snapToGrid w:val="0"/>
        <w:rPr>
          <w:rFonts w:ascii="仿宋_GB2312" w:hAnsi="仿宋" w:eastAsia="仿宋_GB2312" w:cs="宋体"/>
          <w:b/>
          <w:sz w:val="28"/>
          <w:szCs w:val="28"/>
        </w:rPr>
      </w:pPr>
      <w:r>
        <w:rPr>
          <w:rFonts w:hint="eastAsia" w:ascii="仿宋_GB2312" w:hAnsi="仿宋" w:eastAsia="仿宋_GB2312" w:cs="宋体"/>
          <w:b/>
          <w:sz w:val="28"/>
          <w:szCs w:val="28"/>
        </w:rPr>
        <w:t>（一）其他规定</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1、本项目不召开答疑会。</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2、信用信息查询的查询渠道：“信用中国”网站（www.creditchina.gov.cn）、中国政府采购网（</w:t>
      </w:r>
      <w:r>
        <w:fldChar w:fldCharType="begin"/>
      </w:r>
      <w:r>
        <w:instrText xml:space="preserve"> HYPERLINK "http://www.ccgp.gov.cn" </w:instrText>
      </w:r>
      <w:r>
        <w:fldChar w:fldCharType="separate"/>
      </w:r>
      <w:r>
        <w:rPr>
          <w:rStyle w:val="33"/>
          <w:rFonts w:hint="eastAsia" w:ascii="仿宋_GB2312" w:hAnsi="仿宋" w:eastAsia="仿宋_GB2312" w:cs="宋体"/>
          <w:color w:val="auto"/>
          <w:sz w:val="28"/>
          <w:szCs w:val="28"/>
        </w:rPr>
        <w:t>www.ccgp.gov.cn</w:t>
      </w:r>
      <w:r>
        <w:rPr>
          <w:rStyle w:val="33"/>
          <w:rFonts w:hint="eastAsia" w:ascii="仿宋_GB2312" w:hAnsi="仿宋" w:eastAsia="仿宋_GB2312" w:cs="宋体"/>
          <w:color w:val="auto"/>
          <w:sz w:val="28"/>
          <w:szCs w:val="28"/>
        </w:rPr>
        <w:fldChar w:fldCharType="end"/>
      </w:r>
      <w:r>
        <w:rPr>
          <w:rFonts w:hint="eastAsia" w:ascii="仿宋_GB2312" w:hAnsi="仿宋" w:eastAsia="仿宋_GB2312" w:cs="宋体"/>
          <w:sz w:val="28"/>
          <w:szCs w:val="28"/>
        </w:rPr>
        <w:t>）。</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3、信用信息查询的截止时点：采购公告发布时间以后。</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4、信用信息查询记录证据留存的具体方式：作为</w:t>
      </w:r>
      <w:r>
        <w:rPr>
          <w:rFonts w:hint="eastAsia" w:ascii="仿宋_GB2312" w:hAnsi="仿宋" w:eastAsia="仿宋_GB2312" w:cs="宋体"/>
          <w:bCs/>
          <w:sz w:val="28"/>
          <w:szCs w:val="28"/>
        </w:rPr>
        <w:t>响应文件的一部分一并留存。</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6、</w:t>
      </w:r>
      <w:r>
        <w:rPr>
          <w:rFonts w:hint="eastAsia" w:ascii="仿宋_GB2312" w:hAnsi="仿宋" w:eastAsia="仿宋_GB2312" w:cs="宋体"/>
          <w:bCs/>
          <w:sz w:val="28"/>
          <w:szCs w:val="28"/>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7、根据《政府采购法实施条例》及有关释义，银行、保险、石油石化、电力、电信运营商等有行业特殊情况的，其分支机构可参与投标，即其分支机构可视为“具有独立承担民事责任能力的其他组织”。</w:t>
      </w:r>
    </w:p>
    <w:p>
      <w:pPr>
        <w:adjustRightInd w:val="0"/>
        <w:snapToGrid w:val="0"/>
        <w:ind w:firstLine="560" w:firstLineChars="200"/>
        <w:rPr>
          <w:rFonts w:ascii="仿宋_GB2312" w:hAnsi="仿宋" w:eastAsia="仿宋_GB2312" w:cs="宋体"/>
          <w:bCs/>
          <w:sz w:val="28"/>
          <w:szCs w:val="28"/>
        </w:rPr>
      </w:pPr>
      <w:r>
        <w:rPr>
          <w:rFonts w:hint="eastAsia" w:ascii="仿宋_GB2312" w:hAnsi="仿宋" w:eastAsia="仿宋_GB2312" w:cs="宋体"/>
          <w:bCs/>
          <w:sz w:val="28"/>
          <w:szCs w:val="28"/>
        </w:rPr>
        <w:t>8、若供应商为其他组织或个体工商户等非法人供应商，其他组织的负责人、个体工商户的经营者等同于磋商文件中规定的法定代表人，其他组织的负责人、个体工商户经营者的签名同于磋商文件中规定的法定代表人签名。供应商也可以对响应文件中格式进行相应的修改。</w:t>
      </w:r>
    </w:p>
    <w:p>
      <w:pPr>
        <w:adjustRightInd w:val="0"/>
        <w:snapToGrid w:val="0"/>
        <w:ind w:firstLine="480" w:firstLineChars="200"/>
        <w:jc w:val="center"/>
        <w:rPr>
          <w:rFonts w:ascii="仿宋_GB2312" w:hAnsi="仿宋" w:eastAsia="仿宋_GB2312" w:cs="宋体"/>
          <w:b/>
          <w:bCs/>
          <w:sz w:val="32"/>
          <w:szCs w:val="32"/>
        </w:rPr>
      </w:pPr>
      <w:r>
        <w:rPr>
          <w:rFonts w:hint="eastAsia" w:ascii="仿宋_GB2312" w:hAnsi="仿宋" w:eastAsia="仿宋_GB2312" w:cs="宋体"/>
          <w:lang w:val="en-GB"/>
        </w:rPr>
        <w:br w:type="page"/>
      </w:r>
      <w:bookmarkStart w:id="46" w:name="_Toc434678182"/>
      <w:bookmarkStart w:id="47" w:name="_Toc16727398"/>
      <w:r>
        <w:rPr>
          <w:rStyle w:val="37"/>
          <w:rFonts w:hint="eastAsia" w:ascii="仿宋_GB2312" w:hAnsi="仿宋" w:eastAsia="仿宋_GB2312"/>
          <w:sz w:val="32"/>
          <w:szCs w:val="32"/>
        </w:rPr>
        <w:t xml:space="preserve">第三章 </w:t>
      </w:r>
      <w:bookmarkStart w:id="48" w:name="_Toc22573_WPSOffice_Level1"/>
      <w:bookmarkStart w:id="49" w:name="_Toc25783"/>
      <w:r>
        <w:rPr>
          <w:rStyle w:val="37"/>
          <w:rFonts w:hint="eastAsia" w:ascii="仿宋_GB2312" w:hAnsi="仿宋" w:eastAsia="仿宋_GB2312"/>
          <w:sz w:val="32"/>
          <w:szCs w:val="32"/>
        </w:rPr>
        <w:t xml:space="preserve"> 采购需求</w:t>
      </w:r>
      <w:bookmarkEnd w:id="46"/>
      <w:bookmarkEnd w:id="47"/>
      <w:bookmarkEnd w:id="48"/>
      <w:bookmarkEnd w:id="49"/>
    </w:p>
    <w:p>
      <w:pPr>
        <w:jc w:val="center"/>
        <w:rPr>
          <w:rFonts w:ascii="仿宋_GB2312" w:hAnsi="仿宋" w:eastAsia="仿宋_GB2312" w:cs="宋体"/>
          <w:b/>
          <w:color w:val="000000"/>
          <w:sz w:val="28"/>
          <w:szCs w:val="28"/>
        </w:rPr>
      </w:pPr>
      <w:r>
        <w:rPr>
          <w:rFonts w:hint="eastAsia" w:ascii="仿宋_GB2312" w:hAnsi="仿宋" w:eastAsia="仿宋_GB2312" w:cs="宋体"/>
          <w:b/>
          <w:color w:val="000000"/>
          <w:sz w:val="28"/>
          <w:szCs w:val="28"/>
        </w:rPr>
        <w:t>一、项目服务需求表</w:t>
      </w:r>
    </w:p>
    <w:tbl>
      <w:tblPr>
        <w:tblStyle w:val="2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3"/>
        <w:gridCol w:w="1244"/>
        <w:gridCol w:w="646"/>
        <w:gridCol w:w="630"/>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23"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cs="宋体"/>
                <w:b/>
                <w:color w:val="000000"/>
                <w:szCs w:val="21"/>
              </w:rPr>
            </w:pPr>
            <w:r>
              <w:rPr>
                <w:rFonts w:hint="eastAsia" w:ascii="仿宋_GB2312" w:hAnsi="仿宋" w:eastAsia="仿宋_GB2312" w:cs="宋体"/>
                <w:b/>
                <w:color w:val="000000"/>
                <w:szCs w:val="21"/>
              </w:rPr>
              <w:t>序号</w:t>
            </w:r>
          </w:p>
        </w:tc>
        <w:tc>
          <w:tcPr>
            <w:tcW w:w="1244"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b/>
                <w:color w:val="000000"/>
                <w:szCs w:val="21"/>
              </w:rPr>
            </w:pPr>
            <w:r>
              <w:rPr>
                <w:rFonts w:hint="eastAsia" w:ascii="仿宋_GB2312" w:hAnsi="仿宋" w:eastAsia="仿宋_GB2312"/>
                <w:b/>
                <w:color w:val="000000"/>
                <w:szCs w:val="21"/>
              </w:rPr>
              <w:t>采购内容</w:t>
            </w:r>
          </w:p>
        </w:tc>
        <w:tc>
          <w:tcPr>
            <w:tcW w:w="646"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cs="宋体"/>
                <w:b/>
                <w:color w:val="000000"/>
                <w:szCs w:val="21"/>
              </w:rPr>
            </w:pPr>
            <w:r>
              <w:rPr>
                <w:rFonts w:hint="eastAsia" w:ascii="仿宋_GB2312" w:hAnsi="仿宋" w:eastAsia="仿宋_GB2312" w:cs="宋体"/>
                <w:b/>
                <w:color w:val="000000"/>
                <w:szCs w:val="21"/>
              </w:rPr>
              <w:t>数量</w:t>
            </w:r>
          </w:p>
        </w:tc>
        <w:tc>
          <w:tcPr>
            <w:tcW w:w="630"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cs="宋体"/>
                <w:b/>
                <w:color w:val="000000"/>
                <w:szCs w:val="21"/>
              </w:rPr>
            </w:pPr>
            <w:r>
              <w:rPr>
                <w:rFonts w:hint="eastAsia" w:ascii="仿宋_GB2312" w:hAnsi="仿宋" w:eastAsia="仿宋_GB2312" w:cs="宋体"/>
                <w:b/>
                <w:color w:val="000000"/>
                <w:szCs w:val="21"/>
              </w:rPr>
              <w:t>单位</w:t>
            </w:r>
          </w:p>
        </w:tc>
        <w:tc>
          <w:tcPr>
            <w:tcW w:w="5914"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b/>
                <w:bCs/>
                <w:color w:val="000000"/>
                <w:szCs w:val="21"/>
              </w:rPr>
            </w:pPr>
            <w:r>
              <w:rPr>
                <w:rFonts w:hint="eastAsia" w:ascii="仿宋_GB2312" w:hAnsi="仿宋" w:eastAsia="仿宋_GB2312"/>
                <w:b/>
                <w:bCs/>
                <w:color w:val="000000"/>
                <w:szCs w:val="21"/>
              </w:rPr>
              <w:t>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623"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numPr>
                <w:ilvl w:val="0"/>
                <w:numId w:val="3"/>
              </w:numPr>
              <w:jc w:val="center"/>
              <w:rPr>
                <w:rFonts w:ascii="仿宋_GB2312" w:hAnsi="仿宋" w:eastAsia="仿宋_GB2312"/>
                <w:color w:val="000000"/>
                <w:szCs w:val="21"/>
              </w:rPr>
            </w:pPr>
          </w:p>
        </w:tc>
        <w:tc>
          <w:tcPr>
            <w:tcW w:w="1244"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海南省矿产资源总体规划（2021- 2025年）环境影响评价报告（海域部分）编制</w:t>
            </w:r>
          </w:p>
        </w:tc>
        <w:tc>
          <w:tcPr>
            <w:tcW w:w="646"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1</w:t>
            </w:r>
          </w:p>
        </w:tc>
        <w:tc>
          <w:tcPr>
            <w:tcW w:w="630"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项</w:t>
            </w:r>
          </w:p>
        </w:tc>
        <w:tc>
          <w:tcPr>
            <w:tcW w:w="5914"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tcPr>
          <w:p>
            <w:pPr>
              <w:snapToGrid w:val="0"/>
              <w:outlineLvl w:val="0"/>
              <w:rPr>
                <w:rFonts w:ascii="仿宋_GB2312" w:hAnsi="仿宋" w:eastAsia="仿宋_GB2312"/>
                <w:color w:val="000000"/>
                <w:szCs w:val="21"/>
              </w:rPr>
            </w:pPr>
            <w:bookmarkStart w:id="50" w:name="_Toc11767"/>
            <w:r>
              <w:rPr>
                <w:rFonts w:hint="eastAsia" w:ascii="仿宋_GB2312" w:hAnsi="仿宋" w:eastAsia="仿宋_GB2312"/>
                <w:color w:val="000000"/>
                <w:szCs w:val="21"/>
              </w:rPr>
              <w:t>根据海南省矿产资源总体规划（2021-2025年）的内容进行分析，收集海砂资源开发对生态环境影响等方面资料和有关数据，到生态环境部门开展工作调研，对海砂开采涉及的文昌市西南浅滩海域、东方市墩头浅滩海域、乐东县莺歌海海域（坐标附后）进行实地调查，按照《规划环境影响评价技术导则 总纲（HJ130-2014）》和有关技术规范，编制海南省矿产资源总体规划（2021—2025年）环境影响评价报告书（海域部分），经征求意见、有关部门组织的专家评审后，根据意见修改完善后提交最终成果报生态环境部评审通过。</w:t>
            </w:r>
            <w:bookmarkEnd w:id="50"/>
          </w:p>
        </w:tc>
      </w:tr>
    </w:tbl>
    <w:p>
      <w:pPr>
        <w:snapToGrid w:val="0"/>
        <w:jc w:val="center"/>
        <w:rPr>
          <w:rFonts w:ascii="仿宋_GB2312" w:hAnsi="仿宋" w:eastAsia="仿宋_GB2312" w:cs="宋体"/>
          <w:b/>
          <w:bCs/>
          <w:color w:val="000000"/>
          <w:sz w:val="28"/>
          <w:szCs w:val="28"/>
        </w:rPr>
      </w:pPr>
      <w:r>
        <w:rPr>
          <w:rFonts w:hint="eastAsia" w:ascii="仿宋_GB2312" w:hAnsi="仿宋" w:eastAsia="仿宋_GB2312" w:cs="宋体"/>
          <w:b/>
          <w:bCs/>
          <w:color w:val="000000"/>
          <w:sz w:val="28"/>
          <w:szCs w:val="28"/>
        </w:rPr>
        <w:t>二、售后服务及其它要求</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1.项目服务完成时间：签订合同之日起至2021年12月31日</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2.处理问题响应时间：接到处理问题通知后24小时内形成处理问题协议。</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3.供应商应就“项目服务需求”中所有的服务内容做唯一完整报价；</w:t>
      </w:r>
      <w:r>
        <w:rPr>
          <w:rFonts w:hint="eastAsia" w:ascii="仿宋_GB2312" w:hAnsi="仿宋" w:eastAsia="仿宋_GB2312" w:cs="宋体"/>
          <w:color w:val="000000"/>
          <w:sz w:val="28"/>
          <w:szCs w:val="28"/>
        </w:rPr>
        <w:t>如有漏项，视同已包含在其他项目中，合同总价不做调整。</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4.服务地点：</w:t>
      </w:r>
      <w:r>
        <w:rPr>
          <w:rFonts w:hint="eastAsia" w:ascii="仿宋_GB2312" w:hAnsi="仿宋" w:eastAsia="仿宋_GB2312" w:cs="宋体"/>
          <w:bCs/>
          <w:color w:val="000000"/>
          <w:sz w:val="28"/>
          <w:szCs w:val="28"/>
          <w:lang w:val="zh-CN"/>
        </w:rPr>
        <w:t>按采购单位要求</w:t>
      </w:r>
      <w:r>
        <w:rPr>
          <w:rFonts w:hint="eastAsia" w:ascii="仿宋_GB2312" w:hAnsi="仿宋" w:eastAsia="仿宋_GB2312" w:cs="宋体"/>
          <w:bCs/>
          <w:color w:val="000000"/>
          <w:sz w:val="28"/>
          <w:szCs w:val="28"/>
        </w:rPr>
        <w:t>。</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5、验收方式：采购单位组织相关单位的验收，验收相关费用由成交供应商承担，自行考虑在竞标报价中。</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6、质量保证期：验收通过后半年内。</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7、其它要求：</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（1）自成交通知书发出之日起三十天内必须与采购人签订合同，逾期不签订采购合同的，视为放弃成交资格，采购人有权顺位取第二成交候选人为成交人。</w:t>
      </w:r>
    </w:p>
    <w:p>
      <w:pPr>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（2）供应商必须提供售后服务承诺书，需有详细的售后服务承诺条款。</w:t>
      </w:r>
    </w:p>
    <w:p>
      <w:pPr>
        <w:snapToGrid w:val="0"/>
        <w:ind w:firstLine="42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8、付款方式：</w:t>
      </w:r>
    </w:p>
    <w:p>
      <w:pPr>
        <w:snapToGrid w:val="0"/>
        <w:ind w:firstLine="42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①、本合同价款采用费用包干合同方式确定。</w:t>
      </w:r>
    </w:p>
    <w:p>
      <w:pPr>
        <w:snapToGrid w:val="0"/>
        <w:ind w:firstLine="420"/>
        <w:rPr>
          <w:rFonts w:ascii="仿宋_GB2312" w:hAnsi="仿宋" w:eastAsia="仿宋_GB2312"/>
          <w:sz w:val="28"/>
          <w:szCs w:val="28"/>
        </w:rPr>
      </w:pPr>
      <w:r>
        <w:rPr>
          <w:rFonts w:hint="eastAsia" w:ascii="仿宋_GB2312" w:hAnsi="仿宋" w:eastAsia="仿宋_GB2312" w:cs="宋体"/>
          <w:bCs/>
          <w:color w:val="000000"/>
          <w:sz w:val="28"/>
          <w:szCs w:val="28"/>
        </w:rPr>
        <w:t>②、</w:t>
      </w:r>
      <w:r>
        <w:rPr>
          <w:rFonts w:hint="eastAsia" w:ascii="仿宋_GB2312" w:hAnsi="仿宋" w:eastAsia="仿宋_GB2312"/>
          <w:sz w:val="28"/>
          <w:szCs w:val="28"/>
        </w:rPr>
        <w:t>合同生效后15日内，采购人凭成交供应商提供的有效发票以转账方式支付成交供应商合同总价的50%，成交供应商按要求完成并提交环境影响评价报告书初稿后5个工作日内，采购人凭成交供应商提供的有效发票以转账方式支付成交供应商合同总价的30%。</w:t>
      </w:r>
    </w:p>
    <w:p>
      <w:pPr>
        <w:snapToGrid w:val="0"/>
        <w:ind w:firstLine="420"/>
        <w:rPr>
          <w:rFonts w:ascii="仿宋_GB2312" w:hAnsi="仿宋" w:eastAsia="仿宋_GB2312"/>
          <w:sz w:val="28"/>
          <w:szCs w:val="28"/>
        </w:rPr>
      </w:pPr>
      <w:r>
        <w:rPr>
          <w:rFonts w:hint="eastAsia" w:ascii="仿宋_GB2312" w:hAnsi="仿宋" w:eastAsia="仿宋_GB2312"/>
          <w:sz w:val="28"/>
          <w:szCs w:val="28"/>
        </w:rPr>
        <w:t>采购人组织对初稿进行评审并通过后，形成海南省矿产资源总体规划（2021-2025年）环境影响评价报告书（海域部分）送审稿，报生态环境部审查并通过后5个工作日内，采购人凭成交供应商提供的有效发票以转账方式支付成交供应商合同总价的20%。</w:t>
      </w:r>
    </w:p>
    <w:p>
      <w:pPr>
        <w:snapToGrid w:val="0"/>
        <w:ind w:firstLine="42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9、时间节点：</w:t>
      </w:r>
    </w:p>
    <w:p>
      <w:pPr>
        <w:snapToGrid w:val="0"/>
        <w:ind w:firstLine="42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2021年9月底前完成环境影响评价报告书初稿；</w:t>
      </w:r>
    </w:p>
    <w:p>
      <w:pPr>
        <w:snapToGrid w:val="0"/>
        <w:ind w:firstLine="420"/>
        <w:rPr>
          <w:rFonts w:ascii="仿宋_GB2312" w:hAnsi="仿宋" w:eastAsia="仿宋_GB2312" w:cs="宋体"/>
          <w:bCs/>
          <w:color w:val="000000"/>
          <w:sz w:val="28"/>
          <w:szCs w:val="28"/>
        </w:rPr>
      </w:pPr>
      <w:r>
        <w:rPr>
          <w:rFonts w:hint="eastAsia" w:ascii="仿宋_GB2312" w:hAnsi="仿宋" w:eastAsia="仿宋_GB2312" w:cs="宋体"/>
          <w:bCs/>
          <w:color w:val="000000"/>
          <w:sz w:val="28"/>
          <w:szCs w:val="28"/>
        </w:rPr>
        <w:t>2021年10月底前形成送审稿报生态环境部审查。</w:t>
      </w:r>
    </w:p>
    <w:p>
      <w:pPr>
        <w:snapToGrid w:val="0"/>
        <w:ind w:firstLine="420"/>
        <w:rPr>
          <w:rFonts w:ascii="仿宋_GB2312" w:hAnsi="仿宋" w:eastAsia="仿宋_GB2312" w:cs="宋体"/>
          <w:bCs/>
          <w:color w:val="000000"/>
          <w:sz w:val="28"/>
          <w:szCs w:val="28"/>
        </w:rPr>
        <w:sectPr>
          <w:pgSz w:w="11906" w:h="16838"/>
          <w:pgMar w:top="1440" w:right="1800" w:bottom="1440" w:left="1800" w:header="851" w:footer="992" w:gutter="0"/>
          <w:cols w:space="720" w:num="1"/>
          <w:docGrid w:type="lines" w:linePitch="312" w:charSpace="0"/>
        </w:sectPr>
      </w:pPr>
    </w:p>
    <w:p>
      <w:pPr>
        <w:pStyle w:val="84"/>
        <w:ind w:left="-478" w:leftChars="-199" w:firstLine="669" w:firstLineChars="239"/>
        <w:jc w:val="center"/>
        <w:rPr>
          <w:rFonts w:ascii="仿宋_GB2312" w:hAnsi="仿宋" w:eastAsia="仿宋_GB2312"/>
          <w:sz w:val="28"/>
          <w:szCs w:val="28"/>
        </w:rPr>
      </w:pPr>
      <w:bookmarkStart w:id="51" w:name="_Toc6319_WPSOffice_Level1"/>
      <w:bookmarkStart w:id="52" w:name="_Toc8886"/>
      <w:bookmarkStart w:id="53" w:name="_Toc16727400"/>
      <w:r>
        <w:rPr>
          <w:rFonts w:hint="eastAsia" w:ascii="仿宋_GB2312" w:hAnsi="仿宋" w:eastAsia="仿宋_GB2312"/>
          <w:sz w:val="28"/>
          <w:szCs w:val="28"/>
        </w:rPr>
        <w:t>海南省矿产资源总体规划（2021-2025年）环境影响评价涉及海域部分坐标</w:t>
      </w:r>
    </w:p>
    <w:tbl>
      <w:tblPr>
        <w:tblStyle w:val="26"/>
        <w:tblW w:w="14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709"/>
        <w:gridCol w:w="2025"/>
        <w:gridCol w:w="774"/>
        <w:gridCol w:w="9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pStyle w:val="84"/>
              <w:adjustRightInd w:val="0"/>
              <w:snapToGrid w:val="0"/>
              <w:spacing w:line="300" w:lineRule="auto"/>
              <w:ind w:firstLine="0" w:firstLineChars="0"/>
              <w:jc w:val="center"/>
              <w:rPr>
                <w:rFonts w:eastAsia="仿宋_GB2312" w:asciiTheme="minorHAnsi" w:hAnsiTheme="minorHAnsi" w:cstheme="minorHAnsi"/>
                <w:sz w:val="18"/>
                <w:szCs w:val="18"/>
              </w:rPr>
            </w:pPr>
            <w:r>
              <w:rPr>
                <w:rFonts w:eastAsia="仿宋_GB2312" w:asciiTheme="minorHAnsi" w:hAnsiTheme="minorHAnsi" w:cstheme="minorHAnsi"/>
                <w:b/>
                <w:bCs/>
                <w:color w:val="000000"/>
                <w:kern w:val="0"/>
                <w:sz w:val="18"/>
                <w:szCs w:val="18"/>
              </w:rPr>
              <w:t>序号</w:t>
            </w:r>
          </w:p>
        </w:tc>
        <w:tc>
          <w:tcPr>
            <w:tcW w:w="709" w:type="dxa"/>
            <w:vAlign w:val="center"/>
          </w:tcPr>
          <w:p>
            <w:pPr>
              <w:pStyle w:val="84"/>
              <w:adjustRightInd w:val="0"/>
              <w:snapToGrid w:val="0"/>
              <w:spacing w:line="300" w:lineRule="auto"/>
              <w:ind w:firstLine="0" w:firstLineChars="0"/>
              <w:jc w:val="center"/>
              <w:rPr>
                <w:rFonts w:eastAsia="仿宋_GB2312" w:asciiTheme="minorHAnsi" w:hAnsiTheme="minorHAnsi" w:cstheme="minorHAnsi"/>
                <w:sz w:val="18"/>
                <w:szCs w:val="18"/>
              </w:rPr>
            </w:pPr>
            <w:r>
              <w:rPr>
                <w:rFonts w:eastAsia="仿宋_GB2312" w:asciiTheme="minorHAnsi" w:hAnsiTheme="minorHAnsi" w:cstheme="minorHAnsi"/>
                <w:b/>
                <w:bCs/>
                <w:color w:val="000000"/>
                <w:kern w:val="0"/>
                <w:sz w:val="18"/>
                <w:szCs w:val="18"/>
              </w:rPr>
              <w:t>编号</w:t>
            </w:r>
          </w:p>
        </w:tc>
        <w:tc>
          <w:tcPr>
            <w:tcW w:w="2025" w:type="dxa"/>
            <w:vAlign w:val="center"/>
          </w:tcPr>
          <w:p>
            <w:pPr>
              <w:widowControl/>
              <w:adjustRightInd w:val="0"/>
              <w:snapToGrid w:val="0"/>
              <w:spacing w:line="300" w:lineRule="auto"/>
              <w:jc w:val="center"/>
              <w:rPr>
                <w:rFonts w:eastAsia="仿宋_GB2312" w:asciiTheme="minorHAnsi" w:hAnsiTheme="minorHAnsi" w:cstheme="minorHAnsi"/>
                <w:b/>
                <w:bCs/>
                <w:color w:val="000000"/>
                <w:kern w:val="0"/>
                <w:sz w:val="18"/>
                <w:szCs w:val="18"/>
              </w:rPr>
            </w:pPr>
            <w:r>
              <w:rPr>
                <w:rFonts w:eastAsia="仿宋_GB2312" w:asciiTheme="minorHAnsi" w:hAnsiTheme="minorHAnsi" w:cstheme="minorHAnsi"/>
                <w:b/>
                <w:bCs/>
                <w:color w:val="000000"/>
                <w:kern w:val="0"/>
                <w:sz w:val="18"/>
                <w:szCs w:val="18"/>
              </w:rPr>
              <w:t>区块名称</w:t>
            </w:r>
          </w:p>
        </w:tc>
        <w:tc>
          <w:tcPr>
            <w:tcW w:w="774" w:type="dxa"/>
            <w:vAlign w:val="center"/>
          </w:tcPr>
          <w:p>
            <w:pPr>
              <w:pStyle w:val="84"/>
              <w:adjustRightInd w:val="0"/>
              <w:snapToGrid w:val="0"/>
              <w:spacing w:line="300" w:lineRule="auto"/>
              <w:ind w:firstLine="0" w:firstLineChars="0"/>
              <w:jc w:val="center"/>
              <w:rPr>
                <w:rFonts w:eastAsia="仿宋_GB2312" w:asciiTheme="minorHAnsi" w:hAnsiTheme="minorHAnsi" w:cstheme="minorHAnsi"/>
                <w:sz w:val="18"/>
                <w:szCs w:val="18"/>
              </w:rPr>
            </w:pPr>
            <w:r>
              <w:rPr>
                <w:rFonts w:eastAsia="仿宋_GB2312" w:asciiTheme="minorHAnsi" w:hAnsiTheme="minorHAnsi" w:cstheme="minorHAnsi"/>
                <w:b/>
                <w:bCs/>
                <w:kern w:val="0"/>
                <w:sz w:val="18"/>
                <w:szCs w:val="18"/>
              </w:rPr>
              <w:t>面积          (km</w:t>
            </w:r>
            <w:r>
              <w:rPr>
                <w:rFonts w:eastAsia="仿宋_GB2312" w:asciiTheme="minorHAnsi" w:hAnsiTheme="minorHAnsi" w:cstheme="minorHAnsi"/>
                <w:b/>
                <w:bCs/>
                <w:kern w:val="0"/>
                <w:sz w:val="18"/>
                <w:szCs w:val="18"/>
                <w:vertAlign w:val="superscript"/>
              </w:rPr>
              <w:t>2</w:t>
            </w:r>
            <w:r>
              <w:rPr>
                <w:rFonts w:eastAsia="仿宋_GB2312" w:asciiTheme="minorHAnsi" w:hAnsiTheme="minorHAnsi" w:cstheme="minorHAnsi"/>
                <w:b/>
                <w:bCs/>
                <w:kern w:val="0"/>
                <w:sz w:val="18"/>
                <w:szCs w:val="18"/>
              </w:rPr>
              <w:t>)</w:t>
            </w:r>
          </w:p>
        </w:tc>
        <w:tc>
          <w:tcPr>
            <w:tcW w:w="9958" w:type="dxa"/>
            <w:vAlign w:val="center"/>
          </w:tcPr>
          <w:p>
            <w:pPr>
              <w:pStyle w:val="84"/>
              <w:adjustRightInd w:val="0"/>
              <w:snapToGrid w:val="0"/>
              <w:spacing w:line="300" w:lineRule="auto"/>
              <w:ind w:firstLine="0" w:firstLineChars="0"/>
              <w:jc w:val="center"/>
              <w:rPr>
                <w:rFonts w:eastAsia="仿宋_GB2312" w:asciiTheme="minorHAnsi" w:hAnsiTheme="minorHAnsi" w:cstheme="minorHAnsi"/>
                <w:sz w:val="18"/>
                <w:szCs w:val="18"/>
              </w:rPr>
            </w:pPr>
            <w:r>
              <w:rPr>
                <w:rFonts w:eastAsia="仿宋_GB2312" w:asciiTheme="minorHAnsi" w:hAnsiTheme="minorHAnsi" w:cstheme="minorHAnsi"/>
                <w:b/>
                <w:bCs/>
                <w:kern w:val="0"/>
                <w:sz w:val="18"/>
                <w:szCs w:val="18"/>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195</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CQ195</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文昌铺前湾西南浅滩2平方千米海域海砂开采试点区</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1,2233423.5367,37460059.7380,2,2233928.3700,37461308.2919,3,2233933.9951,37462075.4243,4,2233486.4125,37462080.4559,</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5,2232898.6495,37461365.2564,6,2232427.8271,37460572.8926,7,2232432.5400,37460071.6559,8,2232955.3653,37460044.1429,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196</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CQ196</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文昌铺前湾西南浅滩海砂开采规划区块K1</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1,2233424.9028,37454554.1946,2,2233424.9028,37456554.1946,3,2232424.9028,37456554.1946,4,2232424.9028,37454554.1946,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197</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CQ197</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文昌铺前湾西南浅滩海砂开采规划区块K2</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1,2233424.9028,37456554.1946,2,2233424.9028,37458554.1946,3,2232424.9028,37458554.1946,4,2232424.9028,37456554.1946,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198</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CQ198</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东方市墩头浅滩海砂开采规划区块K1</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1.9795</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1,2126692.51,19243202.09,2,2125278.71,19244605.65,3,2124580.68,19243902.07,4,2125994.79,19242495.14,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199</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CQ199</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东方市墩头浅滩海砂开采规划区块K2</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2.0111</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1,2125994.79,19242495.14,2,2124580.68,19243902.07,3,2113874.14,19243192.11,4,2125290.55,19241785.04,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200</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CQ200</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乐东县莺歌海海域海砂开采规划区块K1</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23.56</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1,2060929.166,19229568.960,2,2058819.954,19229884.527,3,2058318.822,19230938.810,4,2056929.957,19230132.493,</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5,2055756.136,19230321.966,6,2054321.519,19230943.622,7,2053139.672,19231311.982,8,2051718.910,19232355.028,</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9,2050131.330,19233427.320,10,2049624.287,19234113.449,11,2049842.855,19234054.349,12,2054445.878,19233715.133,</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13,2055644.402,19232997.630,14,2060741.581,19231741.254,15,2061360.194,19230447.946,16,2061102.614,19229934.401,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201</w:t>
            </w:r>
          </w:p>
        </w:tc>
        <w:tc>
          <w:tcPr>
            <w:tcW w:w="709" w:type="dxa"/>
            <w:vAlign w:val="center"/>
          </w:tcPr>
          <w:p>
            <w:pPr>
              <w:widowControl/>
              <w:adjustRightInd w:val="0"/>
              <w:snapToGrid w:val="0"/>
              <w:spacing w:line="300" w:lineRule="auto"/>
              <w:jc w:val="center"/>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CQ201</w:t>
            </w:r>
          </w:p>
        </w:tc>
        <w:tc>
          <w:tcPr>
            <w:tcW w:w="2025" w:type="dxa"/>
            <w:vAlign w:val="center"/>
          </w:tcPr>
          <w:p>
            <w:pPr>
              <w:widowControl/>
              <w:adjustRightInd w:val="0"/>
              <w:snapToGrid w:val="0"/>
              <w:spacing w:line="300" w:lineRule="auto"/>
              <w:jc w:val="both"/>
              <w:rPr>
                <w:rFonts w:eastAsia="仿宋_GB2312" w:asciiTheme="minorHAnsi" w:hAnsiTheme="minorHAnsi" w:cstheme="minorHAnsi"/>
                <w:color w:val="000000"/>
                <w:kern w:val="0"/>
                <w:sz w:val="18"/>
                <w:szCs w:val="18"/>
              </w:rPr>
            </w:pPr>
            <w:r>
              <w:rPr>
                <w:rFonts w:eastAsia="仿宋_GB2312" w:asciiTheme="minorHAnsi" w:hAnsiTheme="minorHAnsi" w:cstheme="minorHAnsi"/>
                <w:color w:val="000000"/>
                <w:kern w:val="0"/>
                <w:sz w:val="18"/>
                <w:szCs w:val="18"/>
              </w:rPr>
              <w:t>乐东县莺歌海海域海砂开采规划区块K2</w:t>
            </w:r>
          </w:p>
        </w:tc>
        <w:tc>
          <w:tcPr>
            <w:tcW w:w="774" w:type="dxa"/>
            <w:vAlign w:val="center"/>
          </w:tcPr>
          <w:p>
            <w:pPr>
              <w:widowControl/>
              <w:adjustRightInd w:val="0"/>
              <w:snapToGrid w:val="0"/>
              <w:spacing w:line="300" w:lineRule="auto"/>
              <w:jc w:val="center"/>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39.43</w:t>
            </w:r>
          </w:p>
        </w:tc>
        <w:tc>
          <w:tcPr>
            <w:tcW w:w="9958" w:type="dxa"/>
            <w:vAlign w:val="center"/>
          </w:tcPr>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1,2067942.291,19223101.545,2,2065626.056,19223306.648,3,2065574.967,19223142.940,4,2063876.876,19222985.948,</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5,2060607.721,19223507.247,6,2058380.666,19224268.228,7,2058078.913,19224875.788,8,2054623.606,19226618.334,</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9,2052975.372,19227562.625,10,2052785.511,19228052.780,11,2052855.665,19228251.528,12,2051323.416,19229650.076,</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13,2051151.769,19229624.435,14,2050118.220,19230993.369,15,2049569.124,19231431.644,16,2049783.946,19231941.348,</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17,2050362.226,19231595.582,18,2051575.559,19230856.585,19,2054545.097,19228239.594,20,2054862.919,19228852.383,</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21,2056303.490,19228445.815,22,2057017.039,19227841.343,23,2057636.924,19227845.656,24,2058271.286,19227538.270,</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25,2058733.210,19227188.341,26,2058954.622,19226682.388,27,2059300.271,19226545.411,28,2061194.847,19226107.475,</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29,2063054.523,19225720.771,30,2063330.912,19226269.222,31,2064140.305,19226088.511,32,2065849.669,19225409.436,</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33,2066367.544,19224610.929,34,2066484.697,19224156.408,35,2066754.211,19223991.327,36,2067126.313,19223916.461,</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37,2067643.574,19223741.466,38,2067881.241,19223642.836,39,2067990.246,19223516.045,40,2068074.201,19223310.868,</w:t>
            </w:r>
          </w:p>
          <w:p>
            <w:pPr>
              <w:widowControl/>
              <w:adjustRightInd w:val="0"/>
              <w:snapToGrid w:val="0"/>
              <w:spacing w:line="300" w:lineRule="auto"/>
              <w:jc w:val="both"/>
              <w:rPr>
                <w:rFonts w:eastAsia="仿宋_GB2312" w:asciiTheme="minorHAnsi" w:hAnsiTheme="minorHAnsi" w:cstheme="minorHAnsi"/>
                <w:kern w:val="0"/>
                <w:sz w:val="18"/>
                <w:szCs w:val="18"/>
              </w:rPr>
            </w:pPr>
            <w:r>
              <w:rPr>
                <w:rFonts w:eastAsia="仿宋_GB2312" w:asciiTheme="minorHAnsi" w:hAnsiTheme="minorHAnsi" w:cstheme="minorHAnsi"/>
                <w:kern w:val="0"/>
                <w:sz w:val="18"/>
                <w:szCs w:val="18"/>
              </w:rPr>
              <w:t>41,2068065.213,19223249.632,42,2068018.420,19223169.446,</w:t>
            </w:r>
          </w:p>
        </w:tc>
      </w:tr>
    </w:tbl>
    <w:p>
      <w:pPr>
        <w:pStyle w:val="84"/>
        <w:ind w:left="-478" w:leftChars="-199" w:firstLine="478" w:firstLineChars="239"/>
        <w:rPr>
          <w:rFonts w:ascii="仿宋_GB2312" w:eastAsia="仿宋_GB2312"/>
        </w:rPr>
      </w:pPr>
    </w:p>
    <w:p>
      <w:pPr>
        <w:pStyle w:val="84"/>
        <w:ind w:left="-478" w:leftChars="-199" w:firstLine="478" w:firstLineChars="239"/>
        <w:rPr>
          <w:rFonts w:ascii="仿宋_GB2312" w:eastAsia="仿宋_GB2312"/>
        </w:rPr>
        <w:sectPr>
          <w:headerReference r:id="rId13" w:type="default"/>
          <w:footerReference r:id="rId14" w:type="default"/>
          <w:pgSz w:w="16838" w:h="11906" w:orient="landscape"/>
          <w:pgMar w:top="1418" w:right="1418" w:bottom="1418" w:left="1418" w:header="851" w:footer="419" w:gutter="0"/>
          <w:cols w:space="720" w:num="1"/>
          <w:docGrid w:linePitch="312" w:charSpace="0"/>
        </w:sectPr>
      </w:pPr>
    </w:p>
    <w:bookmarkEnd w:id="51"/>
    <w:bookmarkEnd w:id="52"/>
    <w:bookmarkEnd w:id="53"/>
    <w:p>
      <w:pPr>
        <w:pStyle w:val="3"/>
        <w:spacing w:before="0" w:after="0"/>
        <w:rPr>
          <w:rFonts w:ascii="仿宋_GB2312" w:hAnsi="仿宋" w:eastAsia="仿宋_GB2312" w:cs="宋体"/>
          <w:sz w:val="32"/>
          <w:szCs w:val="32"/>
        </w:rPr>
      </w:pPr>
      <w:bookmarkStart w:id="54" w:name="_Toc28037_WPSOffice_Level1"/>
      <w:bookmarkStart w:id="55" w:name="_Toc31373"/>
      <w:bookmarkStart w:id="56" w:name="_Toc16727399"/>
      <w:r>
        <w:rPr>
          <w:rFonts w:hint="eastAsia" w:ascii="仿宋_GB2312" w:hAnsi="仿宋" w:eastAsia="仿宋_GB2312" w:cs="宋体"/>
          <w:sz w:val="32"/>
          <w:szCs w:val="32"/>
        </w:rPr>
        <w:t>第四章  合同草案的条款</w:t>
      </w:r>
    </w:p>
    <w:p>
      <w:pPr>
        <w:adjustRightInd w:val="0"/>
        <w:snapToGrid w:val="0"/>
        <w:jc w:val="center"/>
        <w:rPr>
          <w:rFonts w:ascii="仿宋_GB2312" w:hAnsi="仿宋" w:eastAsia="仿宋_GB2312" w:cs="宋体"/>
          <w:bCs/>
        </w:rPr>
      </w:pPr>
      <w:r>
        <w:rPr>
          <w:rFonts w:hint="eastAsia" w:ascii="仿宋_GB2312" w:hAnsi="仿宋" w:eastAsia="仿宋_GB2312" w:cs="宋体"/>
          <w:bCs/>
        </w:rPr>
        <w:t>（格式仅供参考，以双方最终协议为准）</w:t>
      </w:r>
    </w:p>
    <w:p>
      <w:pPr>
        <w:adjustRightInd w:val="0"/>
        <w:snapToGrid w:val="0"/>
        <w:rPr>
          <w:rFonts w:ascii="仿宋_GB2312" w:hAnsi="仿宋" w:eastAsia="仿宋_GB2312" w:cs="宋体"/>
        </w:rPr>
      </w:pPr>
      <w:r>
        <w:rPr>
          <w:rFonts w:hint="eastAsia" w:ascii="仿宋_GB2312" w:hAnsi="仿宋" w:eastAsia="仿宋_GB2312" w:cs="宋体"/>
        </w:rPr>
        <w:t xml:space="preserve">                                              合同编号：</w:t>
      </w:r>
    </w:p>
    <w:p>
      <w:pPr>
        <w:adjustRightInd w:val="0"/>
        <w:snapToGrid w:val="0"/>
        <w:jc w:val="center"/>
        <w:rPr>
          <w:rFonts w:ascii="仿宋_GB2312" w:hAnsi="仿宋" w:eastAsia="仿宋_GB2312" w:cs="宋体"/>
          <w:sz w:val="32"/>
          <w:szCs w:val="32"/>
        </w:rPr>
      </w:pPr>
      <w:r>
        <w:rPr>
          <w:rFonts w:hint="eastAsia" w:ascii="仿宋_GB2312" w:hAnsi="仿宋" w:eastAsia="仿宋_GB2312" w:cs="宋体"/>
          <w:sz w:val="32"/>
          <w:szCs w:val="32"/>
        </w:rPr>
        <w:t>海南省矿产资源总体规划（2021</w:t>
      </w:r>
      <w:r>
        <w:rPr>
          <w:rFonts w:hint="eastAsia" w:ascii="仿宋_GB2312" w:eastAsia="仿宋_GB2312"/>
          <w:sz w:val="28"/>
          <w:szCs w:val="28"/>
          <w:lang w:val="zh-CN"/>
        </w:rPr>
        <w:t>—</w:t>
      </w:r>
      <w:r>
        <w:rPr>
          <w:rFonts w:hint="eastAsia" w:ascii="仿宋_GB2312" w:hAnsi="仿宋" w:eastAsia="仿宋_GB2312" w:cs="宋体"/>
          <w:sz w:val="32"/>
          <w:szCs w:val="32"/>
        </w:rPr>
        <w:t>2025年）</w:t>
      </w:r>
    </w:p>
    <w:p>
      <w:pPr>
        <w:adjustRightInd w:val="0"/>
        <w:snapToGrid w:val="0"/>
        <w:jc w:val="center"/>
        <w:rPr>
          <w:rFonts w:ascii="仿宋_GB2312" w:hAnsi="仿宋" w:eastAsia="仿宋_GB2312" w:cs="宋体"/>
          <w:sz w:val="32"/>
          <w:szCs w:val="32"/>
        </w:rPr>
      </w:pPr>
      <w:r>
        <w:rPr>
          <w:rFonts w:hint="eastAsia" w:ascii="仿宋_GB2312" w:hAnsi="仿宋" w:eastAsia="仿宋_GB2312" w:cs="宋体"/>
          <w:sz w:val="32"/>
          <w:szCs w:val="32"/>
        </w:rPr>
        <w:t>环境影响评价（海域部分）合同</w:t>
      </w:r>
    </w:p>
    <w:p>
      <w:pPr>
        <w:adjustRightInd w:val="0"/>
        <w:snapToGrid w:val="0"/>
        <w:rPr>
          <w:rFonts w:ascii="仿宋_GB2312" w:hAnsi="仿宋" w:eastAsia="仿宋_GB2312" w:cs="宋体"/>
          <w:bCs/>
        </w:rPr>
      </w:pPr>
    </w:p>
    <w:p>
      <w:pPr>
        <w:adjustRightInd w:val="0"/>
        <w:snapToGrid w:val="0"/>
        <w:ind w:firstLine="560" w:firstLineChars="200"/>
        <w:rPr>
          <w:rFonts w:ascii="仿宋_GB2312" w:hAnsi="仿宋" w:eastAsia="仿宋_GB2312" w:cs="宋体"/>
          <w:bCs/>
          <w:sz w:val="28"/>
          <w:szCs w:val="28"/>
        </w:rPr>
      </w:pPr>
      <w:r>
        <w:rPr>
          <w:rFonts w:hint="eastAsia" w:ascii="仿宋_GB2312" w:hAnsi="仿宋" w:eastAsia="仿宋_GB2312" w:cs="宋体"/>
          <w:bCs/>
          <w:sz w:val="28"/>
          <w:szCs w:val="28"/>
        </w:rPr>
        <w:t>甲方（采  购  人）：</w:t>
      </w:r>
      <w:r>
        <w:rPr>
          <w:rFonts w:hint="eastAsia" w:ascii="仿宋_GB2312" w:hAnsi="仿宋" w:eastAsia="仿宋_GB2312" w:cs="宋体"/>
          <w:bCs/>
          <w:sz w:val="28"/>
          <w:szCs w:val="28"/>
          <w:u w:val="single"/>
        </w:rPr>
        <w:t>海南省地质环境监测总站</w:t>
      </w:r>
    </w:p>
    <w:p>
      <w:pPr>
        <w:adjustRightInd w:val="0"/>
        <w:snapToGrid w:val="0"/>
        <w:ind w:firstLine="560" w:firstLineChars="200"/>
        <w:rPr>
          <w:rFonts w:ascii="仿宋_GB2312" w:hAnsi="仿宋" w:eastAsia="仿宋_GB2312" w:cs="宋体"/>
          <w:bCs/>
          <w:sz w:val="28"/>
          <w:szCs w:val="28"/>
          <w:u w:val="single"/>
        </w:rPr>
      </w:pPr>
      <w:r>
        <w:rPr>
          <w:rFonts w:hint="eastAsia" w:ascii="仿宋_GB2312" w:hAnsi="仿宋" w:eastAsia="仿宋_GB2312" w:cs="宋体"/>
          <w:bCs/>
          <w:sz w:val="28"/>
          <w:szCs w:val="28"/>
        </w:rPr>
        <w:t>乙方（成交供应商）：</w:t>
      </w:r>
    </w:p>
    <w:p>
      <w:pPr>
        <w:adjustRightInd w:val="0"/>
        <w:snapToGrid w:val="0"/>
        <w:ind w:firstLine="560" w:firstLineChars="200"/>
        <w:rPr>
          <w:rFonts w:ascii="仿宋_GB2312" w:hAnsi="仿宋" w:eastAsia="仿宋_GB2312" w:cs="宋体"/>
          <w:bCs/>
          <w:sz w:val="28"/>
          <w:szCs w:val="28"/>
          <w:u w:val="single"/>
        </w:rPr>
      </w:pPr>
      <w:r>
        <w:rPr>
          <w:rFonts w:hint="eastAsia" w:ascii="仿宋_GB2312" w:hAnsi="仿宋" w:eastAsia="仿宋_GB2312" w:cs="宋体"/>
          <w:bCs/>
          <w:sz w:val="28"/>
          <w:szCs w:val="28"/>
        </w:rPr>
        <w:t>丙方（成交供应商）：</w:t>
      </w:r>
      <w:r>
        <w:rPr>
          <w:rFonts w:hint="eastAsia" w:ascii="仿宋_GB2312" w:hAnsi="仿宋" w:eastAsia="仿宋_GB2312" w:cs="宋体"/>
          <w:bCs/>
          <w:sz w:val="28"/>
          <w:szCs w:val="28"/>
          <w:u w:val="single"/>
        </w:rPr>
        <w:t xml:space="preserve">（如有须填写） </w:t>
      </w:r>
    </w:p>
    <w:p>
      <w:pPr>
        <w:adjustRightInd w:val="0"/>
        <w:snapToGrid w:val="0"/>
        <w:rPr>
          <w:rFonts w:ascii="仿宋_GB2312" w:hAnsi="仿宋" w:eastAsia="仿宋_GB2312" w:cs="宋体"/>
          <w:sz w:val="28"/>
          <w:szCs w:val="28"/>
        </w:rPr>
      </w:pPr>
    </w:p>
    <w:p>
      <w:pPr>
        <w:adjustRightInd w:val="0"/>
        <w:snapToGrid w:val="0"/>
        <w:ind w:firstLine="560" w:firstLineChars="200"/>
        <w:rPr>
          <w:rFonts w:ascii="仿宋_GB2312" w:eastAsia="仿宋_GB2312"/>
          <w:sz w:val="28"/>
          <w:szCs w:val="28"/>
          <w:lang w:val="zh-CN"/>
        </w:rPr>
      </w:pPr>
      <w:r>
        <w:rPr>
          <w:rFonts w:hint="eastAsia" w:ascii="仿宋_GB2312" w:eastAsia="仿宋_GB2312"/>
          <w:sz w:val="28"/>
          <w:szCs w:val="28"/>
          <w:lang w:val="zh-CN"/>
        </w:rPr>
        <w:t>根据《中华人民共和国政府采购法》、《中华人民共和国合同法》、《海南省人民政府办公厅关于印发海南省政府购买服务实施暂行办法的通知》（琼府办〔2014〕76号）等有关规定，以及采购文件规定条款和成交供应商承诺，为保证所购的服务质量，明确双方的权利义务，甲乙双方在平等、自愿、协商一致的基础上，签订本合同。</w:t>
      </w:r>
    </w:p>
    <w:p>
      <w:pPr>
        <w:adjustRightInd w:val="0"/>
        <w:snapToGrid w:val="0"/>
        <w:ind w:firstLine="562" w:firstLineChars="200"/>
        <w:outlineLvl w:val="0"/>
        <w:rPr>
          <w:rFonts w:ascii="仿宋_GB2312" w:eastAsia="仿宋_GB2312"/>
          <w:b/>
          <w:sz w:val="28"/>
          <w:szCs w:val="28"/>
          <w:lang w:val="zh-CN"/>
        </w:rPr>
      </w:pPr>
      <w:bookmarkStart w:id="57" w:name="_Toc6990"/>
      <w:r>
        <w:rPr>
          <w:rFonts w:hint="eastAsia" w:ascii="仿宋_GB2312" w:eastAsia="仿宋_GB2312"/>
          <w:b/>
          <w:sz w:val="28"/>
          <w:szCs w:val="28"/>
          <w:lang w:val="zh-CN"/>
        </w:rPr>
        <w:t>第一条  甲方委托乙方负责的工作</w:t>
      </w:r>
      <w:bookmarkEnd w:id="57"/>
    </w:p>
    <w:p>
      <w:pPr>
        <w:adjustRightInd w:val="0"/>
        <w:snapToGrid w:val="0"/>
        <w:ind w:firstLine="560" w:firstLineChars="200"/>
        <w:outlineLvl w:val="0"/>
        <w:rPr>
          <w:rFonts w:ascii="仿宋_GB2312" w:eastAsia="仿宋_GB2312"/>
          <w:sz w:val="28"/>
          <w:szCs w:val="28"/>
          <w:lang w:val="zh-CN"/>
        </w:rPr>
      </w:pPr>
      <w:r>
        <w:rPr>
          <w:rFonts w:hint="eastAsia" w:ascii="仿宋_GB2312" w:eastAsia="仿宋_GB2312"/>
          <w:sz w:val="28"/>
          <w:szCs w:val="28"/>
          <w:lang w:val="zh-CN"/>
        </w:rPr>
        <w:t>根据海南省矿产资源总体规划（2021—2025年）的内容进行分析，收集海砂资源开发对生态环境影响等方面资料和有关数据，到生态环境部门开展工作调研，赴相关海域开展现场踏勘和实地调查，按照《规划环境影响评价技术导则 总纲（HJ130—2014）》和有关技术规范，编制海南省矿产资源总体规划（2021—2025年）环境影响评价报告书（海域部分），经征求意见、省级有关部门组织的专家评审后，根据意见修改完善后提交海南省矿产资源总体规划（2021—2025年）环境影响评价报告书（海域部分）送审稿由生态环境部审查通过。</w:t>
      </w:r>
    </w:p>
    <w:p>
      <w:pPr>
        <w:adjustRightInd w:val="0"/>
        <w:snapToGrid w:val="0"/>
        <w:ind w:firstLine="562" w:firstLineChars="200"/>
        <w:outlineLvl w:val="0"/>
        <w:rPr>
          <w:rFonts w:ascii="仿宋_GB2312" w:eastAsia="仿宋_GB2312"/>
          <w:b/>
          <w:sz w:val="28"/>
          <w:szCs w:val="28"/>
          <w:lang w:val="zh-CN"/>
        </w:rPr>
      </w:pPr>
      <w:bookmarkStart w:id="58" w:name="_Toc10365"/>
      <w:r>
        <w:rPr>
          <w:rFonts w:hint="eastAsia" w:ascii="仿宋_GB2312" w:eastAsia="仿宋_GB2312"/>
          <w:b/>
          <w:sz w:val="28"/>
          <w:szCs w:val="28"/>
          <w:lang w:val="zh-CN"/>
        </w:rPr>
        <w:t>第二条  甲方权利和义务</w:t>
      </w:r>
      <w:bookmarkEnd w:id="58"/>
    </w:p>
    <w:p>
      <w:pPr>
        <w:pStyle w:val="86"/>
        <w:adjustRightInd w:val="0"/>
        <w:snapToGrid w:val="0"/>
        <w:rPr>
          <w:rFonts w:ascii="仿宋_GB2312" w:hAnsi="仿宋" w:cs="Times New Roman"/>
          <w:szCs w:val="28"/>
          <w:lang w:val="zh-CN"/>
        </w:rPr>
      </w:pPr>
      <w:r>
        <w:rPr>
          <w:rFonts w:hint="eastAsia" w:ascii="仿宋_GB2312" w:hAnsi="仿宋" w:cs="Times New Roman"/>
          <w:szCs w:val="28"/>
          <w:lang w:val="zh-CN"/>
        </w:rPr>
        <w:t>（一）负责提供服务项目所需的有关资料，并配合乙方做好对各相关部门的资料收集及外业调查工作。</w:t>
      </w:r>
    </w:p>
    <w:p>
      <w:pPr>
        <w:pStyle w:val="86"/>
        <w:adjustRightInd w:val="0"/>
        <w:snapToGrid w:val="0"/>
        <w:rPr>
          <w:rFonts w:ascii="仿宋_GB2312" w:hAnsi="仿宋" w:cs="Times New Roman"/>
          <w:szCs w:val="28"/>
          <w:lang w:val="zh-CN"/>
        </w:rPr>
      </w:pPr>
      <w:r>
        <w:rPr>
          <w:rFonts w:hint="eastAsia" w:ascii="仿宋_GB2312" w:hAnsi="仿宋" w:cs="Times New Roman"/>
          <w:szCs w:val="28"/>
          <w:lang w:val="zh-CN"/>
        </w:rPr>
        <w:t>（二）负责做好服务项目开展过程中的重大问题协调工作。</w:t>
      </w:r>
    </w:p>
    <w:p>
      <w:pPr>
        <w:pStyle w:val="86"/>
        <w:adjustRightInd w:val="0"/>
        <w:snapToGrid w:val="0"/>
        <w:rPr>
          <w:rFonts w:ascii="仿宋_GB2312" w:hAnsi="仿宋" w:cs="Times New Roman"/>
          <w:szCs w:val="28"/>
          <w:lang w:val="zh-CN"/>
        </w:rPr>
      </w:pPr>
      <w:r>
        <w:rPr>
          <w:rFonts w:hint="eastAsia" w:ascii="仿宋_GB2312" w:hAnsi="仿宋" w:cs="Times New Roman"/>
          <w:szCs w:val="28"/>
          <w:lang w:val="zh-CN"/>
        </w:rPr>
        <w:t>（三）按约定向乙方支付工作服务费。</w:t>
      </w:r>
    </w:p>
    <w:p>
      <w:pPr>
        <w:adjustRightInd w:val="0"/>
        <w:snapToGrid w:val="0"/>
        <w:ind w:firstLine="562" w:firstLineChars="200"/>
        <w:outlineLvl w:val="0"/>
        <w:rPr>
          <w:rFonts w:ascii="仿宋_GB2312" w:hAnsi="仿宋" w:eastAsia="仿宋_GB2312"/>
          <w:b/>
          <w:sz w:val="28"/>
          <w:szCs w:val="28"/>
          <w:lang w:val="zh-CN"/>
        </w:rPr>
      </w:pPr>
      <w:bookmarkStart w:id="59" w:name="_Toc410048908"/>
      <w:bookmarkStart w:id="60" w:name="_Toc410049050"/>
      <w:bookmarkStart w:id="61" w:name="_Toc412675470"/>
      <w:bookmarkStart w:id="62" w:name="_Toc11112"/>
      <w:r>
        <w:rPr>
          <w:rFonts w:hint="eastAsia" w:ascii="仿宋_GB2312" w:hAnsi="仿宋" w:eastAsia="仿宋_GB2312"/>
          <w:b/>
          <w:sz w:val="28"/>
          <w:szCs w:val="28"/>
          <w:lang w:val="zh-CN"/>
        </w:rPr>
        <w:t xml:space="preserve">第三条  </w:t>
      </w:r>
      <w:bookmarkEnd w:id="59"/>
      <w:bookmarkEnd w:id="60"/>
      <w:bookmarkEnd w:id="61"/>
      <w:r>
        <w:rPr>
          <w:rFonts w:hint="eastAsia" w:ascii="仿宋_GB2312" w:hAnsi="仿宋" w:eastAsia="仿宋_GB2312"/>
          <w:b/>
          <w:sz w:val="28"/>
          <w:szCs w:val="28"/>
          <w:lang w:val="zh-CN"/>
        </w:rPr>
        <w:t>乙方权利和义务</w:t>
      </w:r>
      <w:bookmarkEnd w:id="62"/>
    </w:p>
    <w:p>
      <w:pPr>
        <w:adjustRightInd w:val="0"/>
        <w:snapToGrid w:val="0"/>
        <w:ind w:firstLine="560" w:firstLineChars="200"/>
        <w:outlineLvl w:val="0"/>
        <w:rPr>
          <w:rFonts w:ascii="仿宋_GB2312" w:hAnsi="仿宋" w:eastAsia="仿宋_GB2312"/>
          <w:sz w:val="28"/>
          <w:szCs w:val="28"/>
          <w:lang w:val="zh-CN"/>
        </w:rPr>
      </w:pPr>
      <w:bookmarkStart w:id="63" w:name="_Toc20389"/>
      <w:r>
        <w:rPr>
          <w:rFonts w:hint="eastAsia" w:ascii="仿宋_GB2312" w:hAnsi="仿宋" w:eastAsia="仿宋_GB2312"/>
          <w:sz w:val="28"/>
          <w:szCs w:val="28"/>
          <w:lang w:val="zh-CN"/>
        </w:rPr>
        <w:t>（一）按照甲方要求，组织开展</w:t>
      </w:r>
      <w:r>
        <w:rPr>
          <w:rFonts w:hint="eastAsia" w:ascii="仿宋_GB2312" w:hAnsi="仿宋" w:eastAsia="仿宋_GB2312"/>
          <w:sz w:val="28"/>
          <w:szCs w:val="28"/>
        </w:rPr>
        <w:t>海南省矿产资源总体规划（2021—2025年）环境影响评价报告书（海域部分）编制</w:t>
      </w:r>
      <w:r>
        <w:rPr>
          <w:rFonts w:hint="eastAsia" w:ascii="仿宋_GB2312" w:hAnsi="仿宋" w:eastAsia="仿宋_GB2312"/>
          <w:sz w:val="28"/>
          <w:szCs w:val="28"/>
          <w:lang w:val="zh-CN"/>
        </w:rPr>
        <w:t>服务</w:t>
      </w:r>
      <w:r>
        <w:rPr>
          <w:rFonts w:hint="eastAsia" w:ascii="仿宋_GB2312" w:hAnsi="仿宋" w:eastAsia="仿宋_GB2312"/>
          <w:sz w:val="28"/>
          <w:szCs w:val="28"/>
        </w:rPr>
        <w:t>的</w:t>
      </w:r>
      <w:r>
        <w:rPr>
          <w:rFonts w:hint="eastAsia" w:ascii="仿宋_GB2312" w:hAnsi="仿宋" w:eastAsia="仿宋_GB2312"/>
          <w:sz w:val="28"/>
          <w:szCs w:val="28"/>
          <w:lang w:val="zh-CN"/>
        </w:rPr>
        <w:t>相关工作。</w:t>
      </w:r>
      <w:bookmarkEnd w:id="63"/>
    </w:p>
    <w:p>
      <w:pPr>
        <w:adjustRightInd w:val="0"/>
        <w:snapToGrid w:val="0"/>
        <w:ind w:firstLine="560" w:firstLineChars="200"/>
        <w:outlineLvl w:val="0"/>
        <w:rPr>
          <w:rFonts w:ascii="仿宋_GB2312" w:hAnsi="仿宋" w:eastAsia="仿宋_GB2312"/>
          <w:sz w:val="28"/>
          <w:szCs w:val="28"/>
          <w:lang w:val="zh-CN"/>
        </w:rPr>
      </w:pPr>
      <w:bookmarkStart w:id="64" w:name="_Toc99"/>
      <w:r>
        <w:rPr>
          <w:rFonts w:hint="eastAsia" w:ascii="仿宋_GB2312" w:hAnsi="仿宋" w:eastAsia="仿宋_GB2312"/>
          <w:sz w:val="28"/>
          <w:szCs w:val="28"/>
          <w:lang w:val="zh-CN"/>
        </w:rPr>
        <w:t>（二）</w:t>
      </w:r>
      <w:r>
        <w:rPr>
          <w:rFonts w:hint="eastAsia" w:ascii="仿宋_GB2312" w:hAnsi="仿宋" w:eastAsia="仿宋_GB2312"/>
          <w:sz w:val="28"/>
          <w:szCs w:val="28"/>
        </w:rPr>
        <w:t>配合甲方按照</w:t>
      </w:r>
      <w:r>
        <w:rPr>
          <w:rFonts w:hint="eastAsia" w:ascii="仿宋_GB2312" w:hAnsi="仿宋" w:eastAsia="仿宋_GB2312"/>
          <w:sz w:val="28"/>
          <w:szCs w:val="28"/>
          <w:lang w:val="zh-CN"/>
        </w:rPr>
        <w:t>本合同要求</w:t>
      </w:r>
      <w:r>
        <w:rPr>
          <w:rFonts w:hint="eastAsia" w:ascii="仿宋_GB2312" w:hAnsi="仿宋" w:eastAsia="仿宋_GB2312"/>
          <w:sz w:val="28"/>
          <w:szCs w:val="28"/>
        </w:rPr>
        <w:t>开展资料收集、实地调查等</w:t>
      </w:r>
      <w:r>
        <w:rPr>
          <w:rFonts w:hint="eastAsia" w:ascii="仿宋_GB2312" w:hAnsi="仿宋" w:eastAsia="仿宋_GB2312"/>
          <w:sz w:val="28"/>
          <w:szCs w:val="28"/>
          <w:lang w:val="zh-CN"/>
        </w:rPr>
        <w:t>工作。</w:t>
      </w:r>
      <w:bookmarkEnd w:id="64"/>
    </w:p>
    <w:p>
      <w:pPr>
        <w:pStyle w:val="23"/>
        <w:adjustRightInd w:val="0"/>
        <w:snapToGrid w:val="0"/>
        <w:spacing w:after="0"/>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（三）负责按时向甲方提交成果资料。</w:t>
      </w:r>
    </w:p>
    <w:p>
      <w:pPr>
        <w:adjustRightInd w:val="0"/>
        <w:snapToGrid w:val="0"/>
        <w:ind w:firstLine="562" w:firstLineChars="200"/>
        <w:outlineLvl w:val="0"/>
        <w:rPr>
          <w:rFonts w:ascii="仿宋_GB2312" w:hAnsi="仿宋" w:eastAsia="仿宋_GB2312"/>
          <w:b/>
          <w:sz w:val="28"/>
          <w:szCs w:val="28"/>
          <w:lang w:val="zh-CN"/>
        </w:rPr>
      </w:pPr>
      <w:bookmarkStart w:id="65" w:name="_Toc26747"/>
      <w:r>
        <w:rPr>
          <w:rFonts w:hint="eastAsia" w:ascii="仿宋_GB2312" w:hAnsi="仿宋" w:eastAsia="仿宋_GB2312"/>
          <w:b/>
          <w:sz w:val="28"/>
          <w:szCs w:val="28"/>
          <w:lang w:val="zh-CN"/>
        </w:rPr>
        <w:t>第四条  工作服务费及支付期限</w:t>
      </w:r>
      <w:bookmarkEnd w:id="65"/>
    </w:p>
    <w:p>
      <w:pPr>
        <w:pStyle w:val="86"/>
        <w:adjustRightInd w:val="0"/>
        <w:snapToGrid w:val="0"/>
        <w:rPr>
          <w:rFonts w:ascii="仿宋_GB2312" w:hAnsi="仿宋" w:cs="Times New Roman"/>
          <w:szCs w:val="28"/>
          <w:lang w:val="zh-CN"/>
        </w:rPr>
      </w:pPr>
      <w:r>
        <w:rPr>
          <w:rFonts w:hint="eastAsia" w:ascii="仿宋_GB2312" w:hAnsi="仿宋" w:cs="Times New Roman"/>
          <w:szCs w:val="28"/>
          <w:lang w:val="zh-CN"/>
        </w:rPr>
        <w:t>（一）工作服务费：服务费为人民币</w:t>
      </w:r>
      <w:r>
        <w:rPr>
          <w:rFonts w:hint="eastAsia" w:ascii="仿宋_GB2312" w:hAnsi="仿宋" w:cs="Times New Roman"/>
          <w:szCs w:val="28"/>
          <w:u w:val="single"/>
        </w:rPr>
        <w:t>XXXX元</w:t>
      </w:r>
      <w:r>
        <w:rPr>
          <w:rFonts w:hint="eastAsia" w:ascii="仿宋_GB2312" w:hAnsi="仿宋" w:cs="Times New Roman"/>
          <w:szCs w:val="28"/>
          <w:u w:val="single"/>
          <w:lang w:val="zh-CN"/>
        </w:rPr>
        <w:t>整</w:t>
      </w:r>
      <w:r>
        <w:rPr>
          <w:rFonts w:hint="eastAsia" w:ascii="仿宋_GB2312" w:hAnsi="仿宋" w:cs="Times New Roman"/>
          <w:szCs w:val="28"/>
          <w:lang w:val="zh-CN"/>
        </w:rPr>
        <w:t>（</w:t>
      </w:r>
      <w:r>
        <w:rPr>
          <w:rFonts w:hint="eastAsia" w:cs="Times New Roman"/>
          <w:szCs w:val="28"/>
          <w:lang w:val="zh-CN"/>
        </w:rPr>
        <w:t>¥</w:t>
      </w:r>
      <w:r>
        <w:rPr>
          <w:rFonts w:hint="eastAsia" w:ascii="仿宋_GB2312" w:hAnsi="仿宋" w:cs="Times New Roman"/>
          <w:szCs w:val="28"/>
          <w:u w:val="single"/>
          <w:lang w:val="zh-CN"/>
        </w:rPr>
        <w:t>XX0,000.00</w:t>
      </w:r>
      <w:r>
        <w:rPr>
          <w:rFonts w:hint="eastAsia" w:ascii="仿宋_GB2312" w:hAnsi="仿宋" w:cs="Times New Roman"/>
          <w:szCs w:val="28"/>
          <w:lang w:val="zh-CN"/>
        </w:rPr>
        <w:t>元）。</w:t>
      </w:r>
    </w:p>
    <w:p>
      <w:pPr>
        <w:adjustRightInd w:val="0"/>
        <w:snapToGrid w:val="0"/>
        <w:ind w:firstLine="420"/>
        <w:rPr>
          <w:rFonts w:ascii="仿宋_GB2312" w:hAnsi="仿宋" w:eastAsia="仿宋_GB2312"/>
          <w:sz w:val="28"/>
          <w:szCs w:val="28"/>
        </w:rPr>
      </w:pPr>
      <w:r>
        <w:rPr>
          <w:rFonts w:hint="eastAsia" w:ascii="仿宋_GB2312" w:hAnsi="仿宋" w:eastAsia="仿宋_GB2312"/>
          <w:sz w:val="28"/>
          <w:szCs w:val="28"/>
          <w:lang w:val="zh-CN"/>
        </w:rPr>
        <w:t>（二）支付期限：</w:t>
      </w:r>
      <w:r>
        <w:rPr>
          <w:rFonts w:hint="eastAsia" w:ascii="仿宋_GB2312" w:hAnsi="仿宋" w:eastAsia="仿宋_GB2312"/>
          <w:sz w:val="28"/>
          <w:szCs w:val="28"/>
        </w:rPr>
        <w:t>合同生效后15日内，采购人凭成交供应商提供的有效发票以转账方式支付成交供应商合同总价的50%，成交供应商按要求完成并提交环境影响评价报告书初稿后5个工作日内，采购人凭成交供应商提供的有效发票以转账方式支付成交供应商合同总价的30%。</w:t>
      </w:r>
    </w:p>
    <w:p>
      <w:pPr>
        <w:pStyle w:val="86"/>
        <w:adjustRightInd w:val="0"/>
        <w:snapToGrid w:val="0"/>
        <w:ind w:firstLine="537" w:firstLineChars="192"/>
        <w:rPr>
          <w:rFonts w:ascii="仿宋_GB2312" w:hAnsi="仿宋"/>
          <w:szCs w:val="28"/>
        </w:rPr>
      </w:pPr>
      <w:r>
        <w:rPr>
          <w:rFonts w:hint="eastAsia" w:ascii="仿宋_GB2312" w:hAnsi="仿宋"/>
          <w:szCs w:val="28"/>
        </w:rPr>
        <w:t>采购人组织对环境影响评价报告书初稿进行评审并通过后，形成海南省矿产资源总体规划（2021-2025年）环境影响评价报告书（海域部分）送审稿，报生态环境部审查并通过后5个工作日内，采购人凭成交供应商提供的有效发票以转账方式支付成交供应商合同总价的20%。</w:t>
      </w:r>
    </w:p>
    <w:p>
      <w:pPr>
        <w:pStyle w:val="86"/>
        <w:adjustRightInd w:val="0"/>
        <w:snapToGrid w:val="0"/>
        <w:ind w:firstLine="562"/>
        <w:rPr>
          <w:rFonts w:ascii="仿宋_GB2312" w:hAnsi="仿宋"/>
          <w:szCs w:val="28"/>
        </w:rPr>
      </w:pPr>
      <w:r>
        <w:rPr>
          <w:rFonts w:hint="eastAsia" w:ascii="仿宋_GB2312"/>
          <w:b/>
          <w:szCs w:val="28"/>
          <w:lang w:val="zh-CN"/>
        </w:rPr>
        <w:t>第五条  时间要求</w:t>
      </w:r>
    </w:p>
    <w:p>
      <w:pPr>
        <w:adjustRightInd w:val="0"/>
        <w:snapToGrid w:val="0"/>
        <w:ind w:firstLine="560" w:firstLineChars="200"/>
        <w:rPr>
          <w:rFonts w:ascii="仿宋_GB2312" w:hAnsi="仿宋" w:eastAsia="仿宋_GB2312" w:cs="宋体"/>
          <w:bCs/>
          <w:color w:val="000000"/>
          <w:sz w:val="28"/>
          <w:szCs w:val="28"/>
        </w:rPr>
      </w:pPr>
      <w:r>
        <w:rPr>
          <w:rFonts w:hint="eastAsia" w:ascii="仿宋_GB2312" w:hAnsi="仿宋" w:eastAsia="仿宋_GB2312"/>
          <w:sz w:val="28"/>
          <w:szCs w:val="28"/>
          <w:lang w:val="zh-CN"/>
        </w:rPr>
        <w:t>（一）乙方需在</w:t>
      </w:r>
      <w:r>
        <w:rPr>
          <w:rFonts w:hint="eastAsia" w:ascii="仿宋_GB2312" w:hAnsi="仿宋" w:eastAsia="仿宋_GB2312" w:cs="宋体"/>
          <w:bCs/>
          <w:color w:val="000000"/>
          <w:sz w:val="28"/>
          <w:szCs w:val="28"/>
        </w:rPr>
        <w:t>2021年9月30日前完成环境影响评价报告书初稿；</w:t>
      </w:r>
    </w:p>
    <w:p>
      <w:pPr>
        <w:pStyle w:val="86"/>
        <w:adjustRightInd w:val="0"/>
        <w:snapToGrid w:val="0"/>
        <w:rPr>
          <w:rFonts w:ascii="仿宋_GB2312" w:hAnsi="仿宋" w:cs="Times New Roman"/>
          <w:szCs w:val="28"/>
          <w:lang w:val="zh-CN"/>
        </w:rPr>
      </w:pPr>
      <w:r>
        <w:rPr>
          <w:rFonts w:hint="eastAsia" w:ascii="仿宋_GB2312" w:hAnsi="仿宋" w:cs="Times New Roman"/>
          <w:szCs w:val="28"/>
          <w:lang w:val="zh-CN"/>
        </w:rPr>
        <w:t>（二）乙方需在</w:t>
      </w:r>
      <w:r>
        <w:rPr>
          <w:rFonts w:hint="eastAsia" w:ascii="仿宋_GB2312" w:hAnsi="仿宋"/>
          <w:bCs/>
          <w:color w:val="000000"/>
          <w:szCs w:val="28"/>
        </w:rPr>
        <w:t>2021年10月31日前形成环境影响评价报告书送审稿报生态环境部审查。</w:t>
      </w:r>
    </w:p>
    <w:p>
      <w:pPr>
        <w:pStyle w:val="12"/>
        <w:tabs>
          <w:tab w:val="left" w:pos="5145"/>
          <w:tab w:val="left" w:pos="5355"/>
          <w:tab w:val="left" w:pos="6195"/>
        </w:tabs>
        <w:adjustRightInd w:val="0"/>
        <w:snapToGrid w:val="0"/>
        <w:ind w:firstLine="560" w:firstLineChars="200"/>
        <w:rPr>
          <w:rFonts w:ascii="仿宋_GB2312" w:hAnsi="仿宋" w:eastAsia="仿宋_GB2312"/>
          <w:sz w:val="28"/>
          <w:szCs w:val="28"/>
          <w:lang w:val="zh-CN"/>
        </w:rPr>
      </w:pPr>
      <w:r>
        <w:rPr>
          <w:rFonts w:hint="eastAsia" w:ascii="仿宋_GB2312" w:hAnsi="仿宋" w:eastAsia="仿宋_GB2312"/>
          <w:sz w:val="28"/>
          <w:szCs w:val="28"/>
          <w:lang w:val="zh-CN"/>
        </w:rPr>
        <w:t>（三）如因不可抗力导致服务工作不能按计划实施的，乙方提交成果的时间相应往后顺延。</w:t>
      </w:r>
    </w:p>
    <w:p>
      <w:pPr>
        <w:pStyle w:val="12"/>
        <w:tabs>
          <w:tab w:val="left" w:pos="5145"/>
          <w:tab w:val="left" w:pos="5355"/>
          <w:tab w:val="left" w:pos="6195"/>
        </w:tabs>
        <w:adjustRightInd w:val="0"/>
        <w:snapToGrid w:val="0"/>
        <w:ind w:firstLine="562" w:firstLineChars="200"/>
        <w:rPr>
          <w:rFonts w:ascii="仿宋_GB2312" w:eastAsia="仿宋_GB2312"/>
          <w:b/>
          <w:sz w:val="28"/>
          <w:szCs w:val="28"/>
          <w:lang w:val="zh-CN"/>
        </w:rPr>
      </w:pPr>
      <w:bookmarkStart w:id="66" w:name="_Toc1105"/>
      <w:r>
        <w:rPr>
          <w:rFonts w:hint="eastAsia" w:ascii="仿宋_GB2312" w:eastAsia="仿宋_GB2312"/>
          <w:b/>
          <w:sz w:val="28"/>
          <w:szCs w:val="28"/>
          <w:lang w:val="zh-CN"/>
        </w:rPr>
        <w:t>第六条  乙方应向甲方提交的成果</w:t>
      </w:r>
      <w:bookmarkEnd w:id="66"/>
    </w:p>
    <w:p>
      <w:pPr>
        <w:adjustRightInd w:val="0"/>
        <w:snapToGrid w:val="0"/>
        <w:ind w:firstLine="560" w:firstLineChars="200"/>
        <w:rPr>
          <w:rFonts w:ascii="仿宋_GB2312" w:eastAsia="仿宋_GB2312"/>
          <w:sz w:val="28"/>
          <w:szCs w:val="28"/>
        </w:rPr>
      </w:pPr>
      <w:r>
        <w:rPr>
          <w:rFonts w:hint="eastAsia" w:ascii="仿宋_GB2312" w:eastAsia="仿宋_GB2312"/>
          <w:sz w:val="28"/>
          <w:szCs w:val="28"/>
          <w:lang w:val="zh-CN"/>
        </w:rPr>
        <w:t>经生态环境部评审通过的《</w:t>
      </w:r>
      <w:r>
        <w:rPr>
          <w:rFonts w:hint="eastAsia" w:ascii="仿宋_GB2312" w:eastAsia="仿宋_GB2312"/>
          <w:sz w:val="28"/>
          <w:szCs w:val="28"/>
        </w:rPr>
        <w:t>海南省矿产资源总体规划（2021—2025年）环境影响评价报告书（海域部分）》。</w:t>
      </w:r>
    </w:p>
    <w:p>
      <w:pPr>
        <w:adjustRightInd w:val="0"/>
        <w:snapToGrid w:val="0"/>
        <w:ind w:firstLine="562" w:firstLineChars="200"/>
        <w:outlineLvl w:val="0"/>
        <w:rPr>
          <w:rFonts w:ascii="仿宋_GB2312" w:eastAsia="仿宋_GB2312"/>
          <w:b/>
          <w:sz w:val="28"/>
          <w:szCs w:val="28"/>
          <w:lang w:val="zh-CN"/>
        </w:rPr>
      </w:pPr>
      <w:bookmarkStart w:id="67" w:name="_Toc677"/>
      <w:r>
        <w:rPr>
          <w:rFonts w:hint="eastAsia" w:ascii="仿宋_GB2312" w:eastAsia="仿宋_GB2312"/>
          <w:b/>
          <w:sz w:val="28"/>
          <w:szCs w:val="28"/>
          <w:lang w:val="zh-CN"/>
        </w:rPr>
        <w:t>第七条  违约责任</w:t>
      </w:r>
      <w:bookmarkEnd w:id="67"/>
    </w:p>
    <w:p>
      <w:pPr>
        <w:adjustRightInd w:val="0"/>
        <w:snapToGrid w:val="0"/>
        <w:ind w:right="-360" w:rightChars="-150" w:firstLine="560" w:firstLineChars="200"/>
        <w:rPr>
          <w:rFonts w:ascii="仿宋_GB2312" w:eastAsia="仿宋_GB2312"/>
          <w:sz w:val="28"/>
          <w:szCs w:val="28"/>
          <w:lang w:val="zh-CN"/>
        </w:rPr>
      </w:pPr>
      <w:r>
        <w:rPr>
          <w:rFonts w:hint="eastAsia" w:ascii="仿宋_GB2312" w:eastAsia="仿宋_GB2312"/>
          <w:sz w:val="28"/>
          <w:szCs w:val="28"/>
          <w:lang w:val="zh-CN"/>
        </w:rPr>
        <w:t>（一）甲方未按本合同约定支付服务费的，到期应付未付款的，向乙方支付未付款数额的万分之五/日。</w:t>
      </w:r>
    </w:p>
    <w:p>
      <w:pPr>
        <w:adjustRightInd w:val="0"/>
        <w:snapToGrid w:val="0"/>
        <w:ind w:right="-360" w:rightChars="-150" w:firstLine="560" w:firstLineChars="200"/>
        <w:rPr>
          <w:rFonts w:ascii="仿宋_GB2312" w:eastAsia="仿宋_GB2312"/>
          <w:sz w:val="28"/>
          <w:szCs w:val="28"/>
          <w:lang w:val="zh-CN"/>
        </w:rPr>
      </w:pPr>
      <w:r>
        <w:rPr>
          <w:rFonts w:hint="eastAsia" w:ascii="仿宋_GB2312" w:eastAsia="仿宋_GB2312"/>
          <w:sz w:val="28"/>
          <w:szCs w:val="28"/>
          <w:lang w:val="zh-CN"/>
        </w:rPr>
        <w:t>（二）乙方未能按本合同约定期限提交成果或提交成果质量未达到要求，造成延期的，扣减应付费用总额的万分之五/日。</w:t>
      </w:r>
    </w:p>
    <w:p>
      <w:pPr>
        <w:adjustRightInd w:val="0"/>
        <w:snapToGrid w:val="0"/>
        <w:ind w:right="-360" w:rightChars="-150" w:firstLine="560" w:firstLineChars="200"/>
        <w:rPr>
          <w:rFonts w:ascii="仿宋_GB2312" w:eastAsia="仿宋_GB2312"/>
          <w:sz w:val="28"/>
          <w:szCs w:val="28"/>
          <w:lang w:val="zh-CN"/>
        </w:rPr>
      </w:pPr>
      <w:r>
        <w:rPr>
          <w:rFonts w:hint="eastAsia" w:ascii="仿宋_GB2312" w:eastAsia="仿宋_GB2312"/>
          <w:sz w:val="28"/>
          <w:szCs w:val="28"/>
          <w:lang w:val="zh-CN"/>
        </w:rPr>
        <w:t>（三）乙方有其它违约行为的，每发生一次按总金额5%收取违约金。乙方因违约给甲方造成的损失的，应向甲方赔偿全部经济损失（包括但不限于直接损失、预期利益损失、为索赔支出的费用、律师费、诉讼费、公证费、鉴定费等）。</w:t>
      </w:r>
    </w:p>
    <w:p>
      <w:pPr>
        <w:adjustRightInd w:val="0"/>
        <w:snapToGrid w:val="0"/>
        <w:ind w:firstLine="562" w:firstLineChars="200"/>
        <w:outlineLvl w:val="0"/>
        <w:rPr>
          <w:rFonts w:ascii="仿宋_GB2312" w:eastAsia="仿宋_GB2312"/>
          <w:b/>
          <w:sz w:val="28"/>
          <w:szCs w:val="28"/>
          <w:lang w:val="zh-CN"/>
        </w:rPr>
      </w:pPr>
      <w:bookmarkStart w:id="68" w:name="_Toc25118"/>
      <w:r>
        <w:rPr>
          <w:rFonts w:hint="eastAsia" w:ascii="仿宋_GB2312" w:eastAsia="仿宋_GB2312"/>
          <w:b/>
          <w:sz w:val="28"/>
          <w:szCs w:val="28"/>
          <w:lang w:val="zh-CN"/>
        </w:rPr>
        <w:t>第八条  其他</w:t>
      </w:r>
      <w:bookmarkEnd w:id="68"/>
    </w:p>
    <w:p>
      <w:pPr>
        <w:adjustRightInd w:val="0"/>
        <w:snapToGrid w:val="0"/>
        <w:ind w:right="-360" w:rightChars="-150" w:firstLine="560" w:firstLineChars="200"/>
        <w:rPr>
          <w:rFonts w:ascii="仿宋_GB2312" w:eastAsia="仿宋_GB2312"/>
          <w:sz w:val="28"/>
          <w:szCs w:val="28"/>
          <w:lang w:val="zh-CN"/>
        </w:rPr>
      </w:pPr>
      <w:r>
        <w:rPr>
          <w:rFonts w:hint="eastAsia" w:ascii="仿宋_GB2312" w:eastAsia="仿宋_GB2312"/>
          <w:sz w:val="28"/>
          <w:szCs w:val="28"/>
          <w:lang w:val="zh-CN"/>
        </w:rPr>
        <w:t>（一）</w:t>
      </w:r>
      <w:bookmarkStart w:id="69" w:name="OLE_LINK1"/>
      <w:r>
        <w:rPr>
          <w:rFonts w:hint="eastAsia" w:ascii="仿宋_GB2312" w:eastAsia="仿宋_GB2312"/>
          <w:sz w:val="28"/>
          <w:szCs w:val="28"/>
          <w:lang w:val="zh-CN"/>
        </w:rPr>
        <w:t>提交成果的所有权、使用权、转让权、出版权及收益权等均属于甲方，但如需申报相关奖项的，乙方可保留上述相关成果的署名权；乙方对上述资料负有保密义务，未经甲方同意不得公布、出版或向第三方披露上述成果的有关技术资料</w:t>
      </w:r>
      <w:bookmarkEnd w:id="69"/>
      <w:r>
        <w:rPr>
          <w:rFonts w:hint="eastAsia" w:ascii="仿宋_GB2312" w:eastAsia="仿宋_GB2312"/>
          <w:sz w:val="28"/>
          <w:szCs w:val="28"/>
          <w:lang w:val="zh-CN"/>
        </w:rPr>
        <w:t>。</w:t>
      </w:r>
    </w:p>
    <w:p>
      <w:pPr>
        <w:adjustRightInd w:val="0"/>
        <w:snapToGrid w:val="0"/>
        <w:ind w:right="-360" w:rightChars="-150" w:firstLine="560" w:firstLineChars="200"/>
        <w:rPr>
          <w:rFonts w:ascii="仿宋_GB2312" w:eastAsia="仿宋_GB2312"/>
          <w:sz w:val="28"/>
          <w:szCs w:val="28"/>
          <w:lang w:val="zh-CN"/>
        </w:rPr>
      </w:pPr>
      <w:r>
        <w:rPr>
          <w:rFonts w:hint="eastAsia" w:ascii="仿宋_GB2312" w:eastAsia="仿宋_GB2312"/>
          <w:sz w:val="28"/>
          <w:szCs w:val="28"/>
          <w:lang w:val="zh-CN"/>
        </w:rPr>
        <w:t>（二）因履行本合同引起的或与本合同有关的争议，甲乙双方应首先通过友好协商解决，如果协商不能解决，可向甲方所在地的人民法院提起诉讼。</w:t>
      </w:r>
    </w:p>
    <w:p>
      <w:pPr>
        <w:adjustRightInd w:val="0"/>
        <w:snapToGrid w:val="0"/>
        <w:ind w:firstLine="562" w:firstLineChars="200"/>
        <w:outlineLvl w:val="0"/>
        <w:rPr>
          <w:rFonts w:ascii="仿宋_GB2312" w:eastAsia="仿宋_GB2312"/>
          <w:b/>
          <w:sz w:val="28"/>
          <w:szCs w:val="28"/>
          <w:lang w:val="zh-CN"/>
        </w:rPr>
      </w:pPr>
      <w:r>
        <w:rPr>
          <w:rFonts w:hint="eastAsia" w:ascii="仿宋_GB2312" w:eastAsia="仿宋_GB2312"/>
          <w:b/>
          <w:sz w:val="28"/>
          <w:szCs w:val="28"/>
          <w:lang w:val="zh-CN"/>
        </w:rPr>
        <w:t>第九条  合同生效</w:t>
      </w:r>
    </w:p>
    <w:p>
      <w:pPr>
        <w:adjustRightInd w:val="0"/>
        <w:snapToGrid w:val="0"/>
        <w:ind w:right="-360" w:rightChars="-150" w:firstLine="560" w:firstLineChars="200"/>
        <w:rPr>
          <w:rFonts w:ascii="仿宋_GB2312" w:eastAsia="仿宋_GB2312"/>
          <w:sz w:val="28"/>
          <w:szCs w:val="28"/>
        </w:rPr>
      </w:pPr>
      <w:r>
        <w:rPr>
          <w:rFonts w:hint="eastAsia" w:ascii="仿宋_GB2312" w:eastAsia="仿宋_GB2312"/>
          <w:sz w:val="28"/>
          <w:szCs w:val="28"/>
        </w:rPr>
        <w:t>本合同由甲乙双方签字盖章后生效。</w:t>
      </w:r>
    </w:p>
    <w:p>
      <w:pPr>
        <w:adjustRightInd w:val="0"/>
        <w:snapToGrid w:val="0"/>
        <w:ind w:firstLine="562" w:firstLineChars="200"/>
        <w:outlineLvl w:val="0"/>
        <w:rPr>
          <w:rFonts w:ascii="仿宋_GB2312" w:eastAsia="仿宋_GB2312"/>
          <w:b/>
          <w:sz w:val="28"/>
          <w:szCs w:val="28"/>
          <w:lang w:val="zh-CN"/>
        </w:rPr>
      </w:pPr>
      <w:r>
        <w:rPr>
          <w:rFonts w:hint="eastAsia" w:ascii="仿宋_GB2312" w:eastAsia="仿宋_GB2312"/>
          <w:b/>
          <w:sz w:val="28"/>
          <w:szCs w:val="28"/>
          <w:lang w:val="zh-CN"/>
        </w:rPr>
        <w:t>第十条  合同鉴证</w:t>
      </w:r>
    </w:p>
    <w:p>
      <w:pPr>
        <w:adjustRightInd w:val="0"/>
        <w:snapToGrid w:val="0"/>
        <w:ind w:right="-360" w:rightChars="-150" w:firstLine="560" w:firstLineChars="200"/>
        <w:rPr>
          <w:rFonts w:ascii="仿宋_GB2312" w:eastAsia="仿宋_GB2312"/>
          <w:sz w:val="28"/>
          <w:szCs w:val="28"/>
          <w:lang w:val="zh-CN"/>
        </w:rPr>
      </w:pPr>
      <w:r>
        <w:rPr>
          <w:rFonts w:hint="eastAsia" w:ascii="仿宋_GB2312" w:eastAsia="仿宋_GB2312"/>
          <w:sz w:val="28"/>
          <w:szCs w:val="28"/>
        </w:rPr>
        <w:t>采购代理机构应当在本合同上签章，以证明本合同条款与磋商文件、响应文件的相关要求相符并且未对采购内容或技术参数进行实质性修改。</w:t>
      </w:r>
    </w:p>
    <w:p>
      <w:pPr>
        <w:adjustRightInd w:val="0"/>
        <w:snapToGrid w:val="0"/>
        <w:ind w:firstLine="562" w:firstLineChars="200"/>
        <w:rPr>
          <w:rFonts w:ascii="仿宋_GB2312" w:hAnsi="仿宋" w:eastAsia="仿宋_GB2312" w:cs="宋体"/>
          <w:sz w:val="28"/>
          <w:szCs w:val="28"/>
        </w:rPr>
      </w:pPr>
      <w:r>
        <w:rPr>
          <w:rFonts w:hint="eastAsia" w:ascii="仿宋_GB2312" w:hAnsi="仿宋" w:eastAsia="仿宋_GB2312" w:cs="宋体"/>
          <w:b/>
          <w:sz w:val="28"/>
          <w:szCs w:val="28"/>
        </w:rPr>
        <w:t>第十一条  本合同的组成文件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（一）竞争性磋商文件、乙方的响应文件和评审时的澄清函（如有）；</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（二）成交通知书；</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（三）甲乙双方商定的其他必要文件。</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bCs/>
          <w:sz w:val="28"/>
          <w:szCs w:val="28"/>
        </w:rPr>
        <w:t>上述合同文件内容互为补充，如有不明确，由甲方负责解释。</w:t>
      </w:r>
    </w:p>
    <w:p>
      <w:pPr>
        <w:adjustRightInd w:val="0"/>
        <w:snapToGrid w:val="0"/>
        <w:ind w:firstLine="562" w:firstLineChars="200"/>
        <w:rPr>
          <w:rFonts w:ascii="仿宋_GB2312" w:hAnsi="仿宋" w:eastAsia="仿宋_GB2312" w:cs="宋体"/>
          <w:sz w:val="28"/>
          <w:szCs w:val="28"/>
        </w:rPr>
      </w:pPr>
      <w:r>
        <w:rPr>
          <w:rFonts w:hint="eastAsia" w:ascii="仿宋_GB2312" w:hAnsi="仿宋" w:eastAsia="仿宋_GB2312" w:cs="宋体"/>
          <w:b/>
          <w:sz w:val="28"/>
          <w:szCs w:val="28"/>
        </w:rPr>
        <w:t>第十二条  合同备案</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bCs/>
          <w:sz w:val="28"/>
          <w:szCs w:val="28"/>
        </w:rPr>
        <w:t>本合同一式</w:t>
      </w:r>
      <w:r>
        <w:rPr>
          <w:rFonts w:hint="eastAsia" w:ascii="仿宋_GB2312" w:hAnsi="仿宋" w:eastAsia="仿宋_GB2312" w:cs="宋体"/>
          <w:bCs/>
          <w:sz w:val="28"/>
          <w:szCs w:val="28"/>
          <w:u w:val="single"/>
        </w:rPr>
        <w:t xml:space="preserve"> 陆 </w:t>
      </w:r>
      <w:r>
        <w:rPr>
          <w:rFonts w:hint="eastAsia" w:ascii="仿宋_GB2312" w:hAnsi="仿宋" w:eastAsia="仿宋_GB2312" w:cs="宋体"/>
          <w:bCs/>
          <w:sz w:val="28"/>
          <w:szCs w:val="28"/>
        </w:rPr>
        <w:t>份，中文书写。甲方</w:t>
      </w:r>
      <w:r>
        <w:rPr>
          <w:rFonts w:hint="eastAsia" w:ascii="仿宋_GB2312" w:hAnsi="仿宋" w:eastAsia="仿宋_GB2312" w:cs="宋体"/>
          <w:bCs/>
          <w:sz w:val="28"/>
          <w:szCs w:val="28"/>
          <w:u w:val="single"/>
        </w:rPr>
        <w:t xml:space="preserve">  贰 </w:t>
      </w:r>
      <w:r>
        <w:rPr>
          <w:rFonts w:hint="eastAsia" w:ascii="仿宋_GB2312" w:hAnsi="仿宋" w:eastAsia="仿宋_GB2312" w:cs="宋体"/>
          <w:bCs/>
          <w:sz w:val="28"/>
          <w:szCs w:val="28"/>
        </w:rPr>
        <w:t>份、乙方</w:t>
      </w:r>
      <w:r>
        <w:rPr>
          <w:rFonts w:hint="eastAsia" w:ascii="仿宋_GB2312" w:hAnsi="仿宋" w:eastAsia="仿宋_GB2312" w:cs="宋体"/>
          <w:bCs/>
          <w:sz w:val="28"/>
          <w:szCs w:val="28"/>
          <w:u w:val="single"/>
        </w:rPr>
        <w:t xml:space="preserve">  贰  </w:t>
      </w:r>
      <w:r>
        <w:rPr>
          <w:rFonts w:hint="eastAsia" w:ascii="仿宋_GB2312" w:hAnsi="仿宋" w:eastAsia="仿宋_GB2312" w:cs="宋体"/>
          <w:bCs/>
          <w:sz w:val="28"/>
          <w:szCs w:val="28"/>
        </w:rPr>
        <w:t>份，采购代理机构</w:t>
      </w:r>
      <w:r>
        <w:rPr>
          <w:rFonts w:hint="eastAsia" w:ascii="仿宋_GB2312" w:hAnsi="仿宋" w:eastAsia="仿宋_GB2312" w:cs="宋体"/>
          <w:bCs/>
          <w:sz w:val="28"/>
          <w:szCs w:val="28"/>
          <w:u w:val="single"/>
        </w:rPr>
        <w:t xml:space="preserve"> 壹 </w:t>
      </w:r>
      <w:r>
        <w:rPr>
          <w:rFonts w:hint="eastAsia" w:ascii="仿宋_GB2312" w:hAnsi="仿宋" w:eastAsia="仿宋_GB2312" w:cs="宋体"/>
          <w:bCs/>
          <w:sz w:val="28"/>
          <w:szCs w:val="28"/>
        </w:rPr>
        <w:t>份，政府采购行政主管部门</w:t>
      </w:r>
      <w:r>
        <w:rPr>
          <w:rFonts w:hint="eastAsia" w:ascii="仿宋_GB2312" w:hAnsi="仿宋" w:eastAsia="仿宋_GB2312" w:cs="宋体"/>
          <w:bCs/>
          <w:sz w:val="28"/>
          <w:szCs w:val="28"/>
          <w:u w:val="single"/>
        </w:rPr>
        <w:t xml:space="preserve"> 壹 </w:t>
      </w:r>
      <w:r>
        <w:rPr>
          <w:rFonts w:hint="eastAsia" w:ascii="仿宋_GB2312" w:hAnsi="仿宋" w:eastAsia="仿宋_GB2312" w:cs="宋体"/>
          <w:bCs/>
          <w:sz w:val="28"/>
          <w:szCs w:val="28"/>
        </w:rPr>
        <w:t>份。</w:t>
      </w:r>
    </w:p>
    <w:p>
      <w:pPr>
        <w:adjustRightInd w:val="0"/>
        <w:snapToGrid w:val="0"/>
        <w:ind w:firstLine="560" w:firstLineChars="200"/>
        <w:rPr>
          <w:rFonts w:ascii="仿宋_GB2312" w:hAnsi="仿宋" w:eastAsia="仿宋_GB2312" w:cs="宋体"/>
          <w:bCs/>
          <w:sz w:val="28"/>
          <w:szCs w:val="28"/>
        </w:rPr>
      </w:pPr>
    </w:p>
    <w:p>
      <w:pPr>
        <w:adjustRightInd w:val="0"/>
        <w:snapToGrid w:val="0"/>
        <w:spacing w:beforeLines="100" w:afterLines="100"/>
        <w:ind w:firstLine="482" w:firstLineChars="200"/>
        <w:rPr>
          <w:rFonts w:ascii="仿宋_GB2312" w:hAnsi="仿宋" w:eastAsia="仿宋_GB2312" w:cs="宋体"/>
          <w:b/>
          <w:u w:val="single"/>
        </w:rPr>
      </w:pPr>
      <w:r>
        <w:rPr>
          <w:rFonts w:hint="eastAsia" w:ascii="仿宋_GB2312" w:hAnsi="仿宋" w:eastAsia="仿宋_GB2312" w:cs="宋体"/>
          <w:b/>
        </w:rPr>
        <w:t>甲方：</w:t>
      </w:r>
      <w:r>
        <w:rPr>
          <w:rFonts w:hint="eastAsia" w:ascii="仿宋_GB2312" w:hAnsi="仿宋" w:eastAsia="仿宋_GB2312" w:cs="宋体"/>
          <w:b/>
          <w:u w:val="single"/>
        </w:rPr>
        <w:t xml:space="preserve">                   （盖章）</w:t>
      </w:r>
      <w:r>
        <w:rPr>
          <w:rFonts w:hint="eastAsia" w:ascii="仿宋_GB2312" w:hAnsi="仿宋" w:eastAsia="仿宋_GB2312" w:cs="宋体"/>
          <w:b/>
        </w:rPr>
        <w:t xml:space="preserve">     乙方：</w:t>
      </w:r>
      <w:r>
        <w:rPr>
          <w:rFonts w:hint="eastAsia" w:ascii="仿宋_GB2312" w:hAnsi="仿宋" w:eastAsia="仿宋_GB2312" w:cs="宋体"/>
          <w:b/>
          <w:u w:val="single"/>
        </w:rPr>
        <w:t xml:space="preserve">                  （盖章）</w:t>
      </w:r>
    </w:p>
    <w:p>
      <w:pPr>
        <w:adjustRightInd w:val="0"/>
        <w:snapToGrid w:val="0"/>
        <w:spacing w:beforeLines="100" w:afterLines="100"/>
        <w:ind w:firstLine="480" w:firstLineChars="200"/>
        <w:rPr>
          <w:rFonts w:ascii="仿宋_GB2312" w:hAnsi="仿宋" w:eastAsia="仿宋_GB2312" w:cs="宋体"/>
          <w:u w:val="single"/>
        </w:rPr>
      </w:pPr>
      <w:r>
        <w:rPr>
          <w:rFonts w:hint="eastAsia" w:ascii="仿宋_GB2312" w:hAnsi="仿宋" w:eastAsia="仿宋_GB2312" w:cs="宋体"/>
        </w:rPr>
        <w:t>地址：      地址：</w:t>
      </w:r>
      <w:r>
        <w:rPr>
          <w:rFonts w:hint="eastAsia" w:ascii="仿宋_GB2312" w:hAnsi="仿宋" w:eastAsia="仿宋_GB2312" w:cs="宋体"/>
          <w:u w:val="single"/>
        </w:rPr>
        <w:t xml:space="preserve">                           ，                           </w:t>
      </w:r>
    </w:p>
    <w:p>
      <w:pPr>
        <w:adjustRightInd w:val="0"/>
        <w:snapToGrid w:val="0"/>
        <w:spacing w:beforeLines="100" w:afterLines="100"/>
        <w:ind w:firstLine="480" w:firstLineChars="200"/>
        <w:rPr>
          <w:rFonts w:ascii="仿宋_GB2312" w:hAnsi="仿宋" w:eastAsia="仿宋_GB2312" w:cs="宋体"/>
        </w:rPr>
      </w:pPr>
      <w:r>
        <w:rPr>
          <w:rFonts w:hint="eastAsia" w:ascii="仿宋_GB2312" w:hAnsi="仿宋" w:eastAsia="仿宋_GB2312" w:cs="宋体"/>
        </w:rPr>
        <w:t>法定（或授权）代表人：     法定（或授权）代表人：</w:t>
      </w:r>
      <w:r>
        <w:rPr>
          <w:rFonts w:hint="eastAsia" w:ascii="仿宋_GB2312" w:hAnsi="仿宋" w:eastAsia="仿宋_GB2312" w:cs="宋体"/>
          <w:u w:val="single"/>
        </w:rPr>
        <w:t xml:space="preserve">            ，            </w:t>
      </w:r>
    </w:p>
    <w:p>
      <w:pPr>
        <w:adjustRightInd w:val="0"/>
        <w:snapToGrid w:val="0"/>
        <w:spacing w:beforeLines="100" w:afterLines="100"/>
        <w:ind w:firstLine="1320" w:firstLineChars="550"/>
        <w:rPr>
          <w:rFonts w:ascii="仿宋_GB2312" w:hAnsi="仿宋" w:eastAsia="仿宋_GB2312" w:cs="宋体"/>
          <w:b/>
        </w:rPr>
      </w:pPr>
      <w:r>
        <w:rPr>
          <w:rFonts w:hint="eastAsia" w:ascii="仿宋_GB2312" w:hAnsi="仿宋" w:eastAsia="仿宋_GB2312" w:cs="宋体"/>
        </w:rPr>
        <w:t>年月日                   年月日</w:t>
      </w:r>
    </w:p>
    <w:p>
      <w:pPr>
        <w:adjustRightInd w:val="0"/>
        <w:snapToGrid w:val="0"/>
        <w:ind w:firstLine="562" w:firstLineChars="200"/>
        <w:rPr>
          <w:rFonts w:ascii="仿宋_GB2312" w:hAnsi="仿宋" w:eastAsia="仿宋_GB2312" w:cs="宋体"/>
          <w:b/>
          <w:sz w:val="28"/>
          <w:szCs w:val="28"/>
        </w:rPr>
      </w:pPr>
    </w:p>
    <w:p>
      <w:pPr>
        <w:adjustRightInd w:val="0"/>
        <w:snapToGrid w:val="0"/>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采购代理机构声明：本合同标的经海南金政采项目管理有限公司依法定程序签订，合同条款内容与响应文件的内容一致。</w:t>
      </w:r>
    </w:p>
    <w:p>
      <w:pPr>
        <w:adjustRightInd w:val="0"/>
        <w:snapToGrid w:val="0"/>
        <w:ind w:firstLine="562" w:firstLineChars="200"/>
        <w:rPr>
          <w:rFonts w:ascii="仿宋_GB2312" w:hAnsi="仿宋" w:eastAsia="仿宋_GB2312" w:cs="宋体"/>
          <w:b/>
          <w:sz w:val="28"/>
          <w:szCs w:val="28"/>
        </w:rPr>
      </w:pPr>
    </w:p>
    <w:p>
      <w:pPr>
        <w:adjustRightInd w:val="0"/>
        <w:snapToGrid w:val="0"/>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采购代理机构：海南金政采项目管理有限公司（盖章）</w:t>
      </w:r>
    </w:p>
    <w:p>
      <w:pPr>
        <w:adjustRightInd w:val="0"/>
        <w:snapToGrid w:val="0"/>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地址：海口市美兰区蓝天路12号世纪港C1401室</w:t>
      </w:r>
    </w:p>
    <w:p>
      <w:pPr>
        <w:adjustRightInd w:val="0"/>
        <w:snapToGrid w:val="0"/>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电话：0898-66756504</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经办人：</w:t>
      </w:r>
    </w:p>
    <w:p>
      <w:pPr>
        <w:adjustRightInd w:val="0"/>
        <w:snapToGrid w:val="0"/>
        <w:ind w:firstLine="560" w:firstLineChars="200"/>
        <w:rPr>
          <w:rFonts w:ascii="仿宋_GB2312" w:hAnsi="仿宋" w:eastAsia="仿宋_GB2312" w:cs="宋体"/>
          <w:sz w:val="28"/>
          <w:szCs w:val="28"/>
        </w:rPr>
      </w:pPr>
    </w:p>
    <w:p>
      <w:pPr>
        <w:adjustRightInd w:val="0"/>
        <w:snapToGrid w:val="0"/>
        <w:ind w:firstLine="1540" w:firstLineChars="550"/>
        <w:rPr>
          <w:rFonts w:ascii="仿宋_GB2312" w:hAnsi="仿宋" w:eastAsia="仿宋_GB2312" w:cs="宋体"/>
          <w:sz w:val="28"/>
          <w:szCs w:val="28"/>
        </w:rPr>
      </w:pPr>
      <w:r>
        <w:rPr>
          <w:rFonts w:hint="eastAsia" w:ascii="仿宋_GB2312" w:hAnsi="仿宋" w:eastAsia="仿宋_GB2312" w:cs="宋体"/>
          <w:sz w:val="28"/>
          <w:szCs w:val="28"/>
        </w:rPr>
        <w:t>年    月    日</w:t>
      </w:r>
    </w:p>
    <w:p>
      <w:pPr>
        <w:widowControl/>
        <w:spacing w:line="240" w:lineRule="auto"/>
        <w:rPr>
          <w:rFonts w:ascii="仿宋_GB2312" w:hAnsi="仿宋" w:eastAsia="仿宋_GB2312" w:cs="宋体"/>
          <w:kern w:val="0"/>
        </w:rPr>
      </w:pPr>
      <w:r>
        <w:rPr>
          <w:rFonts w:ascii="仿宋_GB2312" w:hAnsi="仿宋" w:eastAsia="仿宋_GB2312" w:cs="宋体"/>
        </w:rPr>
        <w:br w:type="page"/>
      </w:r>
    </w:p>
    <w:p>
      <w:pPr>
        <w:pStyle w:val="3"/>
        <w:spacing w:before="0" w:after="0"/>
        <w:rPr>
          <w:rFonts w:ascii="仿宋_GB2312" w:hAnsi="仿宋" w:eastAsia="仿宋_GB2312" w:cs="宋体"/>
          <w:sz w:val="32"/>
          <w:szCs w:val="32"/>
        </w:rPr>
      </w:pPr>
      <w:r>
        <w:rPr>
          <w:rFonts w:hint="eastAsia" w:ascii="仿宋_GB2312" w:hAnsi="仿宋" w:eastAsia="仿宋_GB2312" w:cs="宋体"/>
          <w:sz w:val="32"/>
          <w:szCs w:val="32"/>
        </w:rPr>
        <w:t xml:space="preserve">第五章  </w:t>
      </w:r>
      <w:bookmarkEnd w:id="54"/>
      <w:bookmarkEnd w:id="55"/>
      <w:r>
        <w:rPr>
          <w:rFonts w:hint="eastAsia" w:ascii="仿宋_GB2312" w:hAnsi="仿宋" w:eastAsia="仿宋_GB2312" w:cs="宋体"/>
          <w:sz w:val="32"/>
          <w:szCs w:val="32"/>
        </w:rPr>
        <w:t>评审方法、标准及程序</w:t>
      </w:r>
      <w:bookmarkEnd w:id="56"/>
    </w:p>
    <w:p>
      <w:pPr>
        <w:pStyle w:val="4"/>
        <w:snapToGrid w:val="0"/>
        <w:rPr>
          <w:rFonts w:ascii="仿宋_GB2312" w:hAnsi="仿宋" w:eastAsia="仿宋_GB2312" w:cs="宋体"/>
          <w:sz w:val="28"/>
          <w:szCs w:val="28"/>
        </w:rPr>
      </w:pPr>
      <w:r>
        <w:rPr>
          <w:rFonts w:hint="eastAsia" w:ascii="仿宋_GB2312" w:hAnsi="仿宋" w:eastAsia="仿宋_GB2312" w:cs="宋体"/>
          <w:sz w:val="28"/>
          <w:szCs w:val="28"/>
        </w:rPr>
        <w:t>一、评审方法</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（一）综合评分法评标步骤：先进行资格符合性审查，再进行技术、商务及价格的详细评审。只有通过资格符合性审查的供应商才能进入详细的评审。</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（二）评审方法采用综合评分法。</w:t>
      </w:r>
    </w:p>
    <w:p>
      <w:pPr>
        <w:adjustRightInd w:val="0"/>
        <w:snapToGrid w:val="0"/>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综合评分法，是指响应文件满足磋商文件全部实质性要求，且按照评审因素的指标进行评分，根据综合评分的高低决出成交候选人的评标方法。</w:t>
      </w:r>
    </w:p>
    <w:p>
      <w:pPr>
        <w:adjustRightInd w:val="0"/>
        <w:snapToGrid w:val="0"/>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价格分计算方法：</w:t>
      </w:r>
    </w:p>
    <w:p>
      <w:pPr>
        <w:adjustRightInd w:val="0"/>
        <w:snapToGrid w:val="0"/>
        <w:ind w:firstLine="560" w:firstLineChars="200"/>
        <w:rPr>
          <w:rFonts w:ascii="仿宋_GB2312" w:hAnsi="仿宋" w:eastAsia="仿宋_GB2312" w:cs="仿宋"/>
          <w:sz w:val="28"/>
          <w:szCs w:val="28"/>
        </w:rPr>
      </w:pPr>
      <w:r>
        <w:rPr>
          <w:rFonts w:hint="eastAsia" w:ascii="仿宋_GB2312" w:hAnsi="仿宋" w:eastAsia="仿宋_GB2312" w:cs="仿宋"/>
          <w:sz w:val="28"/>
          <w:szCs w:val="28"/>
        </w:rPr>
        <w:t>采用低价优先法计算，即满足招标文件要求且投标价格最低的投标报价为评标基准价，其价格分为满分。其他投标人的价格分统一按照下列公式计算：</w:t>
      </w:r>
    </w:p>
    <w:p>
      <w:pPr>
        <w:adjustRightInd w:val="0"/>
        <w:snapToGrid w:val="0"/>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磋商报价得分=(评标基准价／磋商报价)×价格权值×100 </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评标总得分＝各项评审因素的得分之和。</w:t>
      </w:r>
    </w:p>
    <w:p>
      <w:pPr>
        <w:adjustRightInd w:val="0"/>
        <w:snapToGrid w:val="0"/>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评标过程中，不得去掉报价中的最高报价和最低报价。</w:t>
      </w:r>
    </w:p>
    <w:p>
      <w:pPr>
        <w:adjustRightInd w:val="0"/>
        <w:snapToGrid w:val="0"/>
        <w:ind w:firstLine="560" w:firstLineChars="200"/>
        <w:rPr>
          <w:rFonts w:ascii="仿宋_GB2312" w:eastAsia="仿宋_GB2312"/>
          <w:sz w:val="28"/>
          <w:szCs w:val="28"/>
        </w:rPr>
      </w:pPr>
      <w:r>
        <w:rPr>
          <w:rFonts w:hint="eastAsia" w:ascii="仿宋_GB2312" w:hAnsi="仿宋" w:eastAsia="仿宋_GB2312" w:cs="仿宋"/>
          <w:sz w:val="28"/>
          <w:szCs w:val="28"/>
        </w:rPr>
        <w:t>此方法适用于货物类、服务类、工程类项目。</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三）综合评分及其统计：按照磋商程序、评分标准以及权重分配的规定，磋商小组成员分别就各个供应商的技术状况、商务状况及其对磋商文件要求的响应情况进行评议和比较，评出其技术评分和商务评分。然后，评出价格得分。将技术评分、商务评分和价格评分相加得出综合得分，综合得分按由高到低顺序排列。综合得分相同的，按最后报价由低到高顺序排列。综合得分和最后报价均相同的，按技术指标由优至劣顺序排列。综合得分最高的供应商为第一成交候选供应商，综合得分次高的供应商为第二成交候选供应商。</w:t>
      </w:r>
    </w:p>
    <w:p>
      <w:pPr>
        <w:pStyle w:val="4"/>
        <w:snapToGrid w:val="0"/>
        <w:rPr>
          <w:rFonts w:ascii="仿宋_GB2312" w:hAnsi="仿宋" w:eastAsia="仿宋_GB2312" w:cs="宋体"/>
          <w:sz w:val="28"/>
          <w:szCs w:val="28"/>
        </w:rPr>
      </w:pPr>
      <w:r>
        <w:rPr>
          <w:rFonts w:hint="eastAsia" w:ascii="仿宋_GB2312" w:hAnsi="仿宋" w:eastAsia="仿宋_GB2312" w:cs="宋体"/>
          <w:sz w:val="28"/>
          <w:szCs w:val="28"/>
        </w:rPr>
        <w:t>二、资格符合性审查</w:t>
      </w:r>
    </w:p>
    <w:p>
      <w:pPr>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一）磋商小组根据“资格符合性审查表”对响应文件的资格符合性进行评审，只有对“资格符合性审查表”所列各项作出实质性响应的响应文件才能通过审查。对是否实质性响应磋商文件的要求有争议的响应内容，磋商小组将以记名方式表决，得票超过半数的供应商有资格进入最后报价阶段，否则将被淘汰。</w:t>
      </w:r>
    </w:p>
    <w:p>
      <w:pPr>
        <w:snapToGrid w:val="0"/>
        <w:ind w:firstLine="480"/>
        <w:jc w:val="center"/>
        <w:rPr>
          <w:rFonts w:ascii="仿宋_GB2312" w:hAnsi="仿宋" w:eastAsia="仿宋_GB2312" w:cs="宋体"/>
          <w:b/>
          <w:bCs/>
          <w:sz w:val="32"/>
          <w:szCs w:val="32"/>
        </w:rPr>
      </w:pPr>
      <w:r>
        <w:rPr>
          <w:rFonts w:hint="eastAsia" w:ascii="仿宋_GB2312" w:hAnsi="仿宋" w:eastAsia="仿宋_GB2312" w:cs="宋体"/>
          <w:b/>
          <w:bCs/>
          <w:kern w:val="0"/>
          <w:sz w:val="32"/>
          <w:szCs w:val="32"/>
        </w:rPr>
        <w:t>资格符合性审查表</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082"/>
        <w:gridCol w:w="5258"/>
        <w:gridCol w:w="1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8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40" w:lineRule="auto"/>
              <w:jc w:val="center"/>
              <w:rPr>
                <w:rFonts w:ascii="仿宋_GB2312" w:hAnsi="仿宋" w:eastAsia="仿宋_GB2312" w:cs="宋体"/>
                <w:b/>
              </w:rPr>
            </w:pPr>
            <w:r>
              <w:rPr>
                <w:rFonts w:hint="eastAsia" w:ascii="仿宋_GB2312" w:hAnsi="仿宋" w:eastAsia="仿宋_GB2312" w:cs="宋体"/>
                <w:b/>
              </w:rPr>
              <w:t>序号</w:t>
            </w:r>
          </w:p>
        </w:tc>
        <w:tc>
          <w:tcPr>
            <w:tcW w:w="208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40" w:lineRule="auto"/>
              <w:jc w:val="center"/>
              <w:rPr>
                <w:rFonts w:ascii="仿宋_GB2312" w:hAnsi="仿宋" w:eastAsia="仿宋_GB2312" w:cs="宋体"/>
                <w:b/>
              </w:rPr>
            </w:pPr>
            <w:r>
              <w:rPr>
                <w:rFonts w:hint="eastAsia" w:ascii="仿宋_GB2312" w:hAnsi="仿宋" w:eastAsia="仿宋_GB2312" w:cs="宋体"/>
                <w:b/>
              </w:rPr>
              <w:t>审查项目</w:t>
            </w:r>
          </w:p>
        </w:tc>
        <w:tc>
          <w:tcPr>
            <w:tcW w:w="525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40" w:lineRule="auto"/>
              <w:jc w:val="center"/>
              <w:rPr>
                <w:rFonts w:ascii="仿宋_GB2312" w:hAnsi="仿宋" w:eastAsia="仿宋_GB2312" w:cs="宋体"/>
                <w:b/>
              </w:rPr>
            </w:pPr>
            <w:r>
              <w:rPr>
                <w:rFonts w:hint="eastAsia" w:ascii="仿宋_GB2312" w:hAnsi="仿宋" w:eastAsia="仿宋_GB2312" w:cs="宋体"/>
                <w:b/>
              </w:rPr>
              <w:t>评议内容</w:t>
            </w:r>
          </w:p>
        </w:tc>
        <w:tc>
          <w:tcPr>
            <w:tcW w:w="116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40" w:lineRule="auto"/>
              <w:jc w:val="center"/>
              <w:rPr>
                <w:rFonts w:ascii="仿宋_GB2312" w:hAnsi="仿宋" w:eastAsia="仿宋_GB2312" w:cs="宋体"/>
                <w:b/>
              </w:rPr>
            </w:pPr>
            <w:r>
              <w:rPr>
                <w:rFonts w:hint="eastAsia" w:ascii="仿宋_GB2312" w:hAnsi="仿宋" w:eastAsia="仿宋_GB2312" w:cs="宋体"/>
                <w:b/>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1</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供应商的资格</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rPr>
              <w:t>是否符合供应商资格要求</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2</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响应文件的有效性、完整性</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rPr>
              <w:t>是否符合磋商文件的式样和签署要求且内容完整无缺漏</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3</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报价项</w:t>
            </w:r>
            <w:r>
              <w:rPr>
                <w:rFonts w:hint="eastAsia" w:ascii="仿宋_GB2312" w:hAnsi="仿宋" w:eastAsia="仿宋_GB2312" w:cs="Tahoma"/>
                <w:kern w:val="28"/>
                <w:szCs w:val="21"/>
              </w:rPr>
              <w:t>目完整性</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kern w:val="28"/>
                <w:szCs w:val="21"/>
              </w:rPr>
              <w:t>是否对</w:t>
            </w:r>
            <w:r>
              <w:rPr>
                <w:rFonts w:hint="eastAsia" w:ascii="仿宋_GB2312" w:hAnsi="仿宋" w:eastAsia="仿宋_GB2312" w:cs="Tahoma"/>
                <w:kern w:val="28"/>
                <w:szCs w:val="21"/>
              </w:rPr>
              <w:t>本项目内所有的内容进行报价</w:t>
            </w:r>
            <w:r>
              <w:rPr>
                <w:rFonts w:hint="eastAsia" w:ascii="仿宋_GB2312" w:hAnsi="仿宋" w:eastAsia="仿宋_GB2312"/>
                <w:kern w:val="28"/>
                <w:szCs w:val="21"/>
              </w:rPr>
              <w:t>，漏报其报价将被拒绝</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4</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szCs w:val="21"/>
              </w:rPr>
              <w:t>磋商保证金</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szCs w:val="21"/>
              </w:rPr>
              <w:t>是否提交磋商保证金的</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5</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报价有效期</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rPr>
              <w:t>是否满足磋商文件要求</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6</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服务期限</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rPr>
              <w:t>是否满足磋商文件要求</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7</w:t>
            </w:r>
          </w:p>
        </w:tc>
        <w:tc>
          <w:tcPr>
            <w:tcW w:w="208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rPr>
            </w:pPr>
            <w:r>
              <w:rPr>
                <w:rFonts w:hint="eastAsia" w:ascii="仿宋_GB2312" w:hAnsi="仿宋" w:eastAsia="仿宋_GB2312"/>
              </w:rPr>
              <w:t>其它</w:t>
            </w:r>
          </w:p>
        </w:tc>
        <w:tc>
          <w:tcPr>
            <w:tcW w:w="525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rPr>
              <w:t>无其它无效报价认定条件</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1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仿宋_GB2312" w:hAnsi="仿宋" w:eastAsia="仿宋_GB2312" w:cs="宋体"/>
              </w:rPr>
            </w:pPr>
            <w:r>
              <w:rPr>
                <w:rFonts w:hint="eastAsia" w:ascii="仿宋_GB2312" w:hAnsi="仿宋" w:eastAsia="仿宋_GB2312" w:cs="宋体"/>
                <w:b/>
              </w:rPr>
              <w:t>结         论</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仿宋_GB2312" w:hAnsi="仿宋" w:eastAsia="仿宋_GB2312" w:cs="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928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rPr>
            </w:pPr>
            <w:r>
              <w:rPr>
                <w:rFonts w:hint="eastAsia" w:ascii="仿宋_GB2312" w:hAnsi="仿宋" w:eastAsia="仿宋_GB2312" w:cs="宋体"/>
              </w:rPr>
              <w:t>磋商小组：</w:t>
            </w:r>
          </w:p>
          <w:p>
            <w:pPr>
              <w:snapToGrid w:val="0"/>
              <w:spacing w:line="240" w:lineRule="auto"/>
              <w:jc w:val="center"/>
              <w:rPr>
                <w:rFonts w:ascii="仿宋_GB2312" w:hAnsi="仿宋" w:eastAsia="仿宋_GB2312" w:cs="宋体"/>
              </w:rPr>
            </w:pPr>
          </w:p>
          <w:p>
            <w:pPr>
              <w:snapToGrid w:val="0"/>
              <w:spacing w:line="240" w:lineRule="auto"/>
              <w:jc w:val="right"/>
              <w:rPr>
                <w:rFonts w:ascii="仿宋_GB2312" w:hAnsi="仿宋" w:eastAsia="仿宋_GB2312" w:cs="宋体"/>
                <w:b/>
              </w:rPr>
            </w:pPr>
            <w:r>
              <w:rPr>
                <w:rFonts w:hint="eastAsia" w:ascii="仿宋_GB2312" w:hAnsi="仿宋" w:eastAsia="仿宋_GB2312" w:cs="宋体"/>
              </w:rPr>
              <w:t>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928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宋体"/>
                <w:bCs/>
              </w:rPr>
            </w:pPr>
            <w:r>
              <w:rPr>
                <w:rFonts w:hint="eastAsia" w:ascii="仿宋_GB2312" w:hAnsi="仿宋" w:eastAsia="仿宋_GB2312" w:cs="宋体"/>
                <w:b/>
              </w:rPr>
              <w:t xml:space="preserve">注: </w:t>
            </w:r>
            <w:r>
              <w:rPr>
                <w:rFonts w:hint="eastAsia" w:ascii="仿宋_GB2312" w:hAnsi="仿宋" w:eastAsia="仿宋_GB2312" w:cs="宋体"/>
                <w:bCs/>
              </w:rPr>
              <w:t>1、表中只需填写“√/通过”或“×/不通过”。</w:t>
            </w:r>
          </w:p>
          <w:p>
            <w:pPr>
              <w:snapToGrid w:val="0"/>
              <w:spacing w:line="240" w:lineRule="auto"/>
              <w:ind w:firstLine="480" w:firstLineChars="200"/>
              <w:rPr>
                <w:rFonts w:ascii="仿宋_GB2312" w:hAnsi="仿宋" w:eastAsia="仿宋_GB2312" w:cs="宋体"/>
                <w:bCs/>
              </w:rPr>
            </w:pPr>
            <w:r>
              <w:rPr>
                <w:rFonts w:hint="eastAsia" w:ascii="仿宋_GB2312" w:hAnsi="仿宋" w:eastAsia="仿宋_GB2312" w:cs="宋体"/>
                <w:bCs/>
              </w:rPr>
              <w:t>2、在结论中按“一项否决”的原则，只有全部是√/通过的，填写“合格”；只要其中有一项是×/不通过的，填写“不合格”。</w:t>
            </w:r>
          </w:p>
          <w:p>
            <w:pPr>
              <w:snapToGrid w:val="0"/>
              <w:spacing w:line="240" w:lineRule="auto"/>
              <w:ind w:firstLine="480" w:firstLineChars="200"/>
              <w:rPr>
                <w:rFonts w:ascii="仿宋_GB2312" w:hAnsi="仿宋" w:eastAsia="仿宋_GB2312" w:cs="宋体"/>
                <w:b/>
              </w:rPr>
            </w:pPr>
            <w:r>
              <w:rPr>
                <w:rFonts w:hint="eastAsia" w:ascii="仿宋_GB2312" w:hAnsi="仿宋" w:eastAsia="仿宋_GB2312" w:cs="宋体"/>
                <w:bCs/>
              </w:rPr>
              <w:t>3、结论是合格的，才能进入下一轮；不合格的被淘汰。</w:t>
            </w:r>
          </w:p>
        </w:tc>
      </w:tr>
    </w:tbl>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（二）无效磋商的认定：响应文件出现但不限于下列情况的将被认定为无效磋商。</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（1）未提交磋商保证金的；</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（2）响应文件未按磋商文件要求签署、盖章、装订的；</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（3）不具备磋商文件中规定的资格要求的；</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（4）报价超过磋商文件中规定的预算金额或者最高限价的；</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（5）响应文件含有采购人不能接受的附加条件的；</w:t>
      </w:r>
    </w:p>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（6）法律、法规和磋商文件规定的其他无效情形。</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（三）判断响应文件的响应与否只根据响应文件本身，而不寻求外部证据。</w:t>
      </w:r>
    </w:p>
    <w:p>
      <w:pPr>
        <w:adjustRightInd w:val="0"/>
        <w:snapToGrid w:val="0"/>
        <w:ind w:firstLine="560" w:firstLineChars="200"/>
        <w:rPr>
          <w:rFonts w:ascii="仿宋_GB2312" w:hAnsi="仿宋" w:eastAsia="仿宋_GB2312" w:cs="宋体"/>
          <w:snapToGrid w:val="0"/>
          <w:kern w:val="0"/>
          <w:sz w:val="28"/>
          <w:szCs w:val="28"/>
        </w:rPr>
      </w:pPr>
      <w:r>
        <w:rPr>
          <w:rFonts w:hint="eastAsia" w:ascii="仿宋_GB2312" w:hAnsi="仿宋" w:eastAsia="仿宋_GB2312" w:cs="宋体"/>
          <w:sz w:val="28"/>
          <w:szCs w:val="28"/>
        </w:rPr>
        <w:t>（四）提交最后报价的供应商</w:t>
      </w:r>
      <w:r>
        <w:rPr>
          <w:rFonts w:hint="eastAsia" w:ascii="仿宋_GB2312" w:hAnsi="仿宋" w:eastAsia="仿宋_GB2312" w:cs="宋体"/>
          <w:snapToGrid w:val="0"/>
          <w:kern w:val="0"/>
          <w:sz w:val="28"/>
          <w:szCs w:val="28"/>
        </w:rPr>
        <w:t>必须不少于3家，否则磋商失败。</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三、技术、商务和价格评审</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napToGrid w:val="0"/>
          <w:kern w:val="0"/>
          <w:sz w:val="28"/>
          <w:szCs w:val="28"/>
        </w:rPr>
        <w:t>（一）磋商小组所有成员应当集中与单一供应商分别进行磋商。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（二）磋商小组邀请通过资格符合性审查的供应商在规定的时间内进行最后报价，提交最后报价后，磋商小组对通过资格符合性审查的供应商进行技术、商务和价格的评审。</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（三）技术、商务评分：磋商小组就供应商对综合评分法评标信息中各项要求的响应程度等因素进行打分；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四）磋商小组认为供应商的报价明显低于其他通过资格符合性审查供应商的报价，有可能影响产品质量或者不能诚信履约的，将要求其在评审现场接到通知后在规定时间内提供书面说明，必要时提交相关证明材料。供应商不能证明其报价合理性的，磋商小组会将其作为无效响应处理。</w:t>
      </w:r>
    </w:p>
    <w:p>
      <w:pPr>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五）磋商小组各评委的技术、商务评分结果，磋商小组评的算术平均值即为该响应文件的技术、商务评分，技术、商务评分与价格评分相加即得综合得分。综合得分最高的供应商为第一成交候选供应商，综合得分第二高的供应商为第二成交候选供应商，依此类推。综合得分相同的，按响应报价由低到高顺序排列。综合得分且响应报价相同的，按技术指标优劣顺序排列。</w:t>
      </w:r>
    </w:p>
    <w:p>
      <w:pPr>
        <w:pStyle w:val="23"/>
        <w:ind w:firstLine="280"/>
        <w:rPr>
          <w:rFonts w:ascii="仿宋_GB2312" w:hAnsi="仿宋" w:eastAsia="仿宋_GB2312" w:cs="宋体"/>
          <w:sz w:val="28"/>
          <w:szCs w:val="28"/>
        </w:rPr>
      </w:pPr>
    </w:p>
    <w:p>
      <w:pPr>
        <w:pStyle w:val="23"/>
        <w:ind w:firstLine="280"/>
        <w:rPr>
          <w:rFonts w:ascii="仿宋_GB2312" w:hAnsi="仿宋" w:eastAsia="仿宋_GB2312" w:cs="宋体"/>
          <w:sz w:val="28"/>
          <w:szCs w:val="28"/>
        </w:rPr>
      </w:pPr>
    </w:p>
    <w:p>
      <w:pPr>
        <w:pStyle w:val="23"/>
        <w:spacing w:line="240" w:lineRule="auto"/>
        <w:ind w:firstLine="0" w:firstLineChars="0"/>
        <w:jc w:val="center"/>
        <w:rPr>
          <w:rFonts w:ascii="仿宋_GB2312" w:hAnsi="仿宋" w:eastAsia="仿宋_GB2312" w:cs="宋体"/>
          <w:b/>
          <w:snapToGrid w:val="0"/>
          <w:sz w:val="28"/>
          <w:szCs w:val="28"/>
        </w:rPr>
      </w:pPr>
      <w:r>
        <w:rPr>
          <w:rFonts w:hint="eastAsia" w:ascii="仿宋_GB2312" w:hAnsi="仿宋" w:eastAsia="仿宋_GB2312" w:cs="宋体"/>
          <w:b/>
          <w:snapToGrid w:val="0"/>
          <w:sz w:val="28"/>
          <w:szCs w:val="28"/>
        </w:rPr>
        <w:t>综合评分法评标信息</w:t>
      </w:r>
    </w:p>
    <w:tbl>
      <w:tblPr>
        <w:tblStyle w:val="25"/>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667"/>
        <w:gridCol w:w="1237"/>
        <w:gridCol w:w="630"/>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uto"/>
              <w:ind w:left="-120" w:leftChars="-50"/>
              <w:jc w:val="center"/>
              <w:rPr>
                <w:rFonts w:ascii="仿宋_GB2312" w:hAnsi="仿宋" w:eastAsia="仿宋_GB2312" w:cs="仿宋"/>
                <w:b/>
              </w:rPr>
            </w:pPr>
            <w:r>
              <w:rPr>
                <w:rFonts w:hint="eastAsia" w:ascii="仿宋_GB2312" w:hAnsi="仿宋" w:eastAsia="仿宋_GB2312" w:cs="仿宋"/>
                <w:b/>
              </w:rPr>
              <w:t>序号</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b/>
              </w:rPr>
            </w:pPr>
            <w:r>
              <w:rPr>
                <w:rFonts w:hint="eastAsia" w:ascii="仿宋_GB2312" w:hAnsi="仿宋" w:eastAsia="仿宋_GB2312" w:cs="仿宋"/>
                <w:b/>
              </w:rPr>
              <w:t>评分项</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仿宋_GB2312" w:hAnsi="仿宋" w:eastAsia="仿宋_GB2312" w:cs="仿宋"/>
                <w:b/>
              </w:rPr>
            </w:pPr>
            <w:r>
              <w:rPr>
                <w:rFonts w:hint="eastAsia" w:ascii="仿宋_GB2312" w:hAnsi="仿宋" w:eastAsia="仿宋_GB2312" w:cs="仿宋"/>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b/>
              </w:rPr>
            </w:pPr>
            <w:r>
              <w:rPr>
                <w:rFonts w:hint="eastAsia" w:ascii="仿宋_GB2312" w:hAnsi="仿宋" w:eastAsia="仿宋_GB2312" w:cs="仿宋"/>
                <w:b/>
              </w:rPr>
              <w:t>1</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b/>
              </w:rPr>
            </w:pPr>
            <w:r>
              <w:rPr>
                <w:rFonts w:hint="eastAsia" w:ascii="仿宋_GB2312" w:hAnsi="仿宋" w:eastAsia="仿宋_GB2312" w:cs="仿宋"/>
                <w:b/>
              </w:rPr>
              <w:t>价格</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仿宋_GB2312" w:hAnsi="仿宋" w:eastAsia="仿宋_GB2312" w:cs="仿宋"/>
                <w:b/>
              </w:rPr>
            </w:pPr>
            <w:r>
              <w:rPr>
                <w:rFonts w:hint="eastAsia" w:ascii="仿宋_GB2312" w:hAnsi="仿宋" w:eastAsia="仿宋_GB2312" w:cs="仿宋"/>
                <w: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b/>
              </w:rPr>
            </w:pPr>
            <w:r>
              <w:rPr>
                <w:rFonts w:hint="eastAsia" w:ascii="仿宋_GB2312" w:hAnsi="仿宋" w:eastAsia="仿宋_GB2312" w:cs="仿宋"/>
                <w:b/>
              </w:rPr>
              <w:t>2</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b/>
              </w:rPr>
            </w:pPr>
            <w:r>
              <w:rPr>
                <w:rFonts w:hint="eastAsia" w:ascii="仿宋_GB2312" w:hAnsi="仿宋" w:eastAsia="仿宋_GB2312" w:cs="仿宋"/>
                <w:b/>
              </w:rPr>
              <w:t>技术</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仿宋_GB2312" w:hAnsi="仿宋" w:eastAsia="仿宋_GB2312" w:cs="仿宋"/>
                <w:b/>
              </w:rPr>
            </w:pPr>
            <w:r>
              <w:rPr>
                <w:rFonts w:hint="eastAsia" w:ascii="仿宋_GB2312" w:hAnsi="仿宋" w:eastAsia="仿宋_GB2312" w:cs="仿宋"/>
                <w:b/>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670" w:type="dxa"/>
            <w:vMerge w:val="restart"/>
            <w:tcBorders>
              <w:top w:val="single" w:color="auto" w:sz="4" w:space="0"/>
              <w:left w:val="single" w:color="auto" w:sz="4" w:space="0"/>
              <w:right w:val="single" w:color="auto" w:sz="4" w:space="0"/>
            </w:tcBorders>
            <w:vAlign w:val="center"/>
          </w:tcPr>
          <w:p>
            <w:pPr>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ind w:left="-120" w:leftChars="-50"/>
              <w:jc w:val="center"/>
              <w:rPr>
                <w:rFonts w:ascii="仿宋_GB2312" w:hAnsi="仿宋" w:eastAsia="仿宋_GB2312" w:cs="仿宋"/>
                <w:b/>
              </w:rPr>
            </w:pPr>
            <w:r>
              <w:rPr>
                <w:rFonts w:hint="eastAsia" w:ascii="仿宋_GB2312" w:hAnsi="仿宋" w:eastAsia="仿宋_GB2312" w:cs="仿宋"/>
                <w:b/>
              </w:rPr>
              <w:t>行号</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ind w:left="-120" w:leftChars="-50"/>
              <w:jc w:val="center"/>
              <w:rPr>
                <w:rFonts w:ascii="仿宋_GB2312" w:hAnsi="仿宋" w:eastAsia="仿宋_GB2312" w:cs="仿宋"/>
                <w:b/>
              </w:rPr>
            </w:pPr>
            <w:r>
              <w:rPr>
                <w:rFonts w:hint="eastAsia" w:ascii="仿宋_GB2312" w:hAnsi="仿宋" w:eastAsia="仿宋_GB2312" w:cs="仿宋"/>
                <w:b/>
              </w:rPr>
              <w:t>内容</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ind w:left="-120" w:leftChars="-50"/>
              <w:jc w:val="center"/>
              <w:rPr>
                <w:rFonts w:ascii="仿宋_GB2312" w:hAnsi="仿宋" w:eastAsia="仿宋_GB2312" w:cs="仿宋"/>
                <w:b/>
              </w:rPr>
            </w:pPr>
            <w:r>
              <w:rPr>
                <w:rFonts w:hint="eastAsia" w:ascii="仿宋_GB2312" w:hAnsi="仿宋" w:eastAsia="仿宋_GB2312" w:cs="仿宋"/>
                <w:b/>
              </w:rPr>
              <w:t>分值</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仿宋_GB2312" w:hAnsi="仿宋" w:eastAsia="仿宋_GB2312" w:cs="仿宋"/>
                <w:b/>
              </w:rPr>
            </w:pPr>
            <w:r>
              <w:rPr>
                <w:rFonts w:hint="eastAsia" w:ascii="仿宋_GB2312" w:hAnsi="仿宋" w:eastAsia="仿宋_GB2312" w:cs="仿宋"/>
                <w:b/>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1</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实施方案</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15</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仿宋_GB2312" w:hAnsi="仿宋" w:eastAsia="仿宋_GB2312" w:cs="仿宋"/>
              </w:rPr>
            </w:pPr>
            <w:r>
              <w:rPr>
                <w:rFonts w:hint="eastAsia" w:ascii="仿宋_GB2312" w:hAnsi="仿宋" w:eastAsia="仿宋_GB2312" w:cs="仿宋"/>
              </w:rPr>
              <w:t>评审内容：</w:t>
            </w:r>
            <w:r>
              <w:rPr>
                <w:rFonts w:hint="eastAsia" w:ascii="仿宋_GB2312" w:hAnsi="仿宋" w:eastAsia="仿宋_GB2312" w:cs="仿宋"/>
                <w:b/>
                <w:u w:val="single"/>
              </w:rPr>
              <w:t>投标文件中的项目背景、项目现状情况、主要工作内容、技术方法和技术路线等内容。</w:t>
            </w:r>
          </w:p>
          <w:p>
            <w:pPr>
              <w:snapToGrid w:val="0"/>
              <w:spacing w:line="340" w:lineRule="exact"/>
              <w:rPr>
                <w:rFonts w:ascii="仿宋_GB2312" w:hAnsi="仿宋" w:eastAsia="仿宋_GB2312" w:cs="仿宋"/>
              </w:rPr>
            </w:pPr>
            <w:r>
              <w:rPr>
                <w:rFonts w:hint="eastAsia" w:ascii="仿宋_GB2312" w:hAnsi="仿宋" w:eastAsia="仿宋_GB2312" w:cs="仿宋"/>
              </w:rPr>
              <w:t>优良中差评分标准：</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优评分标准：投标文件中提出的项目背景、现状、工作内容全面，完全符合项目需求，能够有效达到项目目的；提出的技术方法、技术路线科学合理，专业规范，具有很好的可行性。</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良评分标准：投标文件提出的项目背景、现状、工作内容较为全面，较好的符合项目需求，能够较好的达到项目目的；提出的技术方法、技术路线较为科学合理，比较专业规范，具有较好的可行性。</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中评分标准：投标文件提出的项目背景、现状、工作内容涉及项目的主要内容，基本符合项目需求，提出的技术方法、技术路线科学合理性一般，可行性一般。</w:t>
            </w:r>
          </w:p>
          <w:p>
            <w:pPr>
              <w:snapToGrid w:val="0"/>
              <w:spacing w:line="340" w:lineRule="exact"/>
              <w:rPr>
                <w:rFonts w:ascii="仿宋_GB2312" w:hAnsi="仿宋" w:eastAsia="仿宋_GB2312" w:cs="仿宋"/>
              </w:rPr>
            </w:pPr>
            <w:r>
              <w:rPr>
                <w:rFonts w:hint="eastAsia" w:ascii="仿宋_GB2312" w:hAnsi="仿宋" w:eastAsia="仿宋_GB2312" w:cs="仿宋"/>
                <w:u w:val="single"/>
              </w:rPr>
              <w:t>差评分标准：投标文件提出的项目背景、现状、工作内容不完整，不符合项目要求，实施后难以达到项目目的；提出的技术方法、技术路线科学合理性较差，可行性较差。</w:t>
            </w:r>
          </w:p>
          <w:p>
            <w:pPr>
              <w:snapToGrid w:val="0"/>
              <w:spacing w:line="340" w:lineRule="exact"/>
              <w:rPr>
                <w:rFonts w:ascii="仿宋_GB2312" w:hAnsi="仿宋" w:eastAsia="仿宋_GB2312" w:cs="仿宋"/>
              </w:rPr>
            </w:pPr>
          </w:p>
          <w:p>
            <w:pPr>
              <w:snapToGrid w:val="0"/>
              <w:spacing w:line="340" w:lineRule="exact"/>
              <w:rPr>
                <w:rFonts w:ascii="仿宋_GB2312" w:hAnsi="仿宋" w:eastAsia="仿宋_GB2312" w:cs="仿宋"/>
                <w:b/>
                <w:i/>
                <w:u w:val="single"/>
              </w:rPr>
            </w:pPr>
            <w:r>
              <w:rPr>
                <w:rFonts w:hint="eastAsia" w:ascii="仿宋_GB2312" w:hAnsi="仿宋" w:eastAsia="仿宋_GB2312" w:cs="仿宋"/>
              </w:rPr>
              <w:t>评价为优得10-15分；评价为良得5-9分；评价为中得1-4分；评价为差不得分。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2</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项目重点难点分析、应对措施及相关的合理化建议</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10</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ascii="仿宋_GB2312" w:hAnsi="仿宋" w:eastAsia="仿宋_GB2312" w:cs="仿宋"/>
                <w:b/>
                <w:u w:val="single"/>
              </w:rPr>
            </w:pPr>
            <w:r>
              <w:rPr>
                <w:rFonts w:hint="eastAsia" w:ascii="仿宋_GB2312" w:hAnsi="仿宋" w:eastAsia="仿宋_GB2312" w:cs="仿宋"/>
              </w:rPr>
              <w:t>评审内容：</w:t>
            </w:r>
            <w:r>
              <w:rPr>
                <w:rFonts w:hint="eastAsia" w:ascii="仿宋_GB2312" w:hAnsi="仿宋" w:eastAsia="仿宋_GB2312" w:cs="仿宋"/>
                <w:b/>
                <w:u w:val="single"/>
              </w:rPr>
              <w:t>投标文件对项目重点难点分析、应对措施及相关的合理化建议</w:t>
            </w:r>
          </w:p>
          <w:p>
            <w:pPr>
              <w:snapToGrid w:val="0"/>
              <w:spacing w:line="340" w:lineRule="exact"/>
              <w:rPr>
                <w:rFonts w:ascii="仿宋_GB2312" w:hAnsi="仿宋" w:eastAsia="仿宋_GB2312" w:cs="仿宋"/>
              </w:rPr>
            </w:pPr>
            <w:r>
              <w:rPr>
                <w:rFonts w:hint="eastAsia" w:ascii="仿宋_GB2312" w:hAnsi="仿宋" w:eastAsia="仿宋_GB2312" w:cs="仿宋"/>
              </w:rPr>
              <w:t>优良中差评分标准：</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优评分标准：投标文件紧密围绕项目的实际情况进行重点难点分析，分析系统、深入；提出的应对措施以及合理化建议针对性强，可行性高。</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良评分标准：投标文件围绕项目的实际情况进行重点难点分析，分析较为系统、深入；提出的应对措施以及合理化建议具有较强的针对性和较高的可行性。</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中评分标准：投标文件围绕项目的实际情况进行重点难点分析，分析水平一般；提出的应对措施以及合理化建议针对性和可行性一般。</w:t>
            </w:r>
          </w:p>
          <w:p>
            <w:pPr>
              <w:snapToGrid w:val="0"/>
              <w:spacing w:line="340" w:lineRule="exact"/>
              <w:rPr>
                <w:rFonts w:ascii="仿宋_GB2312" w:hAnsi="仿宋" w:eastAsia="仿宋_GB2312" w:cs="仿宋"/>
                <w:u w:val="single"/>
              </w:rPr>
            </w:pPr>
            <w:r>
              <w:rPr>
                <w:rFonts w:hint="eastAsia" w:ascii="仿宋_GB2312" w:hAnsi="仿宋" w:eastAsia="仿宋_GB2312" w:cs="仿宋"/>
                <w:u w:val="single"/>
              </w:rPr>
              <w:t>差评分标准：投标文件围绕项目的实际情况进行重点难点分析，分析不系统；未能提出具有针对性和可行性的应对措施以及合理化建议。</w:t>
            </w:r>
          </w:p>
          <w:p>
            <w:pPr>
              <w:snapToGrid w:val="0"/>
              <w:spacing w:line="340" w:lineRule="exact"/>
              <w:rPr>
                <w:rFonts w:ascii="仿宋_GB2312" w:hAnsi="仿宋" w:eastAsia="仿宋_GB2312" w:cs="仿宋"/>
              </w:rPr>
            </w:pPr>
          </w:p>
          <w:p>
            <w:pPr>
              <w:snapToGrid w:val="0"/>
              <w:spacing w:line="340" w:lineRule="exact"/>
              <w:rPr>
                <w:rFonts w:ascii="仿宋_GB2312" w:hAnsi="仿宋" w:eastAsia="仿宋_GB2312" w:cs="仿宋"/>
              </w:rPr>
            </w:pPr>
            <w:r>
              <w:rPr>
                <w:rFonts w:hint="eastAsia" w:ascii="仿宋_GB2312" w:hAnsi="仿宋" w:eastAsia="仿宋_GB2312" w:cs="仿宋"/>
              </w:rPr>
              <w:t>评价为优得7-10分；评价为良得4-6分；评价为中得1-3分；评价为差不得分。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0" w:type="dxa"/>
            <w:vMerge w:val="continue"/>
            <w:tcBorders>
              <w:left w:val="single" w:color="auto" w:sz="4" w:space="0"/>
              <w:right w:val="single" w:color="auto" w:sz="4" w:space="0"/>
            </w:tcBorders>
            <w:vAlign w:val="center"/>
          </w:tcPr>
          <w:p>
            <w:pPr>
              <w:widowControl/>
              <w:adjustRightInd w:val="0"/>
              <w:snapToGrid w:val="0"/>
              <w:spacing w:line="304" w:lineRule="exact"/>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3</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质量（完成时间、安全、环保）保障措施及方案</w:t>
            </w:r>
          </w:p>
        </w:tc>
        <w:tc>
          <w:tcPr>
            <w:tcW w:w="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10</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ascii="仿宋_GB2312" w:hAnsi="仿宋" w:eastAsia="仿宋_GB2312" w:cs="仿宋"/>
                <w:b/>
                <w:i/>
                <w:u w:val="single"/>
              </w:rPr>
            </w:pPr>
            <w:r>
              <w:rPr>
                <w:rFonts w:hint="eastAsia" w:ascii="仿宋_GB2312" w:hAnsi="仿宋" w:eastAsia="仿宋_GB2312" w:cs="仿宋"/>
              </w:rPr>
              <w:t>评审内容：</w:t>
            </w:r>
            <w:r>
              <w:rPr>
                <w:rFonts w:hint="eastAsia" w:ascii="仿宋_GB2312" w:hAnsi="仿宋" w:eastAsia="仿宋_GB2312" w:cs="仿宋"/>
                <w:b/>
                <w:iCs/>
                <w:u w:val="single"/>
              </w:rPr>
              <w:t>投标文件中的质量保障措施及方案。</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优良中差评分标准：</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优评分标准：质量保障措施及方案全面细致、科学合理，能够很好的保障项目质量。</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良评分标准：质量保障措施及方案较为全面、比较合理，能够较好的保障项目质量。</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中评分标准：质量保障措施及方案全面性、合理性一般，基本能够保障项目质量。</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差评分标准：质量保障措施及方案不够全面、合理，不能够保障项目质量。</w:t>
            </w:r>
          </w:p>
          <w:p>
            <w:pPr>
              <w:pStyle w:val="12"/>
              <w:adjustRightInd w:val="0"/>
              <w:snapToGrid w:val="0"/>
              <w:spacing w:line="304" w:lineRule="exact"/>
              <w:rPr>
                <w:rFonts w:ascii="仿宋_GB2312" w:hAnsi="仿宋" w:eastAsia="仿宋_GB2312" w:cs="仿宋"/>
                <w:sz w:val="24"/>
                <w:szCs w:val="24"/>
              </w:rPr>
            </w:pPr>
          </w:p>
          <w:p>
            <w:pPr>
              <w:adjustRightInd w:val="0"/>
              <w:snapToGrid w:val="0"/>
              <w:spacing w:line="304" w:lineRule="exact"/>
              <w:rPr>
                <w:rFonts w:ascii="仿宋_GB2312" w:hAnsi="仿宋" w:eastAsia="仿宋_GB2312" w:cs="仿宋"/>
              </w:rPr>
            </w:pPr>
            <w:r>
              <w:rPr>
                <w:rFonts w:hint="eastAsia" w:ascii="仿宋_GB2312" w:hAnsi="仿宋" w:eastAsia="仿宋_GB2312" w:cs="仿宋"/>
              </w:rPr>
              <w:t>评价为优得7-10分；评价为良得4-6分；评价为中得1-3分；评价为差不得分。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0" w:type="dxa"/>
            <w:vMerge w:val="continue"/>
            <w:tcBorders>
              <w:left w:val="single" w:color="auto" w:sz="4" w:space="0"/>
              <w:right w:val="single" w:color="auto" w:sz="4" w:space="0"/>
            </w:tcBorders>
            <w:vAlign w:val="center"/>
          </w:tcPr>
          <w:p>
            <w:pPr>
              <w:widowControl/>
              <w:adjustRightInd w:val="0"/>
              <w:snapToGrid w:val="0"/>
              <w:spacing w:line="304" w:lineRule="exact"/>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4</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项目完成（服务期满）后的服务承诺</w:t>
            </w:r>
          </w:p>
        </w:tc>
        <w:tc>
          <w:tcPr>
            <w:tcW w:w="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5</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ascii="仿宋_GB2312" w:hAnsi="仿宋" w:eastAsia="仿宋_GB2312" w:cs="仿宋"/>
                <w:b/>
                <w:i/>
                <w:u w:val="single"/>
              </w:rPr>
            </w:pPr>
            <w:r>
              <w:rPr>
                <w:rFonts w:hint="eastAsia" w:ascii="仿宋_GB2312" w:hAnsi="仿宋" w:eastAsia="仿宋_GB2312" w:cs="仿宋"/>
              </w:rPr>
              <w:t>评审内容：</w:t>
            </w:r>
            <w:r>
              <w:rPr>
                <w:rFonts w:hint="eastAsia" w:ascii="仿宋_GB2312" w:hAnsi="仿宋" w:eastAsia="仿宋_GB2312" w:cs="仿宋"/>
                <w:b/>
                <w:iCs/>
                <w:u w:val="single"/>
              </w:rPr>
              <w:t>投标文件中的项目完成后的服务承诺。</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优良中差评分标准：</w:t>
            </w:r>
          </w:p>
          <w:p>
            <w:pPr>
              <w:adjustRightInd w:val="0"/>
              <w:snapToGrid w:val="0"/>
              <w:spacing w:line="304" w:lineRule="exact"/>
              <w:rPr>
                <w:rFonts w:ascii="仿宋_GB2312" w:hAnsi="仿宋" w:eastAsia="仿宋_GB2312" w:cs="仿宋"/>
                <w:u w:val="single"/>
              </w:rPr>
            </w:pPr>
            <w:r>
              <w:rPr>
                <w:rFonts w:hint="eastAsia" w:ascii="仿宋_GB2312" w:hAnsi="仿宋" w:eastAsia="仿宋_GB2312" w:cs="仿宋"/>
                <w:u w:val="single"/>
              </w:rPr>
              <w:t>优评分标准：服务承诺安排科学、服务完善。</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良评分标准：服务承诺安排较为科学、服务较为完善。</w:t>
            </w:r>
          </w:p>
          <w:p>
            <w:pPr>
              <w:adjustRightInd w:val="0"/>
              <w:snapToGrid w:val="0"/>
              <w:spacing w:line="304" w:lineRule="exact"/>
              <w:rPr>
                <w:rFonts w:ascii="仿宋_GB2312" w:hAnsi="仿宋" w:eastAsia="仿宋_GB2312" w:cs="仿宋"/>
                <w:u w:val="single"/>
              </w:rPr>
            </w:pPr>
            <w:r>
              <w:rPr>
                <w:rFonts w:hint="eastAsia" w:ascii="仿宋_GB2312" w:hAnsi="仿宋" w:eastAsia="仿宋_GB2312" w:cs="仿宋"/>
                <w:u w:val="single"/>
              </w:rPr>
              <w:t>中评分标准：服务承诺安排科学性一般、服务基本完善。</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差评分标准：服务承诺安排不科学、服务不完善。</w:t>
            </w:r>
          </w:p>
          <w:p>
            <w:pPr>
              <w:adjustRightInd w:val="0"/>
              <w:snapToGrid w:val="0"/>
              <w:spacing w:line="304" w:lineRule="exact"/>
              <w:rPr>
                <w:rFonts w:ascii="仿宋_GB2312" w:hAnsi="仿宋" w:eastAsia="仿宋_GB2312" w:cs="仿宋"/>
              </w:rPr>
            </w:pPr>
          </w:p>
          <w:p>
            <w:pPr>
              <w:adjustRightInd w:val="0"/>
              <w:snapToGrid w:val="0"/>
              <w:spacing w:line="304" w:lineRule="exact"/>
              <w:rPr>
                <w:rFonts w:ascii="仿宋_GB2312" w:hAnsi="仿宋" w:eastAsia="仿宋_GB2312" w:cs="仿宋"/>
                <w:b/>
                <w:i/>
                <w:u w:val="single"/>
              </w:rPr>
            </w:pPr>
            <w:r>
              <w:rPr>
                <w:rFonts w:hint="eastAsia" w:ascii="仿宋_GB2312" w:hAnsi="仿宋" w:eastAsia="仿宋_GB2312" w:cs="仿宋"/>
                <w:u w:val="single"/>
              </w:rPr>
              <w:t>服务承诺的合理性、针对性。</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评价为优得4-5分；评价为良得2-3分；评价为中得1分；评价为差不得分。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0" w:type="dxa"/>
            <w:vMerge w:val="continue"/>
            <w:tcBorders>
              <w:left w:val="single" w:color="auto" w:sz="4" w:space="0"/>
              <w:right w:val="single" w:color="auto" w:sz="4" w:space="0"/>
            </w:tcBorders>
            <w:vAlign w:val="center"/>
          </w:tcPr>
          <w:p>
            <w:pPr>
              <w:widowControl/>
              <w:adjustRightInd w:val="0"/>
              <w:snapToGrid w:val="0"/>
              <w:spacing w:line="304" w:lineRule="exact"/>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5</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违约承诺</w:t>
            </w:r>
          </w:p>
        </w:tc>
        <w:tc>
          <w:tcPr>
            <w:tcW w:w="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5</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ascii="仿宋_GB2312" w:hAnsi="仿宋" w:eastAsia="仿宋_GB2312" w:cs="仿宋"/>
                <w:b/>
                <w:i/>
                <w:u w:val="single"/>
              </w:rPr>
            </w:pPr>
            <w:r>
              <w:rPr>
                <w:rFonts w:hint="eastAsia" w:ascii="仿宋_GB2312" w:hAnsi="仿宋" w:eastAsia="仿宋_GB2312" w:cs="仿宋"/>
              </w:rPr>
              <w:t>评审内容：</w:t>
            </w:r>
            <w:r>
              <w:rPr>
                <w:rFonts w:hint="eastAsia" w:ascii="仿宋_GB2312" w:hAnsi="仿宋" w:eastAsia="仿宋_GB2312" w:cs="仿宋"/>
                <w:b/>
                <w:iCs/>
                <w:u w:val="single"/>
              </w:rPr>
              <w:t>投标文件中的违约承诺。</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优良中差评分标准：</w:t>
            </w:r>
          </w:p>
          <w:p>
            <w:pPr>
              <w:adjustRightInd w:val="0"/>
              <w:snapToGrid w:val="0"/>
              <w:spacing w:line="304" w:lineRule="exact"/>
              <w:rPr>
                <w:rFonts w:ascii="仿宋_GB2312" w:hAnsi="仿宋" w:eastAsia="仿宋_GB2312" w:cs="仿宋"/>
                <w:u w:val="single"/>
              </w:rPr>
            </w:pPr>
            <w:r>
              <w:rPr>
                <w:rFonts w:hint="eastAsia" w:ascii="仿宋_GB2312" w:hAnsi="仿宋" w:eastAsia="仿宋_GB2312" w:cs="仿宋"/>
                <w:u w:val="single"/>
              </w:rPr>
              <w:t>优评分标准：违约承诺内容全面、具体。</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良评分标准：违约承诺较为全面、具体。</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中评分标准：违约承诺基本全面、具体。</w:t>
            </w:r>
          </w:p>
          <w:p>
            <w:pPr>
              <w:pStyle w:val="12"/>
              <w:adjustRightInd w:val="0"/>
              <w:snapToGrid w:val="0"/>
              <w:spacing w:line="304"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差评分标准：违约承诺不全面、具体。</w:t>
            </w:r>
          </w:p>
          <w:p>
            <w:pPr>
              <w:pStyle w:val="12"/>
              <w:adjustRightInd w:val="0"/>
              <w:snapToGrid w:val="0"/>
              <w:spacing w:line="304" w:lineRule="exact"/>
              <w:rPr>
                <w:rFonts w:ascii="仿宋_GB2312" w:hAnsi="仿宋" w:eastAsia="仿宋_GB2312" w:cs="仿宋"/>
                <w:sz w:val="24"/>
                <w:szCs w:val="24"/>
              </w:rPr>
            </w:pPr>
          </w:p>
          <w:p>
            <w:pPr>
              <w:adjustRightInd w:val="0"/>
              <w:snapToGrid w:val="0"/>
              <w:spacing w:line="304" w:lineRule="exact"/>
              <w:rPr>
                <w:rFonts w:ascii="仿宋_GB2312" w:hAnsi="仿宋" w:eastAsia="仿宋_GB2312" w:cs="仿宋"/>
              </w:rPr>
            </w:pPr>
            <w:r>
              <w:rPr>
                <w:rFonts w:hint="eastAsia" w:ascii="仿宋_GB2312" w:hAnsi="仿宋" w:eastAsia="仿宋_GB2312" w:cs="仿宋"/>
              </w:rPr>
              <w:t>评价为优得4-5分；评价为良得2-3分；评价为中得1分；评价为差不得分。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b/>
              </w:rPr>
            </w:pPr>
            <w:r>
              <w:rPr>
                <w:rFonts w:hint="eastAsia" w:ascii="仿宋_GB2312" w:hAnsi="仿宋" w:eastAsia="仿宋_GB2312" w:cs="仿宋"/>
                <w:b/>
              </w:rPr>
              <w:t>3</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b/>
              </w:rPr>
            </w:pPr>
            <w:r>
              <w:rPr>
                <w:rFonts w:hint="eastAsia" w:ascii="仿宋_GB2312" w:hAnsi="仿宋" w:eastAsia="仿宋_GB2312" w:cs="仿宋"/>
                <w:b/>
              </w:rPr>
              <w:t>综合实力</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b/>
              </w:rPr>
            </w:pPr>
            <w:r>
              <w:rPr>
                <w:rFonts w:hint="eastAsia" w:ascii="仿宋_GB2312" w:hAnsi="仿宋" w:eastAsia="仿宋_GB2312" w:cs="仿宋"/>
                <w:b/>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0" w:type="dxa"/>
            <w:vMerge w:val="restart"/>
            <w:tcBorders>
              <w:top w:val="single" w:color="auto" w:sz="4" w:space="0"/>
              <w:left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ind w:left="-120" w:leftChars="-50"/>
              <w:jc w:val="center"/>
              <w:rPr>
                <w:rFonts w:ascii="仿宋_GB2312" w:hAnsi="仿宋" w:eastAsia="仿宋_GB2312" w:cs="仿宋"/>
              </w:rPr>
            </w:pPr>
            <w:r>
              <w:rPr>
                <w:rFonts w:hint="eastAsia" w:ascii="仿宋_GB2312" w:hAnsi="仿宋" w:eastAsia="仿宋_GB2312" w:cs="仿宋"/>
              </w:rPr>
              <w:t>行号</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ind w:left="-120" w:leftChars="-50"/>
              <w:jc w:val="center"/>
              <w:rPr>
                <w:rFonts w:ascii="仿宋_GB2312" w:hAnsi="仿宋" w:eastAsia="仿宋_GB2312" w:cs="仿宋"/>
              </w:rPr>
            </w:pPr>
            <w:r>
              <w:rPr>
                <w:rFonts w:hint="eastAsia" w:ascii="仿宋_GB2312" w:hAnsi="仿宋" w:eastAsia="仿宋_GB2312" w:cs="仿宋"/>
              </w:rPr>
              <w:t>内容</w:t>
            </w:r>
          </w:p>
        </w:tc>
        <w:tc>
          <w:tcPr>
            <w:tcW w:w="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ind w:left="-120" w:leftChars="-50"/>
              <w:jc w:val="center"/>
              <w:rPr>
                <w:rFonts w:ascii="仿宋_GB2312" w:hAnsi="仿宋" w:eastAsia="仿宋_GB2312" w:cs="仿宋"/>
              </w:rPr>
            </w:pPr>
            <w:r>
              <w:rPr>
                <w:rFonts w:hint="eastAsia" w:ascii="仿宋_GB2312" w:hAnsi="仿宋" w:eastAsia="仿宋_GB2312" w:cs="仿宋"/>
              </w:rPr>
              <w:t>分值</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70" w:type="dxa"/>
            <w:vMerge w:val="continue"/>
            <w:tcBorders>
              <w:left w:val="single" w:color="auto" w:sz="4" w:space="0"/>
              <w:right w:val="single" w:color="auto" w:sz="4" w:space="0"/>
            </w:tcBorders>
            <w:vAlign w:val="center"/>
          </w:tcPr>
          <w:p>
            <w:pPr>
              <w:widowControl/>
              <w:adjustRightInd w:val="0"/>
              <w:snapToGrid w:val="0"/>
              <w:spacing w:line="304" w:lineRule="exact"/>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投标人通过相关认证情况</w:t>
            </w:r>
          </w:p>
        </w:tc>
        <w:tc>
          <w:tcPr>
            <w:tcW w:w="6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ascii="仿宋_GB2312" w:hAnsi="仿宋" w:eastAsia="仿宋_GB2312" w:cs="仿宋"/>
              </w:rPr>
            </w:pPr>
            <w:r>
              <w:rPr>
                <w:rFonts w:hint="eastAsia" w:ascii="仿宋_GB2312" w:hAnsi="仿宋" w:eastAsia="仿宋_GB2312" w:cs="仿宋"/>
              </w:rPr>
              <w:t>5</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ascii="仿宋_GB2312" w:hAnsi="仿宋" w:eastAsia="仿宋_GB2312" w:cs="仿宋"/>
                <w:b/>
              </w:rPr>
            </w:pPr>
            <w:r>
              <w:rPr>
                <w:rFonts w:hint="eastAsia" w:ascii="仿宋_GB2312" w:hAnsi="仿宋" w:eastAsia="仿宋_GB2312" w:cs="仿宋"/>
                <w:b/>
              </w:rPr>
              <w:t>（一）评分内容：</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1.</w:t>
            </w:r>
            <w:r>
              <w:rPr>
                <w:rFonts w:hint="eastAsia" w:ascii="仿宋_GB2312" w:hAnsi="仿宋" w:eastAsia="仿宋_GB2312" w:cs="仿宋"/>
                <w:u w:val="single"/>
              </w:rPr>
              <w:t>投标人具有“检验检测机构资质认定证书”（CMA）的，得3分；</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2.</w:t>
            </w:r>
            <w:r>
              <w:rPr>
                <w:rFonts w:hint="eastAsia" w:ascii="仿宋_GB2312" w:hAnsi="仿宋" w:eastAsia="仿宋_GB2312" w:cs="仿宋"/>
                <w:u w:val="single"/>
              </w:rPr>
              <w:t>投标人具有“中国合格评定国家认可委员会实验室认可证书”（CNAS）的得1分</w:t>
            </w:r>
            <w:r>
              <w:rPr>
                <w:rFonts w:hint="eastAsia" w:ascii="仿宋_GB2312" w:hAnsi="仿宋" w:eastAsia="仿宋_GB2312" w:cs="仿宋"/>
              </w:rPr>
              <w:t>；</w:t>
            </w:r>
          </w:p>
          <w:p>
            <w:pPr>
              <w:pStyle w:val="12"/>
              <w:adjustRightInd w:val="0"/>
              <w:snapToGrid w:val="0"/>
              <w:spacing w:line="304" w:lineRule="exact"/>
              <w:rPr>
                <w:rFonts w:ascii="仿宋_GB2312" w:hAnsi="仿宋" w:eastAsia="仿宋_GB2312" w:cs="仿宋"/>
                <w:sz w:val="24"/>
                <w:szCs w:val="24"/>
              </w:rPr>
            </w:pPr>
            <w:r>
              <w:rPr>
                <w:rFonts w:hint="eastAsia" w:ascii="仿宋_GB2312" w:hAnsi="仿宋" w:eastAsia="仿宋_GB2312" w:cs="仿宋"/>
                <w:sz w:val="24"/>
                <w:szCs w:val="24"/>
              </w:rPr>
              <w:t>3.</w:t>
            </w:r>
            <w:r>
              <w:rPr>
                <w:rFonts w:hint="eastAsia" w:ascii="仿宋_GB2312" w:hAnsi="仿宋" w:eastAsia="仿宋_GB2312" w:cs="仿宋"/>
                <w:sz w:val="24"/>
                <w:szCs w:val="24"/>
                <w:u w:val="single"/>
              </w:rPr>
              <w:t>投标人具有省级（或以上）相关重点实验室的，得1分</w:t>
            </w:r>
            <w:r>
              <w:rPr>
                <w:rFonts w:hint="eastAsia" w:ascii="仿宋_GB2312" w:hAnsi="仿宋" w:eastAsia="仿宋_GB2312" w:cs="仿宋"/>
                <w:sz w:val="24"/>
                <w:szCs w:val="24"/>
              </w:rPr>
              <w:t>；</w:t>
            </w:r>
          </w:p>
          <w:p>
            <w:pPr>
              <w:adjustRightInd w:val="0"/>
              <w:snapToGrid w:val="0"/>
              <w:spacing w:line="304" w:lineRule="exact"/>
              <w:rPr>
                <w:rFonts w:ascii="仿宋_GB2312" w:hAnsi="仿宋" w:eastAsia="仿宋_GB2312" w:cs="仿宋"/>
                <w:b/>
              </w:rPr>
            </w:pPr>
            <w:r>
              <w:rPr>
                <w:rFonts w:hint="eastAsia" w:ascii="仿宋_GB2312" w:hAnsi="仿宋" w:eastAsia="仿宋_GB2312" w:cs="仿宋"/>
                <w:b/>
              </w:rPr>
              <w:t>（二）评分依据：</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1.要求提供有效的认证证书作为得分依据。</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2.以上资料均要求提供扫描件（或官方网站截图），原件备查。评分中出现无证明资料或专家无法凭所提供资料判断是否得分的情况，一律作不得分处理。</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3.投标人为联合体投标的，其中一方具备即可得分。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2</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投标人同类项目业绩情况</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8</w:t>
            </w:r>
          </w:p>
        </w:tc>
        <w:tc>
          <w:tcPr>
            <w:tcW w:w="7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ascii="仿宋_GB2312" w:hAnsi="仿宋" w:eastAsia="仿宋_GB2312" w:cs="仿宋"/>
                <w:b/>
              </w:rPr>
            </w:pPr>
            <w:r>
              <w:rPr>
                <w:rFonts w:hint="eastAsia" w:ascii="仿宋_GB2312" w:hAnsi="仿宋" w:eastAsia="仿宋_GB2312" w:cs="仿宋"/>
                <w:b/>
              </w:rPr>
              <w:t>（一）评分内容：</w:t>
            </w:r>
          </w:p>
          <w:p>
            <w:pPr>
              <w:adjustRightInd w:val="0"/>
              <w:snapToGrid w:val="0"/>
              <w:spacing w:line="304" w:lineRule="exact"/>
              <w:rPr>
                <w:rFonts w:ascii="仿宋_GB2312" w:hAnsi="仿宋" w:eastAsia="仿宋_GB2312" w:cs="仿宋"/>
                <w:u w:val="single"/>
              </w:rPr>
            </w:pPr>
            <w:r>
              <w:rPr>
                <w:rFonts w:hint="eastAsia" w:ascii="仿宋_GB2312" w:hAnsi="仿宋" w:eastAsia="仿宋_GB2312" w:cs="仿宋"/>
              </w:rPr>
              <w:t>1.</w:t>
            </w:r>
            <w:r>
              <w:rPr>
                <w:rFonts w:hint="eastAsia" w:ascii="仿宋_GB2312" w:hAnsi="仿宋" w:eastAsia="仿宋_GB2312" w:cs="仿宋"/>
                <w:u w:val="single"/>
              </w:rPr>
              <w:t>投标人2015年至投标截止日（以签订合同时间为准）完成省级（或以上）环境行政主管部门审查的规划（或区域）环境影响报告书，每有一项得2分；</w:t>
            </w:r>
          </w:p>
          <w:p>
            <w:pPr>
              <w:adjustRightInd w:val="0"/>
              <w:snapToGrid w:val="0"/>
              <w:spacing w:line="304" w:lineRule="exact"/>
              <w:rPr>
                <w:rFonts w:ascii="仿宋_GB2312" w:hAnsi="仿宋" w:eastAsia="仿宋_GB2312" w:cs="仿宋"/>
                <w:u w:val="single"/>
              </w:rPr>
            </w:pPr>
            <w:r>
              <w:rPr>
                <w:rFonts w:hint="eastAsia" w:ascii="仿宋_GB2312" w:hAnsi="仿宋" w:eastAsia="仿宋_GB2312" w:cs="仿宋"/>
                <w:u w:val="single"/>
              </w:rPr>
              <w:t>2．投标人近3年（2018年1月1日至本项目开标之日止，以项目合同签订时间为准）承接过地市级及以上政府部门或事业单位的入海河流、海洋环境质量调查、海洋环境影响评价等评估类项目，每有一项得1分；</w:t>
            </w:r>
          </w:p>
          <w:p>
            <w:pPr>
              <w:adjustRightInd w:val="0"/>
              <w:snapToGrid w:val="0"/>
              <w:spacing w:line="304" w:lineRule="exact"/>
              <w:rPr>
                <w:rFonts w:ascii="仿宋_GB2312" w:hAnsi="仿宋" w:eastAsia="仿宋_GB2312" w:cs="仿宋"/>
                <w:u w:val="single"/>
              </w:rPr>
            </w:pPr>
            <w:r>
              <w:rPr>
                <w:rFonts w:hint="eastAsia" w:ascii="仿宋_GB2312" w:hAnsi="仿宋" w:eastAsia="仿宋_GB2312" w:cs="仿宋"/>
                <w:u w:val="single"/>
              </w:rPr>
              <w:t>3．证明材料：须提供证明业绩的合同、项目报告书关键页面，相关环境行政主管部门批复意见、审查意见（或其它确认手续）文件复印件加盖供应商公章。</w:t>
            </w:r>
          </w:p>
          <w:p>
            <w:pPr>
              <w:adjustRightInd w:val="0"/>
              <w:snapToGrid w:val="0"/>
              <w:spacing w:line="304" w:lineRule="exact"/>
              <w:rPr>
                <w:rFonts w:ascii="仿宋_GB2312" w:hAnsi="仿宋" w:eastAsia="仿宋_GB2312" w:cs="仿宋"/>
              </w:rPr>
            </w:pPr>
            <w:r>
              <w:rPr>
                <w:rFonts w:hint="eastAsia" w:ascii="仿宋_GB2312" w:hAnsi="仿宋" w:eastAsia="仿宋_GB2312" w:cs="仿宋"/>
                <w:u w:val="single"/>
              </w:rPr>
              <w:t>4．同类业绩总计满分8分，超过8分的以8分计。</w:t>
            </w:r>
          </w:p>
          <w:p>
            <w:pPr>
              <w:adjustRightInd w:val="0"/>
              <w:snapToGrid w:val="0"/>
              <w:spacing w:line="304" w:lineRule="exact"/>
              <w:rPr>
                <w:rFonts w:ascii="仿宋_GB2312" w:hAnsi="仿宋" w:eastAsia="仿宋_GB2312" w:cs="仿宋"/>
                <w:b/>
              </w:rPr>
            </w:pPr>
            <w:r>
              <w:rPr>
                <w:rFonts w:hint="eastAsia" w:ascii="仿宋_GB2312" w:hAnsi="仿宋" w:eastAsia="仿宋_GB2312" w:cs="仿宋"/>
                <w:b/>
              </w:rPr>
              <w:t>（二）评分依据：</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1.要求同时提供合同关键信息或项目履约（验收）合格评价证明文件作为得分依据，需加盖投标人公章。</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2.通过合同关键信息无法判断是否得分的，还须同时提供能证明得分的其它证明资料，如项目报告或合同甲方出具的证明文件等。</w:t>
            </w:r>
          </w:p>
          <w:p>
            <w:pPr>
              <w:adjustRightInd w:val="0"/>
              <w:snapToGrid w:val="0"/>
              <w:spacing w:line="304" w:lineRule="exact"/>
              <w:rPr>
                <w:rFonts w:ascii="仿宋_GB2312" w:hAnsi="仿宋" w:eastAsia="仿宋_GB2312" w:cs="仿宋"/>
              </w:rPr>
            </w:pPr>
            <w:r>
              <w:rPr>
                <w:rFonts w:hint="eastAsia" w:ascii="仿宋_GB2312" w:hAnsi="仿宋" w:eastAsia="仿宋_GB2312" w:cs="仿宋"/>
              </w:rPr>
              <w:t>3.投标人为联合体投标的，其中一方具备即可得分。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3</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投标人获奖情况</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6</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04" w:lineRule="exact"/>
              <w:rPr>
                <w:rFonts w:ascii="仿宋_GB2312" w:hAnsi="仿宋" w:eastAsia="仿宋_GB2312" w:cs="仿宋"/>
                <w:b/>
              </w:rPr>
            </w:pPr>
            <w:r>
              <w:rPr>
                <w:rFonts w:hint="eastAsia" w:ascii="仿宋_GB2312" w:hAnsi="仿宋" w:eastAsia="仿宋_GB2312" w:cs="仿宋"/>
                <w:b/>
              </w:rPr>
              <w:t>（一）评分内容：</w:t>
            </w:r>
          </w:p>
          <w:p>
            <w:pPr>
              <w:snapToGrid w:val="0"/>
              <w:spacing w:line="304" w:lineRule="exact"/>
              <w:rPr>
                <w:rFonts w:ascii="仿宋_GB2312" w:hAnsi="仿宋" w:eastAsia="仿宋_GB2312" w:cs="仿宋"/>
              </w:rPr>
            </w:pPr>
            <w:r>
              <w:rPr>
                <w:rFonts w:hint="eastAsia" w:ascii="仿宋_GB2312" w:hAnsi="仿宋" w:eastAsia="仿宋_GB2312" w:cs="仿宋"/>
                <w:u w:val="single"/>
              </w:rPr>
              <w:t>投标人近3年（2018年1月1日至本项目开标之日止）作为第一完成单位或独立完成单位获得过省部级奖项三等奖及以上的，每有一项得2分，满分6分</w:t>
            </w:r>
            <w:r>
              <w:rPr>
                <w:rFonts w:hint="eastAsia" w:ascii="仿宋_GB2312" w:hAnsi="仿宋" w:eastAsia="仿宋_GB2312" w:cs="仿宋"/>
              </w:rPr>
              <w:t>。</w:t>
            </w:r>
          </w:p>
          <w:p>
            <w:pPr>
              <w:snapToGrid w:val="0"/>
              <w:spacing w:line="304" w:lineRule="exact"/>
              <w:rPr>
                <w:rFonts w:ascii="仿宋_GB2312" w:hAnsi="仿宋" w:eastAsia="仿宋_GB2312" w:cs="仿宋"/>
                <w:b/>
              </w:rPr>
            </w:pPr>
            <w:r>
              <w:rPr>
                <w:rFonts w:hint="eastAsia" w:ascii="仿宋_GB2312" w:hAnsi="仿宋" w:eastAsia="仿宋_GB2312" w:cs="仿宋"/>
                <w:b/>
              </w:rPr>
              <w:t>（二）评分依据：</w:t>
            </w:r>
          </w:p>
          <w:p>
            <w:pPr>
              <w:snapToGrid w:val="0"/>
              <w:spacing w:line="304" w:lineRule="exact"/>
              <w:rPr>
                <w:rFonts w:ascii="仿宋_GB2312" w:hAnsi="仿宋" w:eastAsia="仿宋_GB2312" w:cs="仿宋"/>
              </w:rPr>
            </w:pPr>
            <w:r>
              <w:rPr>
                <w:rFonts w:hint="eastAsia" w:ascii="仿宋_GB2312" w:hAnsi="仿宋" w:eastAsia="仿宋_GB2312" w:cs="仿宋"/>
              </w:rPr>
              <w:t>1.要求提供奖项扫描件或获奖（荣誉）证书等证明材料作为得分依据。</w:t>
            </w:r>
          </w:p>
          <w:p>
            <w:pPr>
              <w:snapToGrid w:val="0"/>
              <w:spacing w:line="304" w:lineRule="exact"/>
              <w:rPr>
                <w:rFonts w:ascii="仿宋_GB2312" w:hAnsi="仿宋" w:eastAsia="仿宋_GB2312" w:cs="仿宋"/>
              </w:rPr>
            </w:pPr>
            <w:r>
              <w:rPr>
                <w:rFonts w:hint="eastAsia" w:ascii="仿宋_GB2312" w:hAnsi="仿宋" w:eastAsia="仿宋_GB2312" w:cs="仿宋"/>
              </w:rPr>
              <w:t>2.以上资料均要求提供扫描件（或官方网站截图），加盖投标人公章。评分中出现无证明资料或专家无法凭所提供资料判断是否得分的情况，一律作不得分处理。</w:t>
            </w:r>
          </w:p>
          <w:p>
            <w:pPr>
              <w:snapToGrid w:val="0"/>
              <w:spacing w:line="304" w:lineRule="exact"/>
              <w:rPr>
                <w:rFonts w:ascii="仿宋_GB2312" w:hAnsi="仿宋" w:eastAsia="仿宋_GB2312" w:cs="仿宋"/>
              </w:rPr>
            </w:pPr>
            <w:r>
              <w:rPr>
                <w:rFonts w:hint="eastAsia" w:ascii="仿宋_GB2312" w:hAnsi="仿宋" w:eastAsia="仿宋_GB2312" w:cs="仿宋"/>
              </w:rPr>
              <w:t>3.投标人为联合体投标的，其中一方具备即可得分。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拟安排的项目负责人情况（仅限一人）</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4</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304" w:lineRule="exact"/>
              <w:rPr>
                <w:rFonts w:ascii="仿宋_GB2312" w:hAnsi="仿宋" w:eastAsia="仿宋_GB2312" w:cs="仿宋"/>
                <w:b/>
              </w:rPr>
            </w:pPr>
            <w:r>
              <w:rPr>
                <w:rFonts w:hint="eastAsia" w:ascii="仿宋_GB2312" w:hAnsi="仿宋" w:eastAsia="仿宋_GB2312" w:cs="仿宋"/>
                <w:b/>
              </w:rPr>
              <w:t>（一）评分内容：</w:t>
            </w:r>
          </w:p>
          <w:p>
            <w:pPr>
              <w:snapToGrid w:val="0"/>
              <w:spacing w:line="304" w:lineRule="exact"/>
              <w:rPr>
                <w:rFonts w:ascii="仿宋_GB2312" w:hAnsi="仿宋" w:eastAsia="仿宋_GB2312" w:cs="仿宋"/>
                <w:u w:val="single"/>
              </w:rPr>
            </w:pPr>
            <w:r>
              <w:rPr>
                <w:rFonts w:hint="eastAsia" w:ascii="仿宋_GB2312" w:hAnsi="仿宋" w:eastAsia="仿宋_GB2312" w:cs="仿宋"/>
                <w:u w:val="single"/>
              </w:rPr>
              <w:t>拟安排的项目负责人具有环境类专业正高级技术职称的得4分；</w:t>
            </w:r>
          </w:p>
          <w:p>
            <w:pPr>
              <w:snapToGrid w:val="0"/>
              <w:spacing w:line="304" w:lineRule="exact"/>
              <w:rPr>
                <w:rFonts w:ascii="仿宋_GB2312" w:hAnsi="仿宋" w:eastAsia="仿宋_GB2312" w:cs="仿宋"/>
              </w:rPr>
            </w:pPr>
            <w:r>
              <w:rPr>
                <w:rFonts w:hint="eastAsia" w:ascii="仿宋_GB2312" w:hAnsi="仿宋" w:eastAsia="仿宋_GB2312" w:cs="仿宋"/>
              </w:rPr>
              <w:t>满分4分。</w:t>
            </w:r>
          </w:p>
          <w:p>
            <w:pPr>
              <w:snapToGrid w:val="0"/>
              <w:spacing w:line="304" w:lineRule="exact"/>
              <w:rPr>
                <w:rFonts w:ascii="仿宋_GB2312" w:hAnsi="仿宋" w:eastAsia="仿宋_GB2312" w:cs="仿宋"/>
                <w:b/>
              </w:rPr>
            </w:pPr>
            <w:r>
              <w:rPr>
                <w:rFonts w:hint="eastAsia" w:ascii="仿宋_GB2312" w:hAnsi="仿宋" w:eastAsia="仿宋_GB2312" w:cs="仿宋"/>
                <w:b/>
              </w:rPr>
              <w:t>（二）评分依据：</w:t>
            </w:r>
          </w:p>
          <w:p>
            <w:pPr>
              <w:snapToGrid w:val="0"/>
              <w:spacing w:line="304" w:lineRule="exact"/>
              <w:rPr>
                <w:rFonts w:ascii="仿宋_GB2312" w:hAnsi="仿宋" w:eastAsia="仿宋_GB2312" w:cs="仿宋"/>
              </w:rPr>
            </w:pPr>
            <w:r>
              <w:rPr>
                <w:rFonts w:hint="eastAsia" w:ascii="仿宋_GB2312" w:hAnsi="仿宋" w:eastAsia="仿宋_GB2312" w:cs="仿宋"/>
              </w:rPr>
              <w:t>1.</w:t>
            </w:r>
            <w:r>
              <w:rPr>
                <w:rFonts w:hint="eastAsia" w:ascii="仿宋_GB2312" w:hAnsi="仿宋" w:eastAsia="仿宋_GB2312" w:cs="仿宋"/>
                <w:u w:val="single"/>
              </w:rPr>
              <w:t xml:space="preserve"> 投标人需提供自有人员承诺函</w:t>
            </w:r>
            <w:r>
              <w:rPr>
                <w:rFonts w:hint="eastAsia" w:ascii="仿宋_GB2312" w:hAnsi="仿宋" w:eastAsia="仿宋_GB2312" w:cs="仿宋"/>
              </w:rPr>
              <w:t>作为得分依据。</w:t>
            </w:r>
          </w:p>
          <w:p>
            <w:pPr>
              <w:snapToGrid w:val="0"/>
              <w:spacing w:line="304" w:lineRule="exact"/>
              <w:rPr>
                <w:rFonts w:ascii="仿宋_GB2312" w:hAnsi="仿宋" w:eastAsia="仿宋_GB2312" w:cs="仿宋"/>
              </w:rPr>
            </w:pPr>
            <w:r>
              <w:rPr>
                <w:rFonts w:hint="eastAsia" w:ascii="仿宋_GB2312" w:hAnsi="仿宋" w:eastAsia="仿宋_GB2312" w:cs="仿宋"/>
              </w:rPr>
              <w:t>2.以上资料均要求提供扫描件（或官方网站截图），原件备查。评分中出现无证明资料或专家无法凭所提供资料判断是否得分的情况，一律作不得分处理。</w:t>
            </w:r>
          </w:p>
          <w:p>
            <w:pPr>
              <w:snapToGrid w:val="0"/>
              <w:spacing w:line="304" w:lineRule="exact"/>
              <w:rPr>
                <w:rFonts w:ascii="仿宋_GB2312" w:hAnsi="仿宋" w:eastAsia="仿宋_GB2312" w:cs="仿宋"/>
              </w:rPr>
            </w:pPr>
            <w:r>
              <w:rPr>
                <w:rFonts w:hint="eastAsia" w:ascii="仿宋_GB2312" w:hAnsi="仿宋" w:eastAsia="仿宋_GB2312" w:cs="仿宋"/>
              </w:rPr>
              <w:t>3.投标人为联合体投标的，其中一方具备即可得分。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5</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拟安排的项目主要团队成员（主要技术人员）情况（项目负责人除外）</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18</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仿宋"/>
                <w:b/>
              </w:rPr>
            </w:pPr>
            <w:r>
              <w:rPr>
                <w:rFonts w:hint="eastAsia" w:ascii="仿宋_GB2312" w:hAnsi="仿宋" w:eastAsia="仿宋_GB2312" w:cs="仿宋"/>
                <w:b/>
              </w:rPr>
              <w:t>（一）评分内容：</w:t>
            </w:r>
          </w:p>
          <w:p>
            <w:pPr>
              <w:pStyle w:val="12"/>
              <w:snapToGrid w:val="0"/>
              <w:spacing w:line="240" w:lineRule="auto"/>
              <w:rPr>
                <w:rFonts w:ascii="仿宋_GB2312" w:hAnsi="仿宋" w:eastAsia="仿宋_GB2312" w:cs="仿宋"/>
                <w:sz w:val="24"/>
                <w:szCs w:val="24"/>
              </w:rPr>
            </w:pPr>
            <w:r>
              <w:rPr>
                <w:rFonts w:hint="eastAsia" w:ascii="仿宋_GB2312" w:hAnsi="仿宋" w:eastAsia="仿宋_GB2312" w:cs="仿宋"/>
                <w:sz w:val="24"/>
                <w:szCs w:val="24"/>
              </w:rPr>
              <w:t>1.项目团队成员具有注册环评工程师资格证书的，每人得1分，本项满分10分。</w:t>
            </w:r>
          </w:p>
          <w:p>
            <w:pPr>
              <w:pStyle w:val="12"/>
              <w:snapToGrid w:val="0"/>
              <w:spacing w:line="240" w:lineRule="auto"/>
              <w:rPr>
                <w:rFonts w:ascii="仿宋_GB2312" w:hAnsi="仿宋" w:eastAsia="仿宋_GB2312" w:cs="仿宋"/>
                <w:sz w:val="24"/>
                <w:szCs w:val="24"/>
              </w:rPr>
            </w:pPr>
            <w:r>
              <w:rPr>
                <w:rFonts w:hint="eastAsia" w:ascii="仿宋_GB2312" w:hAnsi="仿宋" w:eastAsia="仿宋_GB2312" w:cs="仿宋"/>
                <w:sz w:val="24"/>
                <w:szCs w:val="24"/>
              </w:rPr>
              <w:t>2.项目团队成员具有环境类、海洋类、生物类专业正高级职称的，每人得2分，本项满分2分；</w:t>
            </w:r>
          </w:p>
          <w:p>
            <w:pPr>
              <w:pStyle w:val="12"/>
              <w:snapToGrid w:val="0"/>
              <w:spacing w:line="240" w:lineRule="auto"/>
              <w:rPr>
                <w:rFonts w:ascii="仿宋_GB2312" w:hAnsi="仿宋" w:eastAsia="仿宋_GB2312" w:cs="仿宋"/>
                <w:sz w:val="24"/>
                <w:szCs w:val="24"/>
              </w:rPr>
            </w:pPr>
            <w:r>
              <w:rPr>
                <w:rFonts w:hint="eastAsia" w:ascii="仿宋_GB2312" w:hAnsi="仿宋" w:eastAsia="仿宋_GB2312" w:cs="仿宋"/>
                <w:sz w:val="24"/>
                <w:szCs w:val="24"/>
              </w:rPr>
              <w:t>3.项目团队成员具有环境类、海洋类、生物类专业副高级职称的，每人得1分，本项满分6分；</w:t>
            </w:r>
          </w:p>
          <w:p>
            <w:pPr>
              <w:snapToGrid w:val="0"/>
              <w:spacing w:line="240" w:lineRule="auto"/>
              <w:rPr>
                <w:rFonts w:ascii="仿宋_GB2312" w:hAnsi="仿宋" w:eastAsia="仿宋_GB2312" w:cs="仿宋"/>
                <w:b/>
              </w:rPr>
            </w:pPr>
            <w:r>
              <w:rPr>
                <w:rFonts w:hint="eastAsia" w:ascii="仿宋_GB2312" w:hAnsi="仿宋" w:eastAsia="仿宋_GB2312" w:cs="仿宋"/>
                <w:b/>
              </w:rPr>
              <w:t>（二）评分依据：</w:t>
            </w:r>
          </w:p>
          <w:p>
            <w:pPr>
              <w:snapToGrid w:val="0"/>
              <w:spacing w:line="240" w:lineRule="auto"/>
              <w:rPr>
                <w:rFonts w:ascii="仿宋_GB2312" w:hAnsi="仿宋" w:eastAsia="仿宋_GB2312" w:cs="仿宋"/>
              </w:rPr>
            </w:pPr>
            <w:r>
              <w:rPr>
                <w:rFonts w:hint="eastAsia" w:ascii="仿宋_GB2312" w:hAnsi="仿宋" w:eastAsia="仿宋_GB2312" w:cs="仿宋"/>
              </w:rPr>
              <w:t>1.</w:t>
            </w:r>
            <w:r>
              <w:rPr>
                <w:rFonts w:hint="eastAsia" w:ascii="仿宋_GB2312" w:hAnsi="仿宋" w:eastAsia="仿宋_GB2312" w:cs="仿宋"/>
                <w:u w:val="single"/>
              </w:rPr>
              <w:t xml:space="preserve"> 投标人需提供自有人员承诺函，出具在职证明文件并加盖公章</w:t>
            </w:r>
            <w:r>
              <w:rPr>
                <w:rFonts w:hint="eastAsia" w:ascii="仿宋_GB2312" w:hAnsi="仿宋" w:eastAsia="仿宋_GB2312" w:cs="仿宋"/>
              </w:rPr>
              <w:t>。</w:t>
            </w:r>
          </w:p>
          <w:p>
            <w:pPr>
              <w:snapToGrid w:val="0"/>
              <w:spacing w:line="240" w:lineRule="auto"/>
              <w:rPr>
                <w:rFonts w:ascii="仿宋_GB2312" w:hAnsi="仿宋" w:eastAsia="仿宋_GB2312" w:cs="仿宋"/>
              </w:rPr>
            </w:pPr>
            <w:r>
              <w:rPr>
                <w:rFonts w:hint="eastAsia" w:ascii="仿宋_GB2312" w:hAnsi="仿宋" w:eastAsia="仿宋_GB2312" w:cs="仿宋"/>
              </w:rPr>
              <w:t>2.评分中出现无证明资料或专家无法凭所提供资料判断是否得分的情况，一律作不得分处理。</w:t>
            </w:r>
          </w:p>
          <w:p>
            <w:pPr>
              <w:snapToGrid w:val="0"/>
              <w:spacing w:line="240" w:lineRule="auto"/>
              <w:rPr>
                <w:rFonts w:ascii="仿宋_GB2312" w:hAnsi="仿宋" w:eastAsia="仿宋_GB2312" w:cs="仿宋"/>
              </w:rPr>
            </w:pPr>
            <w:r>
              <w:rPr>
                <w:rFonts w:hint="eastAsia" w:ascii="仿宋_GB2312" w:hAnsi="仿宋" w:eastAsia="仿宋_GB2312" w:cs="仿宋"/>
              </w:rPr>
              <w:t>3.投标文件内需提供以上人员相应职称证以及在本单位2020年9月至2021年2月期间任意连续三个月的缴纳社保证明。</w:t>
            </w:r>
          </w:p>
          <w:p>
            <w:pPr>
              <w:snapToGrid w:val="0"/>
              <w:spacing w:line="240" w:lineRule="auto"/>
              <w:rPr>
                <w:rFonts w:ascii="仿宋_GB2312" w:hAnsi="仿宋" w:eastAsia="仿宋_GB2312" w:cs="仿宋"/>
              </w:rPr>
            </w:pPr>
            <w:r>
              <w:rPr>
                <w:rFonts w:hint="eastAsia" w:ascii="仿宋_GB2312" w:hAnsi="仿宋" w:eastAsia="仿宋_GB2312" w:cs="仿宋"/>
              </w:rPr>
              <w:t>4.投标人为联合体投标的，其中一方具备即可得分。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670" w:type="dxa"/>
            <w:vMerge w:val="continue"/>
            <w:tcBorders>
              <w:left w:val="single" w:color="auto" w:sz="4" w:space="0"/>
              <w:right w:val="single" w:color="auto" w:sz="4" w:space="0"/>
            </w:tcBorders>
            <w:vAlign w:val="center"/>
          </w:tcPr>
          <w:p>
            <w:pPr>
              <w:widowControl/>
              <w:spacing w:line="240" w:lineRule="auto"/>
              <w:jc w:val="center"/>
              <w:rPr>
                <w:rFonts w:ascii="仿宋_GB2312" w:hAnsi="仿宋" w:eastAsia="仿宋_GB2312" w:cs="仿宋"/>
              </w:rPr>
            </w:pPr>
          </w:p>
        </w:tc>
        <w:tc>
          <w:tcPr>
            <w:tcW w:w="6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6</w:t>
            </w:r>
          </w:p>
        </w:tc>
        <w:tc>
          <w:tcPr>
            <w:tcW w:w="12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投标人自主知识产权产品（创新、设计）情况</w:t>
            </w:r>
          </w:p>
        </w:tc>
        <w:tc>
          <w:tcPr>
            <w:tcW w:w="6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仿宋" w:eastAsia="仿宋_GB2312" w:cs="仿宋"/>
              </w:rPr>
            </w:pPr>
            <w:r>
              <w:rPr>
                <w:rFonts w:hint="eastAsia" w:ascii="仿宋_GB2312" w:hAnsi="仿宋" w:eastAsia="仿宋_GB2312" w:cs="仿宋"/>
              </w:rPr>
              <w:t>4</w:t>
            </w:r>
          </w:p>
        </w:tc>
        <w:tc>
          <w:tcPr>
            <w:tcW w:w="720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仿宋_GB2312" w:hAnsi="仿宋" w:eastAsia="仿宋_GB2312" w:cs="仿宋"/>
                <w:b/>
              </w:rPr>
            </w:pPr>
            <w:r>
              <w:rPr>
                <w:rFonts w:hint="eastAsia" w:ascii="仿宋_GB2312" w:hAnsi="仿宋" w:eastAsia="仿宋_GB2312" w:cs="仿宋"/>
                <w:b/>
              </w:rPr>
              <w:t>（一）评分内容：</w:t>
            </w:r>
          </w:p>
          <w:p>
            <w:pPr>
              <w:snapToGrid w:val="0"/>
              <w:spacing w:line="240" w:lineRule="auto"/>
              <w:rPr>
                <w:rFonts w:ascii="仿宋_GB2312" w:hAnsi="仿宋" w:eastAsia="仿宋_GB2312" w:cs="仿宋"/>
              </w:rPr>
            </w:pPr>
            <w:r>
              <w:rPr>
                <w:rFonts w:hint="eastAsia" w:ascii="仿宋_GB2312" w:hAnsi="仿宋" w:eastAsia="仿宋_GB2312" w:cs="仿宋"/>
              </w:rPr>
              <w:t>投标人具有相关领域发明专利的，每项得1分，满分4分。</w:t>
            </w:r>
          </w:p>
          <w:p>
            <w:pPr>
              <w:snapToGrid w:val="0"/>
              <w:spacing w:line="240" w:lineRule="auto"/>
              <w:rPr>
                <w:rFonts w:ascii="仿宋_GB2312" w:hAnsi="仿宋" w:eastAsia="仿宋_GB2312" w:cs="仿宋"/>
                <w:b/>
              </w:rPr>
            </w:pPr>
            <w:r>
              <w:rPr>
                <w:rFonts w:hint="eastAsia" w:ascii="仿宋_GB2312" w:hAnsi="仿宋" w:eastAsia="仿宋_GB2312" w:cs="仿宋"/>
                <w:b/>
              </w:rPr>
              <w:t>（二）评分依据:</w:t>
            </w:r>
          </w:p>
          <w:p>
            <w:pPr>
              <w:snapToGrid w:val="0"/>
              <w:spacing w:line="240" w:lineRule="auto"/>
              <w:rPr>
                <w:rFonts w:ascii="仿宋_GB2312" w:hAnsi="仿宋" w:eastAsia="仿宋_GB2312" w:cs="仿宋"/>
              </w:rPr>
            </w:pPr>
            <w:r>
              <w:rPr>
                <w:rFonts w:hint="eastAsia" w:ascii="仿宋_GB2312" w:hAnsi="仿宋" w:eastAsia="仿宋_GB2312" w:cs="仿宋"/>
              </w:rPr>
              <w:t>1.要求提供有效的产权（专利）证书等证明材料作为得分依据。</w:t>
            </w:r>
          </w:p>
          <w:p>
            <w:pPr>
              <w:snapToGrid w:val="0"/>
              <w:spacing w:line="240" w:lineRule="auto"/>
              <w:rPr>
                <w:rFonts w:ascii="仿宋_GB2312" w:hAnsi="仿宋" w:eastAsia="仿宋_GB2312" w:cs="仿宋"/>
              </w:rPr>
            </w:pPr>
            <w:r>
              <w:rPr>
                <w:rFonts w:hint="eastAsia" w:ascii="仿宋_GB2312" w:hAnsi="仿宋" w:eastAsia="仿宋_GB2312" w:cs="仿宋"/>
              </w:rPr>
              <w:t>2.以上资料均要求提供扫描件（或官方网站截图），原件备查。评分中出现无证明资料或专家无法凭所提供资料判断是否得分的情况，一律作不得分处理。</w:t>
            </w:r>
          </w:p>
          <w:p>
            <w:pPr>
              <w:snapToGrid w:val="0"/>
              <w:spacing w:line="240" w:lineRule="auto"/>
              <w:rPr>
                <w:rFonts w:ascii="仿宋_GB2312" w:hAnsi="仿宋" w:eastAsia="仿宋_GB2312" w:cs="仿宋"/>
              </w:rPr>
            </w:pPr>
            <w:r>
              <w:rPr>
                <w:rFonts w:hint="eastAsia" w:ascii="仿宋_GB2312" w:hAnsi="仿宋" w:eastAsia="仿宋_GB2312" w:cs="仿宋"/>
              </w:rPr>
              <w:t>3.投标人为联合体投标的，其中一方具备即可得分。</w:t>
            </w:r>
          </w:p>
        </w:tc>
      </w:tr>
    </w:tbl>
    <w:p>
      <w:pPr>
        <w:widowControl/>
        <w:adjustRightInd w:val="0"/>
        <w:snapToGrid w:val="0"/>
        <w:ind w:firstLine="560" w:firstLineChars="200"/>
        <w:rPr>
          <w:rFonts w:ascii="仿宋_GB2312" w:hAnsi="仿宋" w:eastAsia="仿宋_GB2312" w:cs="宋体"/>
          <w:sz w:val="28"/>
          <w:szCs w:val="28"/>
        </w:rPr>
      </w:pPr>
      <w:r>
        <w:rPr>
          <w:rFonts w:hint="eastAsia" w:ascii="仿宋_GB2312" w:hAnsi="仿宋" w:eastAsia="仿宋_GB2312" w:cs="宋体"/>
          <w:sz w:val="28"/>
          <w:szCs w:val="28"/>
        </w:rPr>
        <w:t>（六）评审过程中遇到有争议的情况，由磋商小组遵循公平、公正原则，采取记名投票方式按照少数服从多数原则决定。</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四、接受和拒绝任何或所有报价的权利</w:t>
      </w:r>
    </w:p>
    <w:p>
      <w:pPr>
        <w:tabs>
          <w:tab w:val="left" w:pos="180"/>
          <w:tab w:val="left" w:pos="360"/>
        </w:tabs>
        <w:adjustRightInd w:val="0"/>
        <w:snapToGrid w:val="0"/>
        <w:ind w:left="-2" w:leftChars="-1" w:right="36" w:rightChars="15" w:firstLine="560" w:firstLineChars="200"/>
        <w:rPr>
          <w:rFonts w:ascii="仿宋_GB2312" w:hAnsi="仿宋" w:eastAsia="仿宋_GB2312"/>
          <w:sz w:val="28"/>
          <w:szCs w:val="28"/>
        </w:rPr>
      </w:pPr>
      <w:r>
        <w:rPr>
          <w:rFonts w:hint="eastAsia" w:ascii="仿宋_GB2312" w:hAnsi="仿宋" w:eastAsia="仿宋_GB2312"/>
          <w:sz w:val="28"/>
          <w:szCs w:val="28"/>
        </w:rPr>
        <w:t>采购代理机构和采购人保留在成交之前任何时候接受或拒绝任何报价，以及宣布竞争性磋商无效或拒绝所有报价的权力，对受影响的供应商不承担任何责任。</w:t>
      </w:r>
    </w:p>
    <w:p>
      <w:pPr>
        <w:pStyle w:val="4"/>
        <w:adjustRightInd w:val="0"/>
        <w:snapToGrid w:val="0"/>
        <w:rPr>
          <w:rFonts w:ascii="仿宋_GB2312" w:hAnsi="仿宋" w:eastAsia="仿宋_GB2312" w:cs="宋体"/>
          <w:sz w:val="28"/>
          <w:szCs w:val="28"/>
        </w:rPr>
      </w:pPr>
      <w:r>
        <w:rPr>
          <w:rFonts w:hint="eastAsia" w:ascii="仿宋_GB2312" w:hAnsi="仿宋" w:eastAsia="仿宋_GB2312" w:cs="宋体"/>
          <w:sz w:val="28"/>
          <w:szCs w:val="28"/>
        </w:rPr>
        <w:t>五、变更技术方案的权利</w:t>
      </w:r>
    </w:p>
    <w:p>
      <w:pPr>
        <w:pStyle w:val="23"/>
        <w:adjustRightInd w:val="0"/>
        <w:snapToGrid w:val="0"/>
        <w:spacing w:after="0"/>
        <w:ind w:firstLine="560" w:firstLineChars="200"/>
        <w:rPr>
          <w:rFonts w:ascii="仿宋_GB2312" w:hAnsi="仿宋" w:eastAsia="仿宋_GB2312"/>
          <w:sz w:val="28"/>
          <w:szCs w:val="28"/>
        </w:rPr>
      </w:pPr>
      <w:r>
        <w:rPr>
          <w:rFonts w:hint="eastAsia" w:ascii="仿宋_GB2312" w:hAnsi="仿宋" w:eastAsia="仿宋_GB2312"/>
          <w:sz w:val="28"/>
          <w:szCs w:val="28"/>
        </w:rPr>
        <w:t>在竞争性磋商过程中，采购人有权变更技术方案或采购数量，如果供应商根据采购人提出的变更要求调整方案或价格后未能获得合同，采购人和采购代理机构不承担任何责任。</w:t>
      </w:r>
    </w:p>
    <w:p>
      <w:pPr>
        <w:pStyle w:val="23"/>
        <w:adjustRightInd w:val="0"/>
        <w:snapToGrid w:val="0"/>
        <w:spacing w:after="0"/>
        <w:ind w:firstLine="560" w:firstLineChars="200"/>
        <w:rPr>
          <w:rFonts w:ascii="仿宋_GB2312" w:hAnsi="仿宋" w:eastAsia="仿宋_GB2312"/>
          <w:sz w:val="28"/>
          <w:szCs w:val="28"/>
        </w:rPr>
      </w:pPr>
    </w:p>
    <w:p>
      <w:pPr>
        <w:pStyle w:val="4"/>
        <w:snapToGrid w:val="0"/>
        <w:rPr>
          <w:rFonts w:ascii="仿宋_GB2312" w:hAnsi="仿宋" w:eastAsia="仿宋_GB2312" w:cs="宋体"/>
          <w:sz w:val="28"/>
          <w:szCs w:val="28"/>
        </w:rPr>
      </w:pPr>
      <w:r>
        <w:rPr>
          <w:rFonts w:hint="eastAsia" w:ascii="仿宋_GB2312" w:hAnsi="仿宋" w:eastAsia="仿宋_GB2312" w:cs="宋体"/>
          <w:sz w:val="28"/>
          <w:szCs w:val="28"/>
        </w:rPr>
        <w:t>六、其他关键信息</w:t>
      </w:r>
    </w:p>
    <w:p>
      <w:pPr>
        <w:spacing w:beforeLines="100"/>
        <w:ind w:firstLine="560" w:firstLineChars="200"/>
        <w:rPr>
          <w:rFonts w:ascii="仿宋_GB2312" w:hAnsi="仿宋" w:eastAsia="仿宋_GB2312" w:cs="宋体"/>
          <w:i/>
          <w:sz w:val="28"/>
          <w:szCs w:val="28"/>
        </w:rPr>
      </w:pPr>
      <w:r>
        <w:rPr>
          <w:rFonts w:hint="eastAsia" w:ascii="仿宋_GB2312" w:hAnsi="仿宋" w:eastAsia="仿宋_GB2312" w:cs="宋体"/>
          <w:sz w:val="28"/>
          <w:szCs w:val="28"/>
        </w:rPr>
        <w:t>（一）关于享受优惠政策的主体及价格扣除比例</w:t>
      </w:r>
    </w:p>
    <w:p>
      <w:pPr>
        <w:ind w:firstLine="560" w:firstLineChars="200"/>
        <w:rPr>
          <w:rFonts w:ascii="仿宋_GB2312" w:eastAsia="仿宋_GB2312"/>
          <w:sz w:val="28"/>
          <w:szCs w:val="28"/>
        </w:rPr>
      </w:pPr>
      <w:r>
        <w:rPr>
          <w:rFonts w:hint="eastAsia" w:ascii="仿宋_GB2312" w:eastAsia="仿宋_GB2312"/>
          <w:sz w:val="28"/>
          <w:szCs w:val="28"/>
        </w:rPr>
        <w:t>1.根据《政府采购促进中小企业发展暂行办法》（财库〔2011〕181号）、《财政部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eastAsia" w:ascii="仿宋_GB2312" w:eastAsia="仿宋_GB2312"/>
          <w:sz w:val="28"/>
          <w:szCs w:val="28"/>
          <w:u w:val="single"/>
        </w:rPr>
        <w:t>6</w:t>
      </w:r>
      <w:r>
        <w:rPr>
          <w:rFonts w:hint="eastAsia" w:ascii="仿宋_GB2312" w:eastAsia="仿宋_GB2312"/>
          <w:sz w:val="28"/>
          <w:szCs w:val="28"/>
        </w:rPr>
        <w:t>%后参与评审。投标人组成联合体投标的，如须享受以上价格扣除政策，联合体各方须均为小微企业。对于同时属于小微企业、监狱企业或残疾人福利性单位的，不重复进行投标报价扣除。如有其它政策支持因素（如鼓励创新等）需一并列出。</w:t>
      </w:r>
    </w:p>
    <w:p>
      <w:pPr>
        <w:ind w:firstLine="560" w:firstLineChars="200"/>
        <w:rPr>
          <w:rFonts w:ascii="仿宋_GB2312" w:eastAsia="仿宋_GB2312"/>
          <w:sz w:val="28"/>
          <w:szCs w:val="28"/>
        </w:rPr>
      </w:pPr>
      <w:r>
        <w:rPr>
          <w:rFonts w:hint="eastAsia" w:ascii="仿宋_GB2312" w:eastAsia="仿宋_GB2312"/>
          <w:sz w:val="28"/>
          <w:szCs w:val="28"/>
        </w:rPr>
        <w:t>2.联合协议中约定，</w:t>
      </w:r>
      <w:r>
        <w:rPr>
          <w:rFonts w:hint="eastAsia" w:ascii="仿宋_GB2312" w:eastAsia="仿宋_GB2312"/>
          <w:b/>
          <w:sz w:val="28"/>
          <w:szCs w:val="28"/>
        </w:rPr>
        <w:t>小型、微型企业</w:t>
      </w:r>
      <w:r>
        <w:rPr>
          <w:rFonts w:hint="eastAsia" w:ascii="仿宋_GB2312" w:eastAsia="仿宋_GB2312"/>
          <w:sz w:val="28"/>
          <w:szCs w:val="28"/>
        </w:rPr>
        <w:t>和监狱企业的协议合同金额占到联合体协议合同总金额30%以上且不足100%的，可给予联合体</w:t>
      </w:r>
      <w:r>
        <w:rPr>
          <w:rFonts w:hint="eastAsia" w:ascii="仿宋_GB2312" w:eastAsia="仿宋_GB2312"/>
          <w:sz w:val="28"/>
          <w:szCs w:val="28"/>
          <w:u w:val="single"/>
        </w:rPr>
        <w:t>2</w:t>
      </w:r>
      <w:r>
        <w:rPr>
          <w:rFonts w:hint="eastAsia" w:ascii="仿宋_GB2312" w:eastAsia="仿宋_GB2312"/>
          <w:sz w:val="28"/>
          <w:szCs w:val="28"/>
        </w:rPr>
        <w:t>%的价格扣除。</w:t>
      </w:r>
    </w:p>
    <w:p>
      <w:pPr>
        <w:ind w:firstLine="560" w:firstLineChars="200"/>
        <w:rPr>
          <w:rFonts w:ascii="仿宋_GB2312" w:eastAsia="仿宋_GB2312"/>
          <w:sz w:val="28"/>
          <w:szCs w:val="28"/>
        </w:rPr>
      </w:pPr>
      <w:r>
        <w:rPr>
          <w:rFonts w:hint="eastAsia" w:ascii="仿宋_GB2312" w:eastAsia="仿宋_GB2312"/>
          <w:sz w:val="28"/>
          <w:szCs w:val="28"/>
        </w:rPr>
        <w:t>联合体各方均为</w:t>
      </w:r>
      <w:r>
        <w:rPr>
          <w:rFonts w:hint="eastAsia" w:ascii="仿宋_GB2312" w:eastAsia="仿宋_GB2312"/>
          <w:b/>
          <w:sz w:val="28"/>
          <w:szCs w:val="28"/>
        </w:rPr>
        <w:t>小型、微型企业</w:t>
      </w:r>
      <w:r>
        <w:rPr>
          <w:rFonts w:hint="eastAsia" w:ascii="仿宋_GB2312" w:eastAsia="仿宋_GB2312"/>
          <w:sz w:val="28"/>
          <w:szCs w:val="28"/>
        </w:rPr>
        <w:t>和监狱企业的，联合体视同为小型、微型企业和监狱企业，均享受</w:t>
      </w:r>
      <w:r>
        <w:rPr>
          <w:rFonts w:hint="eastAsia" w:ascii="仿宋_GB2312" w:eastAsia="仿宋_GB2312"/>
          <w:b/>
          <w:bCs/>
          <w:sz w:val="28"/>
          <w:szCs w:val="28"/>
        </w:rPr>
        <w:t>评标优惠政策</w:t>
      </w:r>
      <w:r>
        <w:rPr>
          <w:rFonts w:hint="eastAsia" w:ascii="仿宋_GB2312" w:eastAsia="仿宋_GB2312"/>
          <w:sz w:val="28"/>
          <w:szCs w:val="28"/>
        </w:rPr>
        <w:t>第一款的优惠政策。</w:t>
      </w:r>
    </w:p>
    <w:p>
      <w:pPr>
        <w:widowControl/>
        <w:spacing w:line="240" w:lineRule="auto"/>
        <w:rPr>
          <w:rFonts w:ascii="仿宋_GB2312" w:hAnsi="仿宋" w:eastAsia="仿宋_GB2312" w:cs="宋体"/>
          <w:b/>
          <w:bCs/>
          <w:sz w:val="36"/>
          <w:szCs w:val="36"/>
        </w:rPr>
      </w:pPr>
      <w:bookmarkStart w:id="70" w:name="_Toc5962_WPSOffice_Level1"/>
      <w:bookmarkStart w:id="71" w:name="_Toc434678187"/>
      <w:bookmarkStart w:id="72" w:name="_Toc16727401"/>
      <w:bookmarkStart w:id="73" w:name="_Toc11925"/>
      <w:r>
        <w:rPr>
          <w:rFonts w:hint="eastAsia" w:ascii="仿宋_GB2312" w:hAnsi="仿宋" w:eastAsia="仿宋_GB2312" w:cs="宋体"/>
          <w:b/>
          <w:bCs/>
          <w:sz w:val="36"/>
          <w:szCs w:val="36"/>
        </w:rPr>
        <w:br w:type="page"/>
      </w:r>
    </w:p>
    <w:p>
      <w:pPr>
        <w:snapToGrid w:val="0"/>
        <w:ind w:firstLine="480"/>
        <w:jc w:val="center"/>
        <w:rPr>
          <w:rFonts w:ascii="仿宋_GB2312" w:hAnsi="仿宋" w:eastAsia="仿宋_GB2312" w:cs="宋体"/>
          <w:sz w:val="28"/>
          <w:szCs w:val="28"/>
        </w:rPr>
      </w:pPr>
      <w:r>
        <w:rPr>
          <w:rFonts w:hint="eastAsia" w:ascii="仿宋_GB2312" w:hAnsi="仿宋" w:eastAsia="仿宋_GB2312" w:cs="宋体"/>
          <w:b/>
          <w:bCs/>
          <w:sz w:val="36"/>
          <w:szCs w:val="36"/>
        </w:rPr>
        <w:t>第六章  响应文件内容及格式</w:t>
      </w:r>
      <w:bookmarkEnd w:id="70"/>
      <w:bookmarkEnd w:id="71"/>
      <w:bookmarkEnd w:id="72"/>
      <w:bookmarkEnd w:id="73"/>
    </w:p>
    <w:p>
      <w:pPr>
        <w:ind w:firstLine="420" w:firstLineChars="150"/>
        <w:rPr>
          <w:rFonts w:ascii="仿宋_GB2312" w:hAnsi="仿宋" w:eastAsia="仿宋_GB2312"/>
          <w:sz w:val="28"/>
          <w:szCs w:val="28"/>
          <w:u w:val="single"/>
        </w:rPr>
      </w:pPr>
      <w:r>
        <w:rPr>
          <w:rFonts w:hint="eastAsia" w:ascii="仿宋_GB2312" w:hAnsi="仿宋" w:eastAsia="仿宋_GB2312"/>
          <w:sz w:val="28"/>
          <w:szCs w:val="28"/>
          <w:u w:val="single"/>
        </w:rPr>
        <w:t>磋商响应文件的封面：以下为参考格式，供应商可自行排版，但必须包含下述参考格式中的内容。</w:t>
      </w:r>
    </w:p>
    <w:p>
      <w:pPr>
        <w:ind w:firstLine="482" w:firstLineChars="150"/>
        <w:rPr>
          <w:rFonts w:ascii="仿宋_GB2312" w:hAnsi="仿宋" w:eastAsia="仿宋_GB2312"/>
          <w:b/>
          <w:sz w:val="32"/>
          <w:szCs w:val="32"/>
        </w:rPr>
      </w:pPr>
    </w:p>
    <w:p>
      <w:pPr>
        <w:ind w:firstLine="482" w:firstLineChars="150"/>
        <w:rPr>
          <w:rFonts w:ascii="仿宋_GB2312" w:hAnsi="仿宋" w:eastAsia="仿宋_GB2312"/>
          <w:b/>
          <w:sz w:val="32"/>
          <w:szCs w:val="32"/>
          <w:u w:val="single"/>
        </w:rPr>
      </w:pPr>
      <w:r>
        <w:rPr>
          <w:rFonts w:hint="eastAsia" w:ascii="仿宋_GB2312" w:hAnsi="仿宋" w:eastAsia="仿宋_GB2312"/>
          <w:b/>
          <w:sz w:val="32"/>
          <w:szCs w:val="32"/>
        </w:rPr>
        <w:t xml:space="preserve">项目名称： </w:t>
      </w:r>
    </w:p>
    <w:p>
      <w:pPr>
        <w:ind w:firstLine="482" w:firstLineChars="150"/>
        <w:rPr>
          <w:rFonts w:ascii="仿宋_GB2312" w:hAnsi="仿宋" w:eastAsia="仿宋_GB2312"/>
          <w:b/>
          <w:sz w:val="32"/>
          <w:szCs w:val="32"/>
          <w:u w:val="single"/>
        </w:rPr>
      </w:pPr>
      <w:r>
        <w:rPr>
          <w:rFonts w:hint="eastAsia" w:ascii="仿宋_GB2312" w:hAnsi="仿宋" w:eastAsia="仿宋_GB2312"/>
          <w:b/>
          <w:sz w:val="32"/>
          <w:szCs w:val="32"/>
        </w:rPr>
        <w:t xml:space="preserve">项目编号： </w:t>
      </w:r>
    </w:p>
    <w:p>
      <w:pPr>
        <w:ind w:firstLine="482" w:firstLineChars="150"/>
        <w:rPr>
          <w:rFonts w:ascii="仿宋_GB2312" w:hAnsi="仿宋" w:eastAsia="仿宋_GB2312"/>
          <w:b/>
          <w:sz w:val="32"/>
          <w:szCs w:val="32"/>
        </w:rPr>
      </w:pPr>
      <w:r>
        <w:rPr>
          <w:rFonts w:hint="eastAsia" w:ascii="仿宋_GB2312" w:hAnsi="仿宋" w:eastAsia="仿宋_GB2312"/>
          <w:b/>
          <w:sz w:val="32"/>
          <w:szCs w:val="32"/>
        </w:rPr>
        <w:t>包    号： （如有分包）</w:t>
      </w:r>
    </w:p>
    <w:p>
      <w:pPr>
        <w:jc w:val="both"/>
        <w:rPr>
          <w:rFonts w:ascii="仿宋_GB2312" w:hAnsi="仿宋" w:eastAsia="仿宋_GB2312"/>
          <w:b/>
          <w:bCs/>
          <w:shadow/>
          <w:sz w:val="84"/>
          <w:szCs w:val="84"/>
        </w:rPr>
      </w:pPr>
    </w:p>
    <w:p>
      <w:pPr>
        <w:jc w:val="center"/>
        <w:rPr>
          <w:rFonts w:ascii="仿宋_GB2312" w:hAnsi="仿宋" w:eastAsia="仿宋_GB2312"/>
          <w:b/>
          <w:bCs/>
          <w:shadow/>
          <w:sz w:val="84"/>
          <w:szCs w:val="84"/>
        </w:rPr>
      </w:pPr>
      <w:r>
        <w:rPr>
          <w:rFonts w:hint="eastAsia" w:ascii="仿宋_GB2312" w:hAnsi="仿宋" w:eastAsia="仿宋_GB2312"/>
          <w:b/>
          <w:bCs/>
          <w:shadow/>
          <w:sz w:val="84"/>
          <w:szCs w:val="84"/>
        </w:rPr>
        <w:t>磋商响应文件</w:t>
      </w:r>
    </w:p>
    <w:p>
      <w:pPr>
        <w:jc w:val="center"/>
        <w:rPr>
          <w:rFonts w:ascii="仿宋_GB2312" w:hAnsi="仿宋" w:eastAsia="仿宋_GB2312"/>
          <w:b/>
          <w:bCs/>
          <w:shadow/>
          <w:sz w:val="40"/>
          <w:szCs w:val="84"/>
        </w:rPr>
      </w:pPr>
      <w:r>
        <w:rPr>
          <w:rFonts w:hint="eastAsia" w:ascii="仿宋_GB2312" w:hAnsi="仿宋" w:eastAsia="仿宋_GB2312"/>
          <w:b/>
          <w:bCs/>
          <w:shadow/>
          <w:sz w:val="40"/>
          <w:szCs w:val="84"/>
        </w:rPr>
        <w:t>【正本/副本】</w:t>
      </w:r>
    </w:p>
    <w:p>
      <w:pPr>
        <w:rPr>
          <w:rFonts w:ascii="仿宋_GB2312" w:hAnsi="仿宋" w:eastAsia="仿宋_GB2312"/>
          <w:b/>
          <w:sz w:val="36"/>
          <w:szCs w:val="36"/>
          <w:u w:val="single"/>
        </w:rPr>
      </w:pPr>
    </w:p>
    <w:p>
      <w:pPr>
        <w:rPr>
          <w:rFonts w:ascii="仿宋_GB2312" w:hAnsi="仿宋" w:eastAsia="仿宋_GB2312"/>
          <w:b/>
          <w:sz w:val="36"/>
          <w:szCs w:val="36"/>
        </w:rPr>
      </w:pPr>
    </w:p>
    <w:p>
      <w:pPr>
        <w:rPr>
          <w:rFonts w:ascii="仿宋_GB2312" w:hAnsi="仿宋" w:eastAsia="仿宋_GB2312"/>
          <w:b/>
          <w:sz w:val="36"/>
          <w:szCs w:val="36"/>
        </w:rPr>
      </w:pPr>
    </w:p>
    <w:p>
      <w:pPr>
        <w:tabs>
          <w:tab w:val="left" w:pos="630"/>
        </w:tabs>
        <w:autoSpaceDE w:val="0"/>
        <w:autoSpaceDN w:val="0"/>
        <w:ind w:firstLine="482" w:firstLineChars="150"/>
        <w:textAlignment w:val="bottom"/>
        <w:rPr>
          <w:rFonts w:ascii="仿宋_GB2312" w:hAnsi="仿宋" w:eastAsia="仿宋_GB2312"/>
          <w:b/>
          <w:sz w:val="32"/>
          <w:szCs w:val="32"/>
          <w:u w:val="single"/>
        </w:rPr>
      </w:pPr>
      <w:r>
        <w:rPr>
          <w:rFonts w:hint="eastAsia" w:ascii="仿宋_GB2312" w:hAnsi="仿宋" w:eastAsia="仿宋_GB2312"/>
          <w:b/>
          <w:sz w:val="32"/>
          <w:szCs w:val="32"/>
        </w:rPr>
        <w:t xml:space="preserve">供应商名称（公章）： </w:t>
      </w:r>
    </w:p>
    <w:p>
      <w:pPr>
        <w:ind w:firstLine="482" w:firstLineChars="150"/>
        <w:rPr>
          <w:rFonts w:ascii="仿宋_GB2312" w:hAnsi="仿宋" w:eastAsia="仿宋_GB2312"/>
          <w:b/>
          <w:sz w:val="32"/>
          <w:szCs w:val="32"/>
          <w:u w:val="single"/>
        </w:rPr>
      </w:pPr>
      <w:r>
        <w:rPr>
          <w:rFonts w:hint="eastAsia" w:ascii="仿宋_GB2312" w:hAnsi="仿宋" w:eastAsia="仿宋_GB2312"/>
          <w:b/>
          <w:sz w:val="32"/>
          <w:szCs w:val="32"/>
        </w:rPr>
        <w:t>法定代表人或授权代表签字：</w:t>
      </w:r>
    </w:p>
    <w:p>
      <w:pPr>
        <w:ind w:firstLine="482" w:firstLineChars="150"/>
        <w:rPr>
          <w:rFonts w:ascii="仿宋_GB2312" w:hAnsi="仿宋" w:eastAsia="仿宋_GB2312"/>
          <w:b/>
          <w:sz w:val="32"/>
          <w:szCs w:val="32"/>
        </w:rPr>
      </w:pPr>
      <w:r>
        <w:rPr>
          <w:rFonts w:hint="eastAsia" w:ascii="仿宋_GB2312" w:hAnsi="仿宋" w:eastAsia="仿宋_GB2312"/>
          <w:b/>
          <w:sz w:val="32"/>
          <w:szCs w:val="32"/>
        </w:rPr>
        <w:t>联系电话：</w:t>
      </w:r>
    </w:p>
    <w:p>
      <w:pPr>
        <w:ind w:firstLine="482" w:firstLineChars="150"/>
        <w:rPr>
          <w:rFonts w:ascii="仿宋_GB2312" w:hAnsi="仿宋" w:eastAsia="仿宋_GB2312"/>
        </w:rPr>
      </w:pPr>
      <w:r>
        <w:rPr>
          <w:rFonts w:hint="eastAsia" w:ascii="仿宋_GB2312" w:hAnsi="仿宋" w:eastAsia="仿宋_GB2312"/>
          <w:b/>
          <w:sz w:val="32"/>
          <w:szCs w:val="32"/>
        </w:rPr>
        <w:t>日期：       年   月   日</w:t>
      </w:r>
    </w:p>
    <w:p>
      <w:pPr>
        <w:jc w:val="center"/>
        <w:rPr>
          <w:rFonts w:ascii="仿宋_GB2312" w:hAnsi="仿宋" w:eastAsia="仿宋_GB2312" w:cs="宋体"/>
          <w:b/>
          <w:kern w:val="28"/>
          <w:sz w:val="28"/>
          <w:szCs w:val="28"/>
        </w:rPr>
      </w:pPr>
    </w:p>
    <w:p>
      <w:pPr>
        <w:ind w:firstLine="551" w:firstLineChars="196"/>
        <w:rPr>
          <w:rFonts w:ascii="仿宋_GB2312" w:hAnsi="仿宋" w:eastAsia="仿宋_GB2312" w:cs="宋体"/>
          <w:b/>
          <w:kern w:val="28"/>
          <w:sz w:val="28"/>
          <w:szCs w:val="28"/>
        </w:rPr>
      </w:pPr>
    </w:p>
    <w:p>
      <w:pPr>
        <w:ind w:firstLine="551" w:firstLineChars="196"/>
        <w:rPr>
          <w:rFonts w:ascii="仿宋_GB2312" w:hAnsi="仿宋" w:eastAsia="仿宋_GB2312" w:cs="宋体"/>
          <w:b/>
          <w:kern w:val="28"/>
          <w:sz w:val="28"/>
          <w:szCs w:val="28"/>
        </w:rPr>
      </w:pPr>
      <w:r>
        <w:rPr>
          <w:rFonts w:hint="eastAsia" w:ascii="仿宋_GB2312" w:hAnsi="仿宋" w:eastAsia="仿宋_GB2312" w:cs="宋体"/>
          <w:b/>
          <w:kern w:val="28"/>
          <w:sz w:val="28"/>
          <w:szCs w:val="28"/>
        </w:rPr>
        <w:t>请供应商按照以下文件要求的格式、内容制作响应文件，并按照以下顺序编制目录及页码，否则可能将影响对响应文件的评价。</w:t>
      </w:r>
      <w:r>
        <w:rPr>
          <w:rFonts w:hint="eastAsia" w:ascii="仿宋_GB2312" w:hAnsi="仿宋" w:eastAsia="仿宋_GB2312" w:cs="宋体"/>
          <w:b/>
          <w:kern w:val="28"/>
          <w:sz w:val="28"/>
          <w:szCs w:val="28"/>
        </w:rPr>
        <w:fldChar w:fldCharType="begin"/>
      </w:r>
      <w:r>
        <w:rPr>
          <w:rFonts w:hint="eastAsia" w:ascii="仿宋_GB2312" w:hAnsi="仿宋" w:eastAsia="仿宋_GB2312" w:cs="宋体"/>
          <w:b/>
          <w:kern w:val="28"/>
          <w:sz w:val="28"/>
          <w:szCs w:val="28"/>
        </w:rPr>
        <w:instrText xml:space="preserve"> TOC \o "1-3" \h \z \u </w:instrText>
      </w:r>
      <w:r>
        <w:rPr>
          <w:rFonts w:hint="eastAsia" w:ascii="仿宋_GB2312" w:hAnsi="仿宋" w:eastAsia="仿宋_GB2312" w:cs="宋体"/>
          <w:b/>
          <w:kern w:val="28"/>
          <w:sz w:val="28"/>
          <w:szCs w:val="28"/>
        </w:rPr>
        <w:fldChar w:fldCharType="separate"/>
      </w:r>
    </w:p>
    <w:p>
      <w:pPr>
        <w:rPr>
          <w:rFonts w:ascii="仿宋_GB2312" w:hAnsi="仿宋" w:eastAsia="仿宋_GB2312" w:cs="宋体"/>
          <w:bCs/>
          <w:sz w:val="28"/>
          <w:szCs w:val="28"/>
        </w:rPr>
      </w:pPr>
      <w:r>
        <w:rPr>
          <w:rFonts w:hint="eastAsia" w:ascii="仿宋_GB2312" w:hAnsi="仿宋" w:eastAsia="仿宋_GB2312" w:cs="宋体"/>
          <w:b/>
          <w:kern w:val="28"/>
          <w:sz w:val="28"/>
          <w:szCs w:val="28"/>
        </w:rPr>
        <w:fldChar w:fldCharType="end"/>
      </w:r>
      <w:r>
        <w:rPr>
          <w:rFonts w:hint="eastAsia" w:ascii="仿宋_GB2312" w:hAnsi="仿宋" w:eastAsia="仿宋_GB2312" w:cs="宋体"/>
          <w:bCs/>
          <w:sz w:val="28"/>
          <w:szCs w:val="28"/>
        </w:rPr>
        <w:t>1、竞争性磋商响应函</w:t>
      </w:r>
    </w:p>
    <w:p>
      <w:pPr>
        <w:snapToGrid w:val="0"/>
        <w:rPr>
          <w:rFonts w:ascii="仿宋_GB2312" w:hAnsi="仿宋" w:eastAsia="仿宋_GB2312"/>
          <w:sz w:val="28"/>
          <w:szCs w:val="28"/>
        </w:rPr>
      </w:pPr>
      <w:r>
        <w:rPr>
          <w:rFonts w:hint="eastAsia" w:ascii="仿宋_GB2312" w:hAnsi="仿宋" w:eastAsia="仿宋_GB2312"/>
          <w:sz w:val="28"/>
          <w:szCs w:val="28"/>
        </w:rPr>
        <w:t>2、报价一览表</w:t>
      </w:r>
    </w:p>
    <w:p>
      <w:pPr>
        <w:rPr>
          <w:rFonts w:ascii="仿宋_GB2312" w:hAnsi="仿宋" w:eastAsia="仿宋_GB2312" w:cs="宋体"/>
          <w:bCs/>
          <w:sz w:val="28"/>
          <w:szCs w:val="28"/>
        </w:rPr>
      </w:pPr>
      <w:r>
        <w:rPr>
          <w:rFonts w:hint="eastAsia" w:ascii="仿宋_GB2312" w:hAnsi="仿宋" w:eastAsia="仿宋_GB2312" w:cs="宋体"/>
          <w:bCs/>
          <w:sz w:val="28"/>
          <w:szCs w:val="28"/>
        </w:rPr>
        <w:t>3、法人授权资料</w:t>
      </w:r>
    </w:p>
    <w:p>
      <w:pPr>
        <w:ind w:firstLine="560" w:firstLineChars="200"/>
        <w:rPr>
          <w:rFonts w:ascii="仿宋_GB2312" w:hAnsi="仿宋" w:eastAsia="仿宋_GB2312" w:cs="宋体"/>
          <w:bCs/>
          <w:sz w:val="28"/>
          <w:szCs w:val="28"/>
        </w:rPr>
      </w:pPr>
      <w:r>
        <w:rPr>
          <w:rFonts w:hint="eastAsia" w:ascii="仿宋_GB2312" w:hAnsi="仿宋" w:eastAsia="仿宋_GB2312" w:cs="宋体"/>
          <w:bCs/>
          <w:sz w:val="28"/>
          <w:szCs w:val="28"/>
        </w:rPr>
        <w:t>3.1法定代表人证明书</w:t>
      </w:r>
    </w:p>
    <w:p>
      <w:pPr>
        <w:ind w:firstLine="560" w:firstLineChars="200"/>
        <w:rPr>
          <w:rFonts w:ascii="仿宋_GB2312" w:hAnsi="仿宋" w:eastAsia="仿宋_GB2312" w:cs="宋体"/>
          <w:bCs/>
          <w:sz w:val="28"/>
          <w:szCs w:val="28"/>
        </w:rPr>
      </w:pPr>
      <w:r>
        <w:rPr>
          <w:rFonts w:hint="eastAsia" w:ascii="仿宋_GB2312" w:hAnsi="仿宋" w:eastAsia="仿宋_GB2312" w:cs="宋体"/>
          <w:bCs/>
          <w:sz w:val="28"/>
          <w:szCs w:val="28"/>
        </w:rPr>
        <w:t>3.2法人授权委托书</w:t>
      </w:r>
    </w:p>
    <w:p>
      <w:pPr>
        <w:rPr>
          <w:rFonts w:ascii="仿宋_GB2312" w:hAnsi="仿宋" w:eastAsia="仿宋_GB2312" w:cs="宋体"/>
          <w:bCs/>
          <w:sz w:val="28"/>
          <w:szCs w:val="28"/>
        </w:rPr>
      </w:pPr>
      <w:r>
        <w:rPr>
          <w:rFonts w:hint="eastAsia" w:ascii="仿宋_GB2312" w:hAnsi="仿宋" w:eastAsia="仿宋_GB2312" w:cs="宋体"/>
          <w:bCs/>
          <w:sz w:val="28"/>
          <w:szCs w:val="28"/>
        </w:rPr>
        <w:t>4、响应偏离表</w:t>
      </w:r>
    </w:p>
    <w:p>
      <w:pPr>
        <w:rPr>
          <w:rFonts w:ascii="仿宋_GB2312" w:hAnsi="仿宋" w:eastAsia="仿宋_GB2312" w:cs="宋体"/>
          <w:bCs/>
          <w:sz w:val="28"/>
          <w:szCs w:val="28"/>
        </w:rPr>
      </w:pPr>
      <w:r>
        <w:rPr>
          <w:rFonts w:hint="eastAsia" w:ascii="仿宋_GB2312" w:hAnsi="仿宋" w:eastAsia="仿宋_GB2312" w:cs="宋体"/>
          <w:bCs/>
          <w:sz w:val="28"/>
          <w:szCs w:val="28"/>
        </w:rPr>
        <w:t>5、资格符合性证明材料</w:t>
      </w:r>
    </w:p>
    <w:p>
      <w:pPr>
        <w:rPr>
          <w:rFonts w:ascii="仿宋_GB2312" w:hAnsi="仿宋" w:eastAsia="仿宋_GB2312" w:cs="宋体"/>
          <w:bCs/>
          <w:sz w:val="28"/>
          <w:szCs w:val="28"/>
        </w:rPr>
      </w:pPr>
      <w:r>
        <w:rPr>
          <w:rFonts w:hint="eastAsia" w:ascii="仿宋_GB2312" w:hAnsi="仿宋" w:eastAsia="仿宋_GB2312" w:cs="宋体"/>
          <w:bCs/>
          <w:sz w:val="28"/>
          <w:szCs w:val="28"/>
        </w:rPr>
        <w:t>6、</w:t>
      </w:r>
      <w:r>
        <w:rPr>
          <w:rFonts w:hint="eastAsia" w:ascii="仿宋_GB2312" w:hAnsi="仿宋" w:eastAsia="仿宋_GB2312"/>
          <w:sz w:val="28"/>
          <w:szCs w:val="28"/>
        </w:rPr>
        <w:t>供应商认为需要的其它证明材料</w:t>
      </w:r>
    </w:p>
    <w:p>
      <w:pPr>
        <w:rPr>
          <w:rFonts w:ascii="仿宋_GB2312" w:hAnsi="仿宋" w:eastAsia="仿宋_GB2312"/>
          <w:sz w:val="28"/>
          <w:szCs w:val="28"/>
        </w:rPr>
      </w:pPr>
      <w:r>
        <w:rPr>
          <w:rFonts w:hint="eastAsia" w:ascii="仿宋_GB2312" w:hAnsi="仿宋" w:eastAsia="仿宋_GB2312" w:cs="宋体"/>
          <w:b/>
          <w:bCs/>
          <w:sz w:val="28"/>
          <w:szCs w:val="28"/>
        </w:rPr>
        <w:t>注：</w:t>
      </w:r>
      <w:r>
        <w:rPr>
          <w:rFonts w:hint="eastAsia" w:ascii="仿宋_GB2312" w:hAnsi="仿宋" w:eastAsia="仿宋_GB2312"/>
          <w:sz w:val="28"/>
          <w:szCs w:val="28"/>
        </w:rPr>
        <w:t>以上复印件需要加盖公章。</w:t>
      </w:r>
      <w:bookmarkStart w:id="74" w:name="_Toc311036357"/>
    </w:p>
    <w:p>
      <w:pPr>
        <w:pStyle w:val="23"/>
        <w:ind w:firstLine="240"/>
      </w:pPr>
      <w:r>
        <w:br w:type="page"/>
      </w:r>
    </w:p>
    <w:bookmarkEnd w:id="74"/>
    <w:p>
      <w:pPr>
        <w:pStyle w:val="4"/>
        <w:rPr>
          <w:rFonts w:ascii="仿宋_GB2312" w:hAnsi="仿宋" w:eastAsia="仿宋_GB2312" w:cs="宋体"/>
        </w:rPr>
      </w:pPr>
      <w:bookmarkStart w:id="75" w:name="_Toc171325101"/>
      <w:bookmarkStart w:id="76" w:name="_Toc168282804"/>
      <w:r>
        <w:rPr>
          <w:rFonts w:hint="eastAsia" w:ascii="仿宋_GB2312" w:hAnsi="仿宋" w:eastAsia="仿宋_GB2312" w:cs="宋体"/>
        </w:rPr>
        <w:t>一、竞争性磋商响应函</w:t>
      </w:r>
    </w:p>
    <w:p>
      <w:pPr>
        <w:pStyle w:val="76"/>
        <w:ind w:firstLine="602"/>
        <w:jc w:val="center"/>
        <w:rPr>
          <w:rFonts w:ascii="仿宋_GB2312" w:hAnsi="仿宋" w:eastAsia="仿宋_GB2312"/>
          <w:b/>
          <w:bCs/>
          <w:sz w:val="30"/>
          <w:szCs w:val="30"/>
        </w:rPr>
      </w:pPr>
      <w:r>
        <w:rPr>
          <w:rFonts w:hint="eastAsia" w:ascii="仿宋_GB2312" w:hAnsi="仿宋" w:eastAsia="仿宋_GB2312"/>
          <w:b/>
          <w:bCs/>
          <w:sz w:val="30"/>
          <w:szCs w:val="30"/>
          <w:lang w:val="en-GB"/>
        </w:rPr>
        <w:t>竞争性磋商响应函</w:t>
      </w:r>
    </w:p>
    <w:p>
      <w:pPr>
        <w:ind w:firstLine="120" w:firstLineChars="50"/>
        <w:rPr>
          <w:rFonts w:ascii="仿宋_GB2312" w:hAnsi="仿宋" w:eastAsia="仿宋_GB2312" w:cs="宋体"/>
          <w:bCs/>
        </w:rPr>
      </w:pPr>
      <w:r>
        <w:rPr>
          <w:rFonts w:hint="eastAsia" w:ascii="仿宋_GB2312" w:hAnsi="仿宋" w:eastAsia="仿宋_GB2312" w:cs="宋体"/>
          <w:bCs/>
        </w:rPr>
        <w:t>致：海南金政采项目管理有限公司</w:t>
      </w:r>
    </w:p>
    <w:p>
      <w:pPr>
        <w:ind w:firstLine="480" w:firstLineChars="200"/>
        <w:rPr>
          <w:rFonts w:ascii="仿宋_GB2312" w:hAnsi="仿宋" w:eastAsia="仿宋_GB2312" w:cs="宋体"/>
          <w:bCs/>
        </w:rPr>
      </w:pPr>
      <w:r>
        <w:rPr>
          <w:rFonts w:hint="eastAsia" w:ascii="仿宋_GB2312" w:hAnsi="仿宋" w:eastAsia="仿宋_GB2312" w:cs="宋体"/>
          <w:bCs/>
        </w:rPr>
        <w:t>我方全面研究了项目编号：</w:t>
      </w:r>
      <w:r>
        <w:rPr>
          <w:rFonts w:hint="eastAsia" w:ascii="仿宋_GB2312" w:hAnsi="仿宋" w:eastAsia="仿宋_GB2312" w:cs="宋体"/>
          <w:bCs/>
          <w:u w:val="single"/>
          <w:lang w:eastAsia="zh-CN"/>
        </w:rPr>
        <w:t>GGP20210309Q</w:t>
      </w:r>
      <w:r>
        <w:rPr>
          <w:rFonts w:hint="eastAsia" w:ascii="仿宋_GB2312" w:hAnsi="仿宋" w:eastAsia="仿宋_GB2312" w:cs="宋体"/>
          <w:bCs/>
        </w:rPr>
        <w:t>磋商文件，决定参加贵单位组织的</w:t>
      </w:r>
      <w:r>
        <w:rPr>
          <w:rFonts w:hint="eastAsia" w:ascii="仿宋_GB2312" w:hAnsi="仿宋" w:eastAsia="仿宋_GB2312" w:cs="宋体"/>
          <w:bCs/>
          <w:u w:val="single"/>
        </w:rPr>
        <w:t>海南省矿产资源总体规划（2021-2025年）环境影响评价（海域部分）</w:t>
      </w:r>
      <w:r>
        <w:rPr>
          <w:rFonts w:hint="eastAsia" w:ascii="仿宋_GB2312" w:hAnsi="仿宋" w:eastAsia="仿宋_GB2312" w:cs="宋体"/>
          <w:bCs/>
          <w:u w:val="single"/>
          <w:lang w:eastAsia="zh-CN"/>
        </w:rPr>
        <w:t>（四次）</w:t>
      </w:r>
      <w:r>
        <w:rPr>
          <w:rFonts w:hint="eastAsia" w:ascii="仿宋_GB2312" w:hAnsi="仿宋" w:eastAsia="仿宋_GB2312" w:cs="宋体"/>
          <w:bCs/>
        </w:rPr>
        <w:t>的磋商。我方授权（姓名、职务）代表我方（供应商的名称）全权处理本项目磋商的有关事宜。</w:t>
      </w:r>
    </w:p>
    <w:p>
      <w:pPr>
        <w:ind w:firstLine="480" w:firstLineChars="200"/>
        <w:rPr>
          <w:rFonts w:ascii="仿宋_GB2312" w:hAnsi="仿宋" w:eastAsia="仿宋_GB2312" w:cs="宋体"/>
          <w:bCs/>
        </w:rPr>
      </w:pPr>
      <w:r>
        <w:rPr>
          <w:rFonts w:hint="eastAsia" w:ascii="仿宋_GB2312" w:hAnsi="仿宋" w:eastAsia="仿宋_GB2312" w:cs="宋体"/>
          <w:bCs/>
        </w:rPr>
        <w:t>1、我方认可磋商文件的所有条款，并且同意按照磋商文件的要求，向贵单位交纳人民</w:t>
      </w:r>
      <w:r>
        <w:rPr>
          <w:rFonts w:hint="eastAsia" w:ascii="仿宋_GB2312" w:hAnsi="仿宋" w:eastAsia="仿宋_GB2312" w:cs="宋体"/>
          <w:bCs/>
          <w:u w:val="single"/>
        </w:rPr>
        <w:t>币      （</w:t>
      </w:r>
      <w:r>
        <w:rPr>
          <w:rFonts w:hint="eastAsia" w:ascii="宋体" w:hAnsi="宋体" w:eastAsia="仿宋_GB2312" w:cs="宋体"/>
          <w:bCs/>
          <w:u w:val="single"/>
        </w:rPr>
        <w:t>¥</w:t>
      </w:r>
      <w:r>
        <w:rPr>
          <w:rFonts w:hint="eastAsia" w:ascii="仿宋_GB2312" w:hAnsi="仿宋" w:eastAsia="仿宋_GB2312" w:cs="宋体"/>
          <w:bCs/>
          <w:u w:val="single"/>
        </w:rPr>
        <w:t xml:space="preserve">     ）</w:t>
      </w:r>
      <w:r>
        <w:rPr>
          <w:rFonts w:hint="eastAsia" w:ascii="仿宋_GB2312" w:hAnsi="仿宋" w:eastAsia="仿宋_GB2312" w:cs="宋体"/>
          <w:bCs/>
        </w:rPr>
        <w:t>的磋商保证金。并承诺：下列任何情况发生时，我方将不要求退还磋商保证金：</w:t>
      </w:r>
    </w:p>
    <w:p>
      <w:pPr>
        <w:ind w:firstLine="480" w:firstLineChars="200"/>
        <w:rPr>
          <w:rFonts w:ascii="仿宋_GB2312" w:hAnsi="仿宋" w:eastAsia="仿宋_GB2312" w:cs="宋体"/>
          <w:bCs/>
        </w:rPr>
      </w:pPr>
      <w:r>
        <w:rPr>
          <w:rFonts w:hint="eastAsia" w:ascii="仿宋_GB2312" w:hAnsi="仿宋" w:eastAsia="仿宋_GB2312" w:cs="宋体"/>
          <w:bCs/>
        </w:rPr>
        <w:t>（1）如果我方在磋商有效期内撤回投标；</w:t>
      </w:r>
    </w:p>
    <w:p>
      <w:pPr>
        <w:ind w:firstLine="480" w:firstLineChars="200"/>
        <w:rPr>
          <w:rFonts w:ascii="仿宋_GB2312" w:hAnsi="仿宋" w:eastAsia="仿宋_GB2312" w:cs="宋体"/>
          <w:bCs/>
        </w:rPr>
      </w:pPr>
      <w:r>
        <w:rPr>
          <w:rFonts w:hint="eastAsia" w:ascii="仿宋_GB2312" w:hAnsi="仿宋" w:eastAsia="仿宋_GB2312" w:cs="宋体"/>
          <w:bCs/>
        </w:rPr>
        <w:t>（2）我方提供了虚假响应磋商文件的响应文件；</w:t>
      </w:r>
    </w:p>
    <w:p>
      <w:pPr>
        <w:ind w:firstLine="480" w:firstLineChars="200"/>
        <w:rPr>
          <w:rFonts w:ascii="仿宋_GB2312" w:hAnsi="仿宋" w:eastAsia="仿宋_GB2312" w:cs="宋体"/>
          <w:bCs/>
        </w:rPr>
      </w:pPr>
      <w:r>
        <w:rPr>
          <w:rFonts w:hint="eastAsia" w:ascii="仿宋_GB2312" w:hAnsi="仿宋" w:eastAsia="仿宋_GB2312" w:cs="宋体"/>
          <w:bCs/>
        </w:rPr>
        <w:t>（3）在投标过程中有违规违纪行为；</w:t>
      </w:r>
    </w:p>
    <w:p>
      <w:pPr>
        <w:ind w:firstLine="480" w:firstLineChars="200"/>
        <w:rPr>
          <w:rFonts w:ascii="仿宋_GB2312" w:hAnsi="仿宋" w:eastAsia="仿宋_GB2312" w:cs="宋体"/>
          <w:bCs/>
        </w:rPr>
      </w:pPr>
      <w:r>
        <w:rPr>
          <w:rFonts w:hint="eastAsia" w:ascii="仿宋_GB2312" w:hAnsi="仿宋" w:eastAsia="仿宋_GB2312" w:cs="宋体"/>
          <w:bCs/>
        </w:rPr>
        <w:t>（4）我方在磋商有效期内收到成交通知书后，由于我方原因未能按照磋商文件要求提交履约保证金（如有）或与采购人签订并履行合同。</w:t>
      </w:r>
    </w:p>
    <w:p>
      <w:pPr>
        <w:ind w:firstLine="480" w:firstLineChars="200"/>
        <w:rPr>
          <w:rFonts w:ascii="仿宋_GB2312" w:hAnsi="仿宋" w:eastAsia="仿宋_GB2312" w:cs="宋体"/>
        </w:rPr>
      </w:pPr>
      <w:r>
        <w:rPr>
          <w:rFonts w:hint="eastAsia" w:ascii="仿宋_GB2312" w:hAnsi="仿宋" w:eastAsia="仿宋_GB2312" w:cs="宋体"/>
        </w:rPr>
        <w:t>2、</w:t>
      </w:r>
      <w:r>
        <w:rPr>
          <w:rFonts w:hint="eastAsia" w:ascii="仿宋_GB2312" w:hAnsi="仿宋" w:eastAsia="仿宋_GB2312" w:cs="宋体"/>
          <w:lang w:val="en-GB"/>
        </w:rPr>
        <w:t>我方已经详细地阅读了全部磋商文件及其附件（</w:t>
      </w:r>
      <w:r>
        <w:rPr>
          <w:rFonts w:hint="eastAsia" w:ascii="仿宋_GB2312" w:hAnsi="仿宋" w:eastAsia="仿宋_GB2312" w:cs="宋体"/>
        </w:rPr>
        <w:t>如有</w:t>
      </w:r>
      <w:r>
        <w:rPr>
          <w:rFonts w:hint="eastAsia" w:ascii="仿宋_GB2312" w:hAnsi="仿宋" w:eastAsia="仿宋_GB2312" w:cs="宋体"/>
          <w:lang w:val="en-GB"/>
        </w:rPr>
        <w:t>），包括澄清及参考文件。我方已完全清晰理解文件的要求，不存在任何含糊不清和误解之处，并接受磋商文件的各项条款要求，遵守文件中的各项规定，按磋商文件的要求进行</w:t>
      </w:r>
      <w:r>
        <w:rPr>
          <w:rFonts w:hint="eastAsia" w:ascii="仿宋_GB2312" w:hAnsi="仿宋" w:eastAsia="仿宋_GB2312" w:cs="宋体"/>
          <w:bCs/>
        </w:rPr>
        <w:t>磋商</w:t>
      </w:r>
      <w:r>
        <w:rPr>
          <w:rFonts w:hint="eastAsia" w:ascii="仿宋_GB2312" w:hAnsi="仿宋" w:eastAsia="仿宋_GB2312" w:cs="宋体"/>
          <w:lang w:val="en-GB"/>
        </w:rPr>
        <w:t>。</w:t>
      </w:r>
    </w:p>
    <w:p>
      <w:pPr>
        <w:ind w:firstLine="480" w:firstLineChars="200"/>
        <w:rPr>
          <w:rFonts w:ascii="仿宋_GB2312" w:hAnsi="仿宋" w:eastAsia="仿宋_GB2312" w:cs="宋体"/>
        </w:rPr>
      </w:pPr>
      <w:r>
        <w:rPr>
          <w:rFonts w:hint="eastAsia" w:ascii="仿宋_GB2312" w:hAnsi="仿宋" w:eastAsia="仿宋_GB2312" w:cs="宋体"/>
        </w:rPr>
        <w:t>3、</w:t>
      </w:r>
      <w:r>
        <w:rPr>
          <w:rFonts w:hint="eastAsia" w:ascii="仿宋_GB2312" w:hAnsi="仿宋" w:eastAsia="仿宋_GB2312" w:cs="宋体"/>
          <w:lang w:val="en-GB"/>
        </w:rPr>
        <w:t>我方已向贵方提供一切所需的证明材料。不论在任何时候，将按贵方要求如实提供一切补充材料，承诺在本次</w:t>
      </w:r>
      <w:r>
        <w:rPr>
          <w:rFonts w:hint="eastAsia" w:ascii="仿宋_GB2312" w:hAnsi="仿宋" w:eastAsia="仿宋_GB2312" w:cs="宋体"/>
          <w:bCs/>
        </w:rPr>
        <w:t>磋商</w:t>
      </w:r>
      <w:r>
        <w:rPr>
          <w:rFonts w:hint="eastAsia" w:ascii="仿宋_GB2312" w:hAnsi="仿宋" w:eastAsia="仿宋_GB2312" w:cs="宋体"/>
          <w:lang w:val="en-GB"/>
        </w:rPr>
        <w:t>中提供的一切文件，无论是原件还是复印件均为真实和准确的，绝无任何虚假、伪造和夸大的成份，否则，愿承担相应的后果和法律责任。</w:t>
      </w:r>
    </w:p>
    <w:p>
      <w:pPr>
        <w:ind w:firstLine="480" w:firstLineChars="200"/>
        <w:rPr>
          <w:rFonts w:ascii="仿宋_GB2312" w:hAnsi="仿宋" w:eastAsia="仿宋_GB2312" w:cs="宋体"/>
        </w:rPr>
      </w:pPr>
      <w:r>
        <w:rPr>
          <w:rFonts w:hint="eastAsia" w:ascii="仿宋_GB2312" w:hAnsi="仿宋" w:eastAsia="仿宋_GB2312" w:cs="宋体"/>
        </w:rPr>
        <w:t>4、我方同意按照磋商文件第二章“供应商须知”的规定，本响应文件的</w:t>
      </w:r>
      <w:r>
        <w:rPr>
          <w:rFonts w:hint="eastAsia" w:ascii="仿宋_GB2312" w:hAnsi="仿宋" w:eastAsia="仿宋_GB2312" w:cs="宋体"/>
          <w:bCs/>
        </w:rPr>
        <w:t>磋商</w:t>
      </w:r>
      <w:r>
        <w:rPr>
          <w:rFonts w:hint="eastAsia" w:ascii="仿宋_GB2312" w:hAnsi="仿宋" w:eastAsia="仿宋_GB2312" w:cs="宋体"/>
        </w:rPr>
        <w:t>有效期为从响应截止日期起计算的</w:t>
      </w:r>
      <w:r>
        <w:rPr>
          <w:rFonts w:hint="eastAsia" w:ascii="仿宋_GB2312" w:hAnsi="仿宋" w:eastAsia="仿宋_GB2312" w:cs="宋体"/>
          <w:u w:val="single"/>
        </w:rPr>
        <w:t>60</w:t>
      </w:r>
      <w:r>
        <w:rPr>
          <w:rFonts w:hint="eastAsia" w:ascii="仿宋_GB2312" w:hAnsi="仿宋" w:eastAsia="仿宋_GB2312" w:cs="宋体"/>
        </w:rPr>
        <w:t>天，在此期间，本响应文件将始终对我方具有约束力，并可随时被接受。</w:t>
      </w:r>
    </w:p>
    <w:p>
      <w:pPr>
        <w:ind w:firstLine="480"/>
        <w:rPr>
          <w:rFonts w:ascii="仿宋_GB2312" w:hAnsi="仿宋" w:eastAsia="仿宋_GB2312" w:cs="宋体"/>
        </w:rPr>
      </w:pPr>
      <w:r>
        <w:rPr>
          <w:rFonts w:hint="eastAsia" w:ascii="仿宋_GB2312" w:hAnsi="仿宋" w:eastAsia="仿宋_GB2312" w:cs="宋体"/>
        </w:rPr>
        <w:t>5、我方完全理解贵方不一定要接受最低报价的</w:t>
      </w:r>
      <w:r>
        <w:rPr>
          <w:rFonts w:hint="eastAsia" w:ascii="仿宋_GB2312" w:hAnsi="仿宋" w:eastAsia="仿宋_GB2312" w:cs="宋体"/>
          <w:bCs/>
        </w:rPr>
        <w:t>磋商</w:t>
      </w:r>
      <w:r>
        <w:rPr>
          <w:rFonts w:hint="eastAsia" w:ascii="仿宋_GB2312" w:hAnsi="仿宋" w:eastAsia="仿宋_GB2312" w:cs="宋体"/>
        </w:rPr>
        <w:t>，即</w:t>
      </w:r>
      <w:r>
        <w:rPr>
          <w:rFonts w:hint="eastAsia" w:ascii="仿宋_GB2312" w:hAnsi="仿宋" w:eastAsia="仿宋_GB2312" w:cs="宋体"/>
          <w:b/>
          <w:bCs/>
          <w:u w:val="single"/>
        </w:rPr>
        <w:t>最低报价不是成交的保证</w:t>
      </w:r>
      <w:r>
        <w:rPr>
          <w:rFonts w:hint="eastAsia" w:ascii="仿宋_GB2312" w:hAnsi="仿宋" w:eastAsia="仿宋_GB2312" w:cs="宋体"/>
        </w:rPr>
        <w:t>。</w:t>
      </w:r>
    </w:p>
    <w:p>
      <w:pPr>
        <w:ind w:firstLine="480"/>
        <w:rPr>
          <w:rFonts w:ascii="仿宋_GB2312" w:hAnsi="仿宋" w:eastAsia="仿宋_GB2312" w:cs="宋体"/>
        </w:rPr>
      </w:pPr>
      <w:r>
        <w:rPr>
          <w:rFonts w:hint="eastAsia" w:ascii="仿宋_GB2312" w:hAnsi="仿宋" w:eastAsia="仿宋_GB2312" w:cs="宋体"/>
        </w:rPr>
        <w:t>6、如果我方成交，我们将根据磋商文件的规定严格履行自己的责任和义务。</w:t>
      </w:r>
    </w:p>
    <w:p>
      <w:pPr>
        <w:ind w:firstLine="480" w:firstLineChars="200"/>
        <w:rPr>
          <w:rFonts w:ascii="仿宋_GB2312" w:hAnsi="仿宋" w:eastAsia="仿宋_GB2312" w:cs="宋体"/>
          <w:bCs/>
        </w:rPr>
      </w:pPr>
      <w:r>
        <w:rPr>
          <w:rFonts w:hint="eastAsia" w:ascii="仿宋_GB2312" w:hAnsi="仿宋" w:eastAsia="仿宋_GB2312" w:cs="宋体"/>
          <w:bCs/>
        </w:rPr>
        <w:t>供应商名称：（盖章</w:t>
      </w:r>
      <w:r>
        <w:rPr>
          <w:rFonts w:hint="eastAsia" w:ascii="仿宋_GB2312" w:hAnsi="仿宋" w:eastAsia="仿宋_GB2312" w:cs="宋体"/>
        </w:rPr>
        <w:t>）</w:t>
      </w:r>
    </w:p>
    <w:p>
      <w:pPr>
        <w:ind w:firstLine="480" w:firstLineChars="200"/>
        <w:rPr>
          <w:rFonts w:ascii="仿宋_GB2312" w:hAnsi="仿宋" w:eastAsia="仿宋_GB2312" w:cs="宋体"/>
          <w:bCs/>
        </w:rPr>
      </w:pPr>
      <w:r>
        <w:rPr>
          <w:rFonts w:hint="eastAsia" w:ascii="仿宋_GB2312" w:hAnsi="仿宋" w:eastAsia="仿宋_GB2312" w:cs="宋体"/>
          <w:bCs/>
        </w:rPr>
        <w:t>法定代表人或授权代表（签字）：</w:t>
      </w:r>
    </w:p>
    <w:p>
      <w:pPr>
        <w:ind w:firstLine="480" w:firstLineChars="200"/>
        <w:rPr>
          <w:rFonts w:ascii="仿宋_GB2312" w:hAnsi="仿宋" w:eastAsia="仿宋_GB2312" w:cs="宋体"/>
          <w:bCs/>
          <w:u w:val="single"/>
        </w:rPr>
      </w:pPr>
      <w:r>
        <w:rPr>
          <w:rFonts w:hint="eastAsia" w:ascii="仿宋_GB2312" w:hAnsi="仿宋" w:eastAsia="仿宋_GB2312" w:cs="宋体"/>
          <w:bCs/>
        </w:rPr>
        <w:t>联系电话：传    真：</w:t>
      </w:r>
    </w:p>
    <w:p>
      <w:pPr>
        <w:pStyle w:val="16"/>
        <w:tabs>
          <w:tab w:val="clear" w:pos="4153"/>
          <w:tab w:val="clear" w:pos="8306"/>
        </w:tabs>
        <w:ind w:firstLine="480" w:firstLineChars="200"/>
        <w:rPr>
          <w:rFonts w:ascii="仿宋_GB2312" w:hAnsi="仿宋" w:eastAsia="仿宋_GB2312" w:cs="宋体"/>
          <w:sz w:val="24"/>
          <w:szCs w:val="24"/>
        </w:rPr>
      </w:pPr>
      <w:r>
        <w:rPr>
          <w:rFonts w:hint="eastAsia" w:ascii="仿宋_GB2312" w:hAnsi="仿宋" w:eastAsia="仿宋_GB2312" w:cs="宋体"/>
          <w:bCs/>
          <w:sz w:val="24"/>
          <w:szCs w:val="24"/>
        </w:rPr>
        <w:t>日    期：</w:t>
      </w:r>
    </w:p>
    <w:p>
      <w:pPr>
        <w:pStyle w:val="4"/>
        <w:rPr>
          <w:rFonts w:ascii="仿宋_GB2312" w:hAnsi="仿宋" w:eastAsia="仿宋_GB2312" w:cs="宋体"/>
        </w:rPr>
      </w:pPr>
      <w:r>
        <w:rPr>
          <w:rFonts w:hint="eastAsia" w:ascii="仿宋_GB2312" w:hAnsi="仿宋" w:eastAsia="仿宋_GB2312" w:cs="宋体"/>
        </w:rPr>
        <w:t>二、报价一览表</w:t>
      </w:r>
    </w:p>
    <w:p>
      <w:pPr>
        <w:pStyle w:val="76"/>
        <w:snapToGrid w:val="0"/>
        <w:spacing w:line="240" w:lineRule="auto"/>
        <w:ind w:firstLine="643"/>
        <w:jc w:val="center"/>
        <w:rPr>
          <w:rFonts w:ascii="仿宋_GB2312" w:hAnsi="仿宋" w:eastAsia="仿宋_GB2312"/>
          <w:b/>
          <w:sz w:val="32"/>
          <w:szCs w:val="32"/>
        </w:rPr>
      </w:pPr>
      <w:r>
        <w:rPr>
          <w:rFonts w:hint="eastAsia" w:ascii="仿宋_GB2312" w:hAnsi="仿宋" w:eastAsia="仿宋_GB2312"/>
          <w:b/>
          <w:sz w:val="32"/>
          <w:szCs w:val="32"/>
        </w:rPr>
        <w:t>报价一览表</w:t>
      </w:r>
    </w:p>
    <w:p>
      <w:pPr>
        <w:spacing w:line="440" w:lineRule="exact"/>
        <w:rPr>
          <w:rFonts w:hint="eastAsia" w:ascii="仿宋_GB2312" w:hAnsi="仿宋" w:eastAsia="仿宋_GB2312" w:cs="宋体"/>
          <w:bCs/>
          <w:lang w:eastAsia="zh-CN"/>
        </w:rPr>
      </w:pPr>
      <w:r>
        <w:rPr>
          <w:rFonts w:hint="eastAsia" w:ascii="仿宋_GB2312" w:hAnsi="仿宋" w:eastAsia="仿宋_GB2312" w:cs="宋体"/>
        </w:rPr>
        <w:t>项目名称：</w:t>
      </w:r>
      <w:r>
        <w:rPr>
          <w:rFonts w:hint="eastAsia" w:ascii="仿宋_GB2312" w:hAnsi="仿宋" w:eastAsia="仿宋_GB2312" w:cs="宋体"/>
          <w:bCs/>
        </w:rPr>
        <w:t>海南省矿产资源总体规划（2021-2025年）环境影响评价（海域部分）</w:t>
      </w:r>
      <w:r>
        <w:rPr>
          <w:rFonts w:hint="eastAsia" w:ascii="仿宋_GB2312" w:hAnsi="仿宋" w:eastAsia="仿宋_GB2312" w:cs="宋体"/>
          <w:bCs/>
          <w:lang w:eastAsia="zh-CN"/>
        </w:rPr>
        <w:t>（四次）</w:t>
      </w:r>
    </w:p>
    <w:p>
      <w:pPr>
        <w:spacing w:line="440" w:lineRule="exact"/>
        <w:rPr>
          <w:rFonts w:hint="eastAsia" w:ascii="仿宋_GB2312" w:hAnsi="仿宋" w:eastAsia="仿宋_GB2312" w:cs="宋体"/>
          <w:lang w:eastAsia="zh-CN"/>
        </w:rPr>
      </w:pPr>
      <w:r>
        <w:rPr>
          <w:rFonts w:hint="eastAsia" w:ascii="仿宋_GB2312" w:hAnsi="仿宋" w:eastAsia="仿宋_GB2312" w:cs="宋体"/>
        </w:rPr>
        <w:t>项目编号：</w:t>
      </w:r>
      <w:r>
        <w:rPr>
          <w:rFonts w:hint="eastAsia" w:ascii="仿宋_GB2312" w:hAnsi="仿宋" w:eastAsia="仿宋_GB2312" w:cs="宋体"/>
          <w:lang w:eastAsia="zh-CN"/>
        </w:rPr>
        <w:t>GGP20210309Q</w:t>
      </w:r>
    </w:p>
    <w:tbl>
      <w:tblPr>
        <w:tblStyle w:val="2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_GB2312" w:hAnsi="宋体" w:eastAsia="仿宋_GB2312"/>
                <w:szCs w:val="21"/>
              </w:rPr>
            </w:pPr>
            <w:r>
              <w:rPr>
                <w:rFonts w:hint="eastAsia" w:ascii="仿宋_GB2312" w:hAnsi="宋体" w:eastAsia="仿宋_GB2312"/>
                <w:szCs w:val="21"/>
              </w:rPr>
              <w:t>总报价（人民币大写，括号内小写）：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仿宋_GB2312" w:hAnsi="宋体" w:eastAsia="仿宋_GB2312"/>
                <w:szCs w:val="21"/>
              </w:rPr>
            </w:pPr>
            <w:r>
              <w:rPr>
                <w:rFonts w:hint="eastAsia" w:ascii="仿宋_GB2312" w:hAnsi="宋体" w:eastAsia="仿宋_GB2312" w:cs="宋体"/>
                <w:bCs/>
                <w:color w:val="000000"/>
                <w:szCs w:val="21"/>
              </w:rPr>
              <w:t>服务期限</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240" w:lineRule="auto"/>
              <w:rPr>
                <w:rFonts w:ascii="仿宋_GB2312" w:hAnsi="宋体" w:eastAsia="仿宋_GB2312"/>
                <w:szCs w:val="21"/>
              </w:rPr>
            </w:pPr>
            <w:r>
              <w:rPr>
                <w:rFonts w:hint="eastAsia" w:ascii="仿宋_GB2312" w:hAnsi="宋体" w:eastAsia="仿宋_GB2312"/>
                <w:szCs w:val="21"/>
              </w:rPr>
              <w:t>备注：</w:t>
            </w:r>
            <w:r>
              <w:rPr>
                <w:rFonts w:hint="eastAsia" w:ascii="仿宋_GB2312" w:hAnsi="仿宋" w:eastAsia="仿宋_GB2312" w:cs="宋体"/>
                <w:bCs/>
              </w:rPr>
              <w:t>是否小微型企业产品：是（   ）；否（   ）</w:t>
            </w:r>
          </w:p>
          <w:p>
            <w:pPr>
              <w:pStyle w:val="23"/>
              <w:adjustRightInd w:val="0"/>
              <w:snapToGrid w:val="0"/>
              <w:spacing w:beforeLines="50" w:afterLines="50" w:line="240" w:lineRule="auto"/>
              <w:ind w:firstLine="720" w:firstLineChars="300"/>
              <w:rPr>
                <w:rFonts w:ascii="仿宋_GB2312" w:eastAsia="仿宋_GB2312"/>
              </w:rPr>
            </w:pPr>
            <w:r>
              <w:rPr>
                <w:rFonts w:hint="eastAsia" w:ascii="仿宋_GB2312" w:hAnsi="仿宋" w:eastAsia="仿宋_GB2312" w:cs="宋体"/>
                <w:bCs/>
              </w:rPr>
              <w:t>是否监狱企业参加采购活动：是（   ）；否（   ）</w:t>
            </w:r>
          </w:p>
          <w:p>
            <w:pPr>
              <w:pStyle w:val="23"/>
              <w:adjustRightInd w:val="0"/>
              <w:snapToGrid w:val="0"/>
              <w:spacing w:beforeLines="50" w:afterLines="50" w:line="240" w:lineRule="auto"/>
              <w:ind w:firstLine="720" w:firstLineChars="300"/>
              <w:rPr>
                <w:rFonts w:ascii="仿宋_GB2312" w:eastAsia="仿宋_GB2312"/>
              </w:rPr>
            </w:pPr>
            <w:r>
              <w:rPr>
                <w:rFonts w:hint="eastAsia" w:ascii="仿宋_GB2312" w:hAnsi="仿宋" w:eastAsia="仿宋_GB2312" w:cs="宋体"/>
                <w:bCs/>
              </w:rPr>
              <w:t>是否残疾人福利性单位参加采购活动：是（   ）；否（   ）</w:t>
            </w:r>
          </w:p>
        </w:tc>
      </w:tr>
    </w:tbl>
    <w:p>
      <w:pPr>
        <w:topLinePunct/>
        <w:adjustRightInd w:val="0"/>
        <w:snapToGrid w:val="0"/>
        <w:ind w:firstLine="480" w:firstLineChars="200"/>
        <w:rPr>
          <w:rFonts w:ascii="仿宋_GB2312" w:hAnsi="仿宋" w:eastAsia="仿宋_GB2312" w:cs="宋体"/>
        </w:rPr>
      </w:pPr>
      <w:r>
        <w:rPr>
          <w:rFonts w:hint="eastAsia" w:ascii="仿宋_GB2312" w:hAnsi="仿宋" w:eastAsia="仿宋_GB2312" w:cs="宋体"/>
        </w:rPr>
        <w:t>交货地点：用户指定地点。</w:t>
      </w:r>
    </w:p>
    <w:p>
      <w:pPr>
        <w:adjustRightInd w:val="0"/>
        <w:snapToGrid w:val="0"/>
        <w:ind w:firstLine="482" w:firstLineChars="200"/>
        <w:rPr>
          <w:rFonts w:ascii="仿宋_GB2312" w:hAnsi="仿宋" w:eastAsia="仿宋_GB2312" w:cs="宋体"/>
          <w:b/>
        </w:rPr>
      </w:pPr>
      <w:r>
        <w:rPr>
          <w:rFonts w:hint="eastAsia" w:ascii="仿宋_GB2312" w:hAnsi="仿宋" w:eastAsia="仿宋_GB2312" w:cs="宋体"/>
          <w:b/>
          <w:bCs/>
        </w:rPr>
        <w:t xml:space="preserve">注: </w:t>
      </w:r>
    </w:p>
    <w:p>
      <w:pPr>
        <w:adjustRightInd w:val="0"/>
        <w:snapToGrid w:val="0"/>
        <w:ind w:firstLine="480" w:firstLineChars="200"/>
        <w:rPr>
          <w:rFonts w:ascii="仿宋_GB2312" w:hAnsi="仿宋" w:eastAsia="仿宋_GB2312" w:cs="宋体"/>
        </w:rPr>
      </w:pPr>
      <w:r>
        <w:rPr>
          <w:rFonts w:hint="eastAsia" w:ascii="仿宋_GB2312" w:hAnsi="仿宋" w:eastAsia="仿宋_GB2312" w:cs="宋体"/>
        </w:rPr>
        <w:t>1、是否小微型企业产品栏，在相应的括弧里打勾（√）,空白则默认为非小微型产品响应。</w:t>
      </w:r>
    </w:p>
    <w:p>
      <w:pPr>
        <w:adjustRightInd w:val="0"/>
        <w:snapToGrid w:val="0"/>
        <w:ind w:firstLine="480" w:firstLineChars="200"/>
        <w:rPr>
          <w:rFonts w:ascii="仿宋_GB2312" w:hAnsi="仿宋" w:eastAsia="仿宋_GB2312" w:cs="宋体"/>
        </w:rPr>
      </w:pPr>
      <w:r>
        <w:rPr>
          <w:rFonts w:hint="eastAsia" w:ascii="仿宋_GB2312" w:hAnsi="仿宋" w:eastAsia="仿宋_GB2312" w:cs="宋体"/>
        </w:rPr>
        <w:t>2、是否监狱企业栏，在相应的括弧里打勾（√）,空白则默认为非监狱企业参与响应。</w:t>
      </w:r>
    </w:p>
    <w:p>
      <w:pPr>
        <w:adjustRightInd w:val="0"/>
        <w:snapToGrid w:val="0"/>
        <w:ind w:firstLine="480" w:firstLineChars="200"/>
        <w:rPr>
          <w:rFonts w:ascii="仿宋_GB2312" w:hAnsi="仿宋" w:eastAsia="仿宋_GB2312" w:cs="宋体"/>
          <w:bCs/>
        </w:rPr>
      </w:pPr>
      <w:r>
        <w:rPr>
          <w:rFonts w:hint="eastAsia" w:ascii="仿宋_GB2312" w:hAnsi="仿宋" w:eastAsia="仿宋_GB2312" w:cs="宋体"/>
        </w:rPr>
        <w:t>3、是否残疾人福利性单位栏，在相应的括弧里打勾（√）,空白则默认为非残疾人福利性单位参与响应</w:t>
      </w:r>
      <w:r>
        <w:rPr>
          <w:rFonts w:hint="eastAsia" w:ascii="仿宋_GB2312" w:hAnsi="仿宋" w:eastAsia="仿宋_GB2312" w:cs="宋体"/>
          <w:bCs/>
        </w:rPr>
        <w:t>。</w:t>
      </w:r>
    </w:p>
    <w:p>
      <w:pPr>
        <w:pStyle w:val="23"/>
        <w:adjustRightInd w:val="0"/>
        <w:snapToGrid w:val="0"/>
        <w:spacing w:after="0"/>
        <w:ind w:firstLine="480" w:firstLineChars="200"/>
        <w:rPr>
          <w:rFonts w:ascii="仿宋_GB2312" w:eastAsia="仿宋_GB2312"/>
        </w:rPr>
      </w:pPr>
      <w:r>
        <w:rPr>
          <w:rFonts w:hint="eastAsia" w:ascii="仿宋_GB2312" w:eastAsia="仿宋_GB2312"/>
        </w:rPr>
        <w:t>4、所有价格均用人民币表示，单位为元，精确到个数位；</w:t>
      </w:r>
    </w:p>
    <w:p>
      <w:pPr>
        <w:pStyle w:val="23"/>
        <w:adjustRightInd w:val="0"/>
        <w:snapToGrid w:val="0"/>
        <w:spacing w:after="0"/>
        <w:ind w:firstLine="480" w:firstLineChars="200"/>
        <w:rPr>
          <w:rFonts w:ascii="仿宋_GB2312" w:eastAsia="仿宋_GB2312"/>
        </w:rPr>
      </w:pPr>
      <w:r>
        <w:rPr>
          <w:rFonts w:hint="eastAsia" w:ascii="仿宋_GB2312" w:eastAsia="仿宋_GB2312"/>
        </w:rPr>
        <w:t>5、磋商报价包括：项目策划、数据采集分析处理及形成成果等服务全过程所需花费的人工费、材料费、仪器设备使用费、交通费、差旅费、售后服务、保险、税金等一切费用，合同履行过程中，采购人不再支付任何费用。</w:t>
      </w:r>
    </w:p>
    <w:p>
      <w:pPr>
        <w:pStyle w:val="23"/>
        <w:adjustRightInd w:val="0"/>
        <w:snapToGrid w:val="0"/>
        <w:spacing w:after="0"/>
        <w:ind w:firstLine="480" w:firstLineChars="200"/>
        <w:rPr>
          <w:rFonts w:ascii="仿宋_GB2312" w:eastAsia="仿宋_GB2312"/>
        </w:rPr>
      </w:pPr>
      <w:r>
        <w:rPr>
          <w:rFonts w:hint="eastAsia" w:ascii="仿宋_GB2312" w:eastAsia="仿宋_GB2312"/>
        </w:rPr>
        <w:t>6、供应商应就“项目服务需求”中所有的服务内容做唯一完整报价；如有漏项，视同已包含在其他项目中，合同总价不做调整。</w:t>
      </w:r>
    </w:p>
    <w:p>
      <w:pPr>
        <w:pStyle w:val="23"/>
        <w:adjustRightInd w:val="0"/>
        <w:snapToGrid w:val="0"/>
        <w:spacing w:after="0"/>
        <w:ind w:firstLine="480" w:firstLineChars="200"/>
        <w:rPr>
          <w:rFonts w:ascii="仿宋_GB2312" w:eastAsia="仿宋_GB2312"/>
        </w:rPr>
      </w:pPr>
    </w:p>
    <w:p>
      <w:pPr>
        <w:pStyle w:val="23"/>
        <w:adjustRightInd w:val="0"/>
        <w:snapToGrid w:val="0"/>
        <w:spacing w:beforeLines="50" w:afterLines="50"/>
        <w:ind w:firstLine="2040" w:firstLineChars="850"/>
        <w:rPr>
          <w:rFonts w:ascii="仿宋_GB2312" w:eastAsia="仿宋_GB2312"/>
        </w:rPr>
      </w:pPr>
      <w:r>
        <w:rPr>
          <w:rFonts w:hint="eastAsia" w:ascii="仿宋_GB2312" w:eastAsia="仿宋_GB2312"/>
        </w:rPr>
        <w:t>法定代表人或法定代表人授权代表（签字）:</w:t>
      </w:r>
      <w:r>
        <w:rPr>
          <w:rFonts w:ascii="仿宋" w:hAnsi="仿宋" w:eastAsia="仿宋"/>
        </w:rPr>
        <w:t>_________________</w:t>
      </w:r>
    </w:p>
    <w:p>
      <w:pPr>
        <w:pStyle w:val="23"/>
        <w:adjustRightInd w:val="0"/>
        <w:snapToGrid w:val="0"/>
        <w:spacing w:beforeLines="50" w:afterLines="50"/>
        <w:ind w:firstLine="3780" w:firstLineChars="1575"/>
        <w:rPr>
          <w:rFonts w:ascii="仿宋_GB2312" w:eastAsia="仿宋_GB2312"/>
        </w:rPr>
      </w:pPr>
      <w:r>
        <w:rPr>
          <w:rFonts w:hint="eastAsia" w:ascii="仿宋_GB2312" w:eastAsia="仿宋_GB2312"/>
        </w:rPr>
        <w:t>磋商供应商名称（签章）：</w:t>
      </w:r>
      <w:r>
        <w:rPr>
          <w:rFonts w:ascii="仿宋" w:hAnsi="仿宋" w:eastAsia="仿宋"/>
        </w:rPr>
        <w:t>___________________</w:t>
      </w:r>
    </w:p>
    <w:p>
      <w:pPr>
        <w:pStyle w:val="23"/>
        <w:adjustRightInd w:val="0"/>
        <w:snapToGrid w:val="0"/>
        <w:spacing w:beforeLines="50" w:afterLines="50"/>
        <w:ind w:firstLine="5040" w:firstLineChars="2100"/>
        <w:rPr>
          <w:rFonts w:ascii="仿宋_GB2312" w:eastAsia="仿宋_GB2312"/>
        </w:rPr>
      </w:pPr>
      <w:r>
        <w:rPr>
          <w:rFonts w:hint="eastAsia" w:ascii="仿宋_GB2312" w:eastAsia="仿宋_GB2312"/>
        </w:rPr>
        <w:t>报价时间：     年     月    日</w:t>
      </w:r>
      <w:r>
        <w:rPr>
          <w:rFonts w:ascii="仿宋_GB2312" w:eastAsia="仿宋_GB2312"/>
        </w:rPr>
        <w:br w:type="page"/>
      </w:r>
    </w:p>
    <w:p>
      <w:pPr>
        <w:pStyle w:val="4"/>
        <w:rPr>
          <w:rFonts w:ascii="仿宋_GB2312" w:hAnsi="仿宋" w:eastAsia="仿宋_GB2312" w:cs="宋体"/>
        </w:rPr>
      </w:pPr>
      <w:r>
        <w:rPr>
          <w:rFonts w:hint="eastAsia" w:ascii="仿宋_GB2312" w:hAnsi="仿宋" w:eastAsia="仿宋_GB2312" w:cs="宋体"/>
        </w:rPr>
        <w:t>三、法人授权资料</w:t>
      </w:r>
    </w:p>
    <w:p>
      <w:pPr>
        <w:pStyle w:val="5"/>
        <w:jc w:val="center"/>
        <w:rPr>
          <w:rFonts w:ascii="仿宋_GB2312" w:hAnsi="仿宋" w:eastAsia="仿宋_GB2312" w:cs="宋体"/>
          <w:sz w:val="32"/>
        </w:rPr>
      </w:pPr>
      <w:r>
        <w:rPr>
          <w:rFonts w:hint="eastAsia" w:ascii="仿宋_GB2312" w:hAnsi="仿宋" w:eastAsia="仿宋_GB2312" w:cs="宋体"/>
          <w:sz w:val="32"/>
        </w:rPr>
        <w:t>（一）法定代表人证明书</w:t>
      </w:r>
    </w:p>
    <w:p>
      <w:pPr>
        <w:jc w:val="center"/>
        <w:rPr>
          <w:rFonts w:ascii="仿宋_GB2312" w:hAnsi="仿宋" w:eastAsia="仿宋_GB2312" w:cs="宋体"/>
          <w:b/>
        </w:rPr>
      </w:pPr>
    </w:p>
    <w:p>
      <w:pPr>
        <w:snapToGrid w:val="0"/>
        <w:spacing w:beforeLines="50" w:afterLines="50"/>
        <w:rPr>
          <w:rFonts w:ascii="仿宋_GB2312" w:hAnsi="仿宋" w:eastAsia="仿宋_GB2312" w:cs="宋体"/>
        </w:rPr>
      </w:pPr>
      <w:r>
        <w:rPr>
          <w:rFonts w:hint="eastAsia" w:ascii="仿宋_GB2312" w:hAnsi="仿宋" w:eastAsia="仿宋_GB2312" w:cs="宋体"/>
        </w:rPr>
        <w:t>供 应 商：</w:t>
      </w:r>
    </w:p>
    <w:p>
      <w:pPr>
        <w:snapToGrid w:val="0"/>
        <w:spacing w:beforeLines="50" w:afterLines="50"/>
        <w:rPr>
          <w:rFonts w:ascii="仿宋_GB2312" w:hAnsi="仿宋" w:eastAsia="仿宋_GB2312" w:cs="宋体"/>
          <w:u w:val="single"/>
        </w:rPr>
      </w:pPr>
      <w:r>
        <w:rPr>
          <w:rFonts w:hint="eastAsia" w:ascii="仿宋_GB2312" w:hAnsi="仿宋" w:eastAsia="仿宋_GB2312" w:cs="宋体"/>
        </w:rPr>
        <w:t>单位性质：</w:t>
      </w:r>
    </w:p>
    <w:p>
      <w:pPr>
        <w:snapToGrid w:val="0"/>
        <w:spacing w:beforeLines="50" w:afterLines="50"/>
        <w:rPr>
          <w:rFonts w:ascii="仿宋_GB2312" w:hAnsi="仿宋" w:eastAsia="仿宋_GB2312" w:cs="宋体"/>
        </w:rPr>
      </w:pPr>
      <w:r>
        <w:rPr>
          <w:rFonts w:hint="eastAsia" w:ascii="仿宋_GB2312" w:hAnsi="仿宋" w:eastAsia="仿宋_GB2312" w:cs="宋体"/>
        </w:rPr>
        <w:t>地    址：</w:t>
      </w:r>
    </w:p>
    <w:p>
      <w:pPr>
        <w:snapToGrid w:val="0"/>
        <w:spacing w:beforeLines="50" w:afterLines="50"/>
        <w:rPr>
          <w:rFonts w:ascii="仿宋_GB2312" w:hAnsi="仿宋" w:eastAsia="仿宋_GB2312" w:cs="宋体"/>
        </w:rPr>
      </w:pPr>
      <w:r>
        <w:rPr>
          <w:rFonts w:hint="eastAsia" w:ascii="仿宋_GB2312" w:hAnsi="仿宋" w:eastAsia="仿宋_GB2312" w:cs="宋体"/>
        </w:rPr>
        <w:t>成立时间：年月日</w:t>
      </w:r>
    </w:p>
    <w:p>
      <w:pPr>
        <w:snapToGrid w:val="0"/>
        <w:spacing w:beforeLines="50" w:afterLines="50"/>
        <w:rPr>
          <w:rFonts w:ascii="仿宋_GB2312" w:hAnsi="仿宋" w:eastAsia="仿宋_GB2312" w:cs="宋体"/>
        </w:rPr>
      </w:pPr>
      <w:r>
        <w:rPr>
          <w:rFonts w:hint="eastAsia" w:ascii="仿宋_GB2312" w:hAnsi="仿宋" w:eastAsia="仿宋_GB2312" w:cs="宋体"/>
        </w:rPr>
        <w:t>经营期限：</w:t>
      </w:r>
    </w:p>
    <w:p>
      <w:pPr>
        <w:snapToGrid w:val="0"/>
        <w:spacing w:beforeLines="50" w:afterLines="50"/>
        <w:rPr>
          <w:rFonts w:ascii="仿宋_GB2312" w:hAnsi="仿宋" w:eastAsia="仿宋_GB2312" w:cs="宋体"/>
        </w:rPr>
      </w:pPr>
      <w:r>
        <w:rPr>
          <w:rFonts w:hint="eastAsia" w:ascii="仿宋_GB2312" w:hAnsi="仿宋" w:eastAsia="仿宋_GB2312" w:cs="宋体"/>
        </w:rPr>
        <w:t>姓    名：性    别：</w:t>
      </w:r>
      <w:r>
        <w:rPr>
          <w:rFonts w:hint="eastAsia" w:ascii="仿宋_GB2312" w:hAnsi="仿宋" w:eastAsia="仿宋_GB2312" w:cs="宋体"/>
          <w:color w:val="FFFFFF"/>
          <w:u w:val="single"/>
        </w:rPr>
        <w:t>，</w:t>
      </w:r>
    </w:p>
    <w:p>
      <w:pPr>
        <w:snapToGrid w:val="0"/>
        <w:spacing w:beforeLines="50" w:afterLines="50"/>
        <w:rPr>
          <w:rFonts w:ascii="仿宋_GB2312" w:hAnsi="仿宋" w:eastAsia="仿宋_GB2312" w:cs="宋体"/>
        </w:rPr>
      </w:pPr>
      <w:r>
        <w:rPr>
          <w:rFonts w:hint="eastAsia" w:ascii="仿宋_GB2312" w:hAnsi="仿宋" w:eastAsia="仿宋_GB2312" w:cs="宋体"/>
        </w:rPr>
        <w:t>年    龄：职    务：</w:t>
      </w:r>
      <w:r>
        <w:rPr>
          <w:rFonts w:hint="eastAsia" w:ascii="仿宋_GB2312" w:hAnsi="仿宋" w:eastAsia="仿宋_GB2312" w:cs="宋体"/>
          <w:color w:val="FFFFFF"/>
          <w:u w:val="single"/>
        </w:rPr>
        <w:t>，</w:t>
      </w:r>
    </w:p>
    <w:p>
      <w:pPr>
        <w:snapToGrid w:val="0"/>
        <w:spacing w:beforeLines="50" w:afterLines="50"/>
        <w:rPr>
          <w:rFonts w:ascii="仿宋_GB2312" w:hAnsi="仿宋" w:eastAsia="仿宋_GB2312" w:cs="宋体"/>
        </w:rPr>
      </w:pPr>
      <w:r>
        <w:rPr>
          <w:rFonts w:hint="eastAsia" w:ascii="仿宋_GB2312" w:hAnsi="仿宋" w:eastAsia="仿宋_GB2312" w:cs="宋体"/>
        </w:rPr>
        <w:t>系（供应商名称）的法定代表人。</w:t>
      </w:r>
    </w:p>
    <w:p>
      <w:pPr>
        <w:snapToGrid w:val="0"/>
        <w:spacing w:beforeLines="50" w:afterLines="50"/>
        <w:rPr>
          <w:rFonts w:ascii="仿宋_GB2312" w:hAnsi="仿宋" w:eastAsia="仿宋_GB2312" w:cs="宋体"/>
        </w:rPr>
      </w:pPr>
      <w:r>
        <w:rPr>
          <w:rFonts w:hint="eastAsia" w:ascii="仿宋_GB2312" w:hAnsi="仿宋" w:eastAsia="仿宋_GB2312" w:cs="宋体"/>
        </w:rPr>
        <w:t>特此证明。</w:t>
      </w:r>
    </w:p>
    <w:p>
      <w:pPr>
        <w:snapToGrid w:val="0"/>
        <w:spacing w:beforeLines="50" w:afterLines="50"/>
        <w:rPr>
          <w:rFonts w:ascii="仿宋_GB2312" w:hAnsi="仿宋" w:eastAsia="仿宋_GB2312" w:cs="宋体"/>
        </w:rPr>
      </w:pPr>
      <w:r>
        <w:rPr>
          <w:rFonts w:hint="eastAsia" w:ascii="仿宋_GB2312" w:hAnsi="仿宋" w:eastAsia="仿宋_GB2312" w:cs="宋体"/>
        </w:rPr>
        <w:t>附：法定代表人二代身份证（正反两面）复印件</w:t>
      </w:r>
    </w:p>
    <w:p>
      <w:pPr>
        <w:snapToGrid w:val="0"/>
        <w:spacing w:beforeLines="50" w:afterLines="50"/>
        <w:rPr>
          <w:rFonts w:ascii="仿宋_GB2312" w:hAnsi="仿宋" w:eastAsia="仿宋_GB2312" w:cs="宋体"/>
        </w:rPr>
      </w:pPr>
    </w:p>
    <w:p>
      <w:pPr>
        <w:snapToGrid w:val="0"/>
        <w:spacing w:beforeLines="50" w:afterLines="50"/>
        <w:rPr>
          <w:rFonts w:ascii="仿宋_GB2312" w:hAnsi="仿宋" w:eastAsia="仿宋_GB2312" w:cs="宋体"/>
        </w:rPr>
      </w:pPr>
    </w:p>
    <w:p>
      <w:pPr>
        <w:snapToGrid w:val="0"/>
        <w:spacing w:beforeLines="50" w:afterLines="50"/>
        <w:jc w:val="right"/>
        <w:rPr>
          <w:rFonts w:ascii="仿宋_GB2312" w:hAnsi="仿宋" w:eastAsia="仿宋_GB2312" w:cs="宋体"/>
        </w:rPr>
      </w:pPr>
      <w:r>
        <w:rPr>
          <w:rFonts w:hint="eastAsia" w:ascii="仿宋_GB2312" w:hAnsi="仿宋" w:eastAsia="仿宋_GB2312" w:cs="宋体"/>
        </w:rPr>
        <w:t>供应商：（盖单位章）</w:t>
      </w:r>
    </w:p>
    <w:p>
      <w:pPr>
        <w:pStyle w:val="23"/>
        <w:ind w:firstLine="240"/>
        <w:jc w:val="right"/>
      </w:pPr>
      <w:r>
        <w:rPr>
          <w:rFonts w:hint="eastAsia" w:ascii="仿宋_GB2312" w:hAnsi="仿宋" w:eastAsia="仿宋_GB2312"/>
          <w:u w:val="single"/>
        </w:rPr>
        <w:t xml:space="preserve">       </w:t>
      </w:r>
      <w:r>
        <w:rPr>
          <w:rFonts w:hint="eastAsia" w:ascii="仿宋_GB2312" w:hAnsi="仿宋" w:eastAsia="仿宋_GB2312"/>
        </w:rPr>
        <w:t>年</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日</w:t>
      </w:r>
      <w:r>
        <w:br w:type="page"/>
      </w:r>
    </w:p>
    <w:p>
      <w:pPr>
        <w:pStyle w:val="5"/>
        <w:jc w:val="center"/>
        <w:rPr>
          <w:rFonts w:ascii="仿宋_GB2312" w:hAnsi="仿宋" w:eastAsia="仿宋_GB2312" w:cs="宋体"/>
          <w:sz w:val="32"/>
        </w:rPr>
      </w:pPr>
      <w:r>
        <w:rPr>
          <w:rFonts w:hint="eastAsia" w:ascii="仿宋_GB2312" w:hAnsi="仿宋" w:eastAsia="仿宋_GB2312" w:cs="宋体"/>
          <w:sz w:val="32"/>
        </w:rPr>
        <w:t>（二）法定代表人授权书</w:t>
      </w:r>
    </w:p>
    <w:p>
      <w:pPr>
        <w:pStyle w:val="75"/>
        <w:spacing w:beforeLines="50" w:afterLines="50"/>
        <w:rPr>
          <w:rFonts w:ascii="仿宋_GB2312" w:hAnsi="仿宋" w:eastAsia="仿宋_GB2312" w:cs="宋体"/>
          <w:b/>
          <w:szCs w:val="24"/>
          <w:u w:val="single"/>
        </w:rPr>
      </w:pPr>
      <w:r>
        <w:rPr>
          <w:rFonts w:hint="eastAsia" w:ascii="仿宋_GB2312" w:hAnsi="仿宋" w:eastAsia="仿宋_GB2312" w:cs="宋体"/>
          <w:b/>
          <w:szCs w:val="24"/>
          <w:u w:val="single"/>
        </w:rPr>
        <w:t>致：海南金政采项目管理有限公司</w:t>
      </w:r>
    </w:p>
    <w:p>
      <w:pPr>
        <w:pStyle w:val="75"/>
        <w:spacing w:beforeLines="50" w:afterLines="50"/>
        <w:rPr>
          <w:rFonts w:ascii="仿宋_GB2312" w:hAnsi="仿宋" w:eastAsia="仿宋_GB2312" w:cs="宋体"/>
          <w:szCs w:val="24"/>
        </w:rPr>
      </w:pPr>
      <w:r>
        <w:rPr>
          <w:rFonts w:hint="eastAsia" w:ascii="仿宋_GB2312" w:hAnsi="仿宋" w:eastAsia="仿宋_GB2312" w:cs="宋体"/>
          <w:szCs w:val="24"/>
        </w:rPr>
        <w:t>本授权书声明：</w:t>
      </w:r>
    </w:p>
    <w:p>
      <w:pPr>
        <w:snapToGrid w:val="0"/>
        <w:spacing w:beforeLines="50" w:afterLines="50"/>
        <w:rPr>
          <w:rFonts w:ascii="仿宋_GB2312" w:hAnsi="仿宋" w:eastAsia="仿宋_GB2312" w:cs="宋体"/>
          <w:u w:val="single"/>
        </w:rPr>
      </w:pPr>
      <w:r>
        <w:rPr>
          <w:rFonts w:hint="eastAsia" w:ascii="仿宋_GB2312" w:hAnsi="仿宋" w:eastAsia="仿宋_GB2312" w:cs="宋体"/>
        </w:rPr>
        <w:t>委托人：姓名：性别：出生日期：</w:t>
      </w:r>
      <w:r>
        <w:rPr>
          <w:rFonts w:hint="eastAsia" w:ascii="仿宋_GB2312" w:hAnsi="仿宋" w:eastAsia="仿宋_GB2312" w:cs="宋体"/>
          <w:u w:val="single"/>
        </w:rPr>
        <w:t xml:space="preserve">    年  月  日</w:t>
      </w:r>
    </w:p>
    <w:p>
      <w:pPr>
        <w:snapToGrid w:val="0"/>
        <w:spacing w:beforeLines="50" w:afterLines="50"/>
        <w:rPr>
          <w:rFonts w:ascii="仿宋_GB2312" w:hAnsi="仿宋" w:eastAsia="仿宋_GB2312" w:cs="宋体"/>
          <w:u w:val="single"/>
        </w:rPr>
      </w:pPr>
      <w:r>
        <w:rPr>
          <w:rFonts w:hint="eastAsia" w:ascii="仿宋_GB2312" w:hAnsi="仿宋" w:eastAsia="仿宋_GB2312" w:cs="宋体"/>
        </w:rPr>
        <w:t>所在单位：  职务：</w:t>
      </w:r>
    </w:p>
    <w:p>
      <w:pPr>
        <w:snapToGrid w:val="0"/>
        <w:spacing w:beforeLines="50" w:afterLines="50"/>
        <w:rPr>
          <w:rFonts w:ascii="仿宋_GB2312" w:hAnsi="仿宋" w:eastAsia="仿宋_GB2312" w:cs="宋体"/>
          <w:u w:val="single"/>
        </w:rPr>
      </w:pPr>
      <w:r>
        <w:rPr>
          <w:rFonts w:hint="eastAsia" w:ascii="仿宋_GB2312" w:hAnsi="仿宋" w:eastAsia="仿宋_GB2312" w:cs="宋体"/>
        </w:rPr>
        <w:t xml:space="preserve">身份证：联系方式: </w:t>
      </w:r>
    </w:p>
    <w:p>
      <w:pPr>
        <w:snapToGrid w:val="0"/>
        <w:spacing w:beforeLines="50" w:afterLines="50"/>
        <w:rPr>
          <w:rFonts w:ascii="仿宋_GB2312" w:hAnsi="仿宋" w:eastAsia="仿宋_GB2312" w:cs="宋体"/>
        </w:rPr>
      </w:pPr>
      <w:r>
        <w:rPr>
          <w:rFonts w:hint="eastAsia" w:ascii="仿宋_GB2312" w:hAnsi="仿宋" w:eastAsia="仿宋_GB2312" w:cs="宋体"/>
        </w:rPr>
        <w:t>受托人：姓名： 性别： 出生日期：</w:t>
      </w:r>
      <w:r>
        <w:rPr>
          <w:rFonts w:hint="eastAsia" w:ascii="仿宋_GB2312" w:hAnsi="仿宋" w:eastAsia="仿宋_GB2312" w:cs="宋体"/>
          <w:u w:val="single"/>
        </w:rPr>
        <w:t xml:space="preserve">    年  月  日</w:t>
      </w:r>
    </w:p>
    <w:p>
      <w:pPr>
        <w:snapToGrid w:val="0"/>
        <w:spacing w:beforeLines="50" w:afterLines="50"/>
        <w:rPr>
          <w:rFonts w:ascii="仿宋_GB2312" w:hAnsi="仿宋" w:eastAsia="仿宋_GB2312" w:cs="宋体"/>
        </w:rPr>
      </w:pPr>
      <w:r>
        <w:rPr>
          <w:rFonts w:hint="eastAsia" w:ascii="仿宋_GB2312" w:hAnsi="仿宋" w:eastAsia="仿宋_GB2312" w:cs="宋体"/>
        </w:rPr>
        <w:t>所在单位：职务：</w:t>
      </w:r>
    </w:p>
    <w:p>
      <w:pPr>
        <w:snapToGrid w:val="0"/>
        <w:spacing w:beforeLines="50" w:afterLines="50"/>
        <w:rPr>
          <w:rFonts w:ascii="仿宋_GB2312" w:hAnsi="仿宋" w:eastAsia="仿宋_GB2312" w:cs="宋体"/>
        </w:rPr>
      </w:pPr>
      <w:r>
        <w:rPr>
          <w:rFonts w:hint="eastAsia" w:ascii="仿宋_GB2312" w:hAnsi="仿宋" w:eastAsia="仿宋_GB2312" w:cs="宋体"/>
        </w:rPr>
        <w:t>身份证：联系方式:</w:t>
      </w:r>
    </w:p>
    <w:p>
      <w:pPr>
        <w:spacing w:beforeLines="50" w:afterLines="50"/>
        <w:ind w:firstLine="600" w:firstLineChars="250"/>
        <w:rPr>
          <w:rFonts w:ascii="仿宋_GB2312" w:hAnsi="仿宋" w:eastAsia="仿宋_GB2312" w:cs="宋体"/>
        </w:rPr>
      </w:pPr>
      <w:r>
        <w:rPr>
          <w:rFonts w:hint="eastAsia" w:ascii="仿宋_GB2312" w:hAnsi="仿宋" w:eastAsia="仿宋_GB2312" w:cs="宋体"/>
        </w:rPr>
        <w:t>兹委托受托人代表我单位合法地参加</w:t>
      </w:r>
      <w:r>
        <w:rPr>
          <w:rFonts w:hint="eastAsia" w:ascii="仿宋_GB2312" w:hAnsi="仿宋" w:eastAsia="仿宋_GB2312" w:cs="宋体"/>
          <w:u w:val="single"/>
        </w:rPr>
        <w:t>海南省矿产资源总体规划（2021-2025年）环境影响评价（海域部分）</w:t>
      </w:r>
      <w:r>
        <w:rPr>
          <w:rFonts w:hint="eastAsia" w:ascii="仿宋_GB2312" w:hAnsi="仿宋" w:eastAsia="仿宋_GB2312" w:cs="宋体"/>
          <w:u w:val="single"/>
          <w:lang w:eastAsia="zh-CN"/>
        </w:rPr>
        <w:t>（四次）</w:t>
      </w:r>
      <w:r>
        <w:rPr>
          <w:rFonts w:hint="eastAsia" w:ascii="仿宋_GB2312" w:hAnsi="仿宋" w:eastAsia="仿宋_GB2312" w:cs="宋体"/>
        </w:rPr>
        <w:t>采购活动，受托人有权在该活动中办理以下事宜：</w:t>
      </w:r>
    </w:p>
    <w:p>
      <w:pPr>
        <w:snapToGrid w:val="0"/>
        <w:spacing w:beforeLines="50" w:afterLines="50"/>
        <w:rPr>
          <w:rFonts w:ascii="仿宋_GB2312" w:hAnsi="仿宋" w:eastAsia="仿宋_GB2312" w:cs="宋体"/>
        </w:rPr>
      </w:pPr>
      <w:r>
        <w:rPr>
          <w:rFonts w:hint="eastAsia" w:ascii="仿宋_GB2312" w:hAnsi="仿宋" w:eastAsia="仿宋_GB2312" w:cs="宋体"/>
        </w:rPr>
        <w:t>1、以我单位的名义签署投标函和响应文件；</w:t>
      </w:r>
    </w:p>
    <w:p>
      <w:pPr>
        <w:snapToGrid w:val="0"/>
        <w:spacing w:beforeLines="50" w:afterLines="50"/>
        <w:rPr>
          <w:rFonts w:ascii="仿宋_GB2312" w:hAnsi="仿宋" w:eastAsia="仿宋_GB2312" w:cs="宋体"/>
        </w:rPr>
      </w:pPr>
      <w:r>
        <w:rPr>
          <w:rFonts w:hint="eastAsia" w:ascii="仿宋_GB2312" w:hAnsi="仿宋" w:eastAsia="仿宋_GB2312" w:cs="宋体"/>
        </w:rPr>
        <w:t>2、参加磋商会议；</w:t>
      </w:r>
    </w:p>
    <w:p>
      <w:pPr>
        <w:snapToGrid w:val="0"/>
        <w:spacing w:beforeLines="50" w:afterLines="50"/>
        <w:rPr>
          <w:rFonts w:ascii="仿宋_GB2312" w:hAnsi="仿宋" w:eastAsia="仿宋_GB2312" w:cs="宋体"/>
        </w:rPr>
      </w:pPr>
      <w:r>
        <w:rPr>
          <w:rFonts w:hint="eastAsia" w:ascii="仿宋_GB2312" w:hAnsi="仿宋" w:eastAsia="仿宋_GB2312" w:cs="宋体"/>
        </w:rPr>
        <w:t>3、向磋商小组及采购代理机构澄清、解释响应文件中的疑问；</w:t>
      </w:r>
    </w:p>
    <w:p>
      <w:pPr>
        <w:snapToGrid w:val="0"/>
        <w:spacing w:beforeLines="50" w:afterLines="50"/>
        <w:rPr>
          <w:rFonts w:ascii="仿宋_GB2312" w:hAnsi="仿宋" w:eastAsia="仿宋_GB2312" w:cs="宋体"/>
        </w:rPr>
      </w:pPr>
      <w:r>
        <w:rPr>
          <w:rFonts w:hint="eastAsia" w:ascii="仿宋_GB2312" w:hAnsi="仿宋" w:eastAsia="仿宋_GB2312" w:cs="宋体"/>
        </w:rPr>
        <w:t>4、签订合同书并执行一切与本项目有关的事项。</w:t>
      </w:r>
    </w:p>
    <w:p>
      <w:pPr>
        <w:snapToGrid w:val="0"/>
        <w:spacing w:beforeLines="50" w:afterLines="50"/>
        <w:rPr>
          <w:rFonts w:ascii="仿宋_GB2312" w:hAnsi="仿宋" w:eastAsia="仿宋_GB2312" w:cs="宋体"/>
        </w:rPr>
      </w:pPr>
      <w:r>
        <w:rPr>
          <w:rFonts w:hint="eastAsia" w:ascii="仿宋_GB2312" w:hAnsi="仿宋" w:eastAsia="仿宋_GB2312" w:cs="宋体"/>
        </w:rPr>
        <w:t xml:space="preserve">    受托人在办理上述事宜过程中以其自己的名义所签署的所有文件我均予以承认。受托人无转委托权。</w:t>
      </w:r>
    </w:p>
    <w:p>
      <w:pPr>
        <w:snapToGrid w:val="0"/>
        <w:spacing w:beforeLines="50" w:afterLines="50"/>
        <w:ind w:firstLine="480" w:firstLineChars="200"/>
        <w:rPr>
          <w:rFonts w:ascii="仿宋_GB2312" w:hAnsi="仿宋" w:eastAsia="仿宋_GB2312" w:cs="宋体"/>
        </w:rPr>
      </w:pPr>
      <w:r>
        <w:rPr>
          <w:rFonts w:hint="eastAsia" w:ascii="仿宋_GB2312" w:hAnsi="仿宋" w:eastAsia="仿宋_GB2312" w:cs="宋体"/>
        </w:rPr>
        <w:t>委托期限：至上述事宜处理完毕止。</w:t>
      </w:r>
    </w:p>
    <w:p>
      <w:pPr>
        <w:spacing w:beforeLines="50" w:afterLines="50"/>
        <w:rPr>
          <w:rFonts w:ascii="仿宋_GB2312" w:hAnsi="仿宋" w:eastAsia="仿宋_GB2312" w:cs="宋体"/>
          <w:u w:val="single"/>
        </w:rPr>
      </w:pPr>
      <w:r>
        <w:rPr>
          <w:rFonts w:hint="eastAsia" w:ascii="仿宋_GB2312" w:hAnsi="仿宋" w:eastAsia="仿宋_GB2312" w:cs="宋体"/>
        </w:rPr>
        <w:t xml:space="preserve">                           委托单位</w:t>
      </w:r>
      <w:r>
        <w:rPr>
          <w:rFonts w:hint="eastAsia" w:ascii="仿宋_GB2312" w:hAnsi="仿宋" w:eastAsia="仿宋_GB2312" w:cs="宋体"/>
          <w:u w:val="single"/>
        </w:rPr>
        <w:t xml:space="preserve">                  （公章）   </w:t>
      </w:r>
    </w:p>
    <w:p>
      <w:pPr>
        <w:spacing w:beforeLines="50" w:afterLines="50"/>
        <w:rPr>
          <w:rFonts w:ascii="仿宋_GB2312" w:hAnsi="仿宋" w:eastAsia="仿宋_GB2312" w:cs="宋体"/>
          <w:u w:val="single"/>
        </w:rPr>
      </w:pPr>
      <w:r>
        <w:rPr>
          <w:rFonts w:hint="eastAsia" w:ascii="仿宋_GB2312" w:hAnsi="仿宋" w:eastAsia="仿宋_GB2312" w:cs="宋体"/>
        </w:rPr>
        <w:t xml:space="preserve">                         法定代表人</w:t>
      </w:r>
      <w:r>
        <w:rPr>
          <w:rFonts w:hint="eastAsia" w:ascii="仿宋_GB2312" w:hAnsi="仿宋" w:eastAsia="仿宋_GB2312" w:cs="宋体"/>
          <w:u w:val="single"/>
        </w:rPr>
        <w:t xml:space="preserve">                  （签名）   </w:t>
      </w:r>
    </w:p>
    <w:p>
      <w:pPr>
        <w:spacing w:beforeLines="50" w:afterLines="50"/>
        <w:ind w:firstLine="3480" w:firstLineChars="1450"/>
        <w:rPr>
          <w:rFonts w:ascii="仿宋_GB2312" w:hAnsi="仿宋" w:eastAsia="仿宋_GB2312" w:cs="宋体"/>
          <w:u w:val="single"/>
        </w:rPr>
      </w:pPr>
      <w:r>
        <w:rPr>
          <w:rFonts w:hint="eastAsia" w:ascii="仿宋_GB2312" w:hAnsi="仿宋" w:eastAsia="仿宋_GB2312" w:cs="宋体"/>
        </w:rPr>
        <w:t>受托人</w:t>
      </w:r>
      <w:r>
        <w:rPr>
          <w:rFonts w:hint="eastAsia" w:ascii="仿宋_GB2312" w:hAnsi="仿宋" w:eastAsia="仿宋_GB2312" w:cs="宋体"/>
          <w:u w:val="single"/>
        </w:rPr>
        <w:t xml:space="preserve">                  （签名）   </w:t>
      </w:r>
    </w:p>
    <w:p>
      <w:pPr>
        <w:spacing w:beforeLines="50" w:afterLines="50"/>
        <w:rPr>
          <w:rFonts w:ascii="仿宋_GB2312" w:hAnsi="仿宋" w:eastAsia="仿宋_GB2312" w:cs="宋体"/>
        </w:rPr>
      </w:pPr>
      <w:r>
        <w:rPr>
          <w:rFonts w:hint="eastAsia" w:ascii="仿宋_GB2312" w:hAnsi="仿宋" w:eastAsia="仿宋_GB2312" w:cs="宋体"/>
        </w:rPr>
        <w:t>注：1、受托人的身份证（正反两面）</w:t>
      </w:r>
    </w:p>
    <w:p>
      <w:pPr>
        <w:spacing w:beforeLines="50" w:afterLines="50"/>
        <w:ind w:firstLine="480" w:firstLineChars="200"/>
        <w:rPr>
          <w:rFonts w:ascii="仿宋_GB2312" w:hAnsi="仿宋" w:eastAsia="仿宋_GB2312" w:cs="宋体"/>
          <w:b/>
        </w:rPr>
      </w:pPr>
      <w:r>
        <w:rPr>
          <w:rFonts w:hint="eastAsia" w:ascii="仿宋_GB2312" w:hAnsi="仿宋" w:eastAsia="仿宋_GB2312" w:cs="宋体"/>
        </w:rPr>
        <w:t>2、磋商代表为法定代表人，则本表不需填写。</w:t>
      </w:r>
    </w:p>
    <w:p>
      <w:pPr>
        <w:spacing w:beforeLines="50" w:afterLines="50"/>
        <w:ind w:firstLine="5040" w:firstLineChars="2100"/>
        <w:rPr>
          <w:rFonts w:ascii="仿宋_GB2312" w:hAnsi="仿宋" w:eastAsia="仿宋_GB2312" w:cs="宋体"/>
        </w:rPr>
      </w:pPr>
      <w:r>
        <w:rPr>
          <w:rFonts w:hint="eastAsia" w:ascii="仿宋_GB2312" w:hAnsi="仿宋" w:eastAsia="仿宋_GB2312" w:cs="宋体"/>
        </w:rPr>
        <w:t xml:space="preserve">日    期： </w:t>
      </w:r>
      <w:r>
        <w:rPr>
          <w:rFonts w:hint="eastAsia" w:ascii="仿宋_GB2312" w:hAnsi="仿宋" w:eastAsia="仿宋_GB2312"/>
          <w:u w:val="single"/>
        </w:rPr>
        <w:t xml:space="preserve">       </w:t>
      </w:r>
      <w:r>
        <w:rPr>
          <w:rFonts w:hint="eastAsia" w:ascii="仿宋_GB2312" w:hAnsi="仿宋" w:eastAsia="仿宋_GB2312"/>
        </w:rPr>
        <w:t>年</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日</w:t>
      </w:r>
    </w:p>
    <w:p>
      <w:pPr>
        <w:pStyle w:val="4"/>
        <w:rPr>
          <w:rFonts w:ascii="仿宋_GB2312" w:hAnsi="仿宋" w:eastAsia="仿宋_GB2312" w:cs="宋体"/>
          <w:bCs w:val="0"/>
        </w:rPr>
      </w:pPr>
      <w:r>
        <w:rPr>
          <w:rFonts w:hint="eastAsia" w:ascii="仿宋_GB2312" w:hAnsi="仿宋" w:eastAsia="仿宋_GB2312" w:cs="宋体"/>
          <w:sz w:val="24"/>
          <w:szCs w:val="24"/>
        </w:rPr>
        <w:br w:type="page"/>
      </w:r>
      <w:bookmarkStart w:id="77" w:name="_Toc311036360"/>
      <w:r>
        <w:rPr>
          <w:rFonts w:hint="eastAsia" w:ascii="仿宋_GB2312" w:hAnsi="仿宋" w:eastAsia="仿宋_GB2312" w:cs="宋体"/>
        </w:rPr>
        <w:t>四、响应偏离表</w:t>
      </w:r>
    </w:p>
    <w:p>
      <w:pPr>
        <w:jc w:val="center"/>
        <w:rPr>
          <w:rFonts w:ascii="仿宋_GB2312" w:hAnsi="仿宋" w:eastAsia="仿宋_GB2312"/>
          <w:b/>
        </w:rPr>
      </w:pPr>
      <w:r>
        <w:rPr>
          <w:rFonts w:hint="eastAsia" w:ascii="仿宋_GB2312" w:hAnsi="仿宋" w:eastAsia="仿宋_GB2312" w:cs="宋体"/>
          <w:b/>
          <w:sz w:val="32"/>
          <w:szCs w:val="32"/>
        </w:rPr>
        <w:t>响应偏离表</w:t>
      </w:r>
    </w:p>
    <w:p>
      <w:pPr>
        <w:snapToGrid w:val="0"/>
        <w:ind w:firstLine="480" w:firstLineChars="200"/>
        <w:rPr>
          <w:rFonts w:ascii="仿宋_GB2312" w:hAnsi="仿宋" w:eastAsia="仿宋_GB2312" w:cs="宋体"/>
          <w:b/>
          <w:bCs/>
        </w:rPr>
      </w:pPr>
      <w:r>
        <w:rPr>
          <w:rFonts w:hint="eastAsia" w:ascii="仿宋_GB2312" w:hAnsi="仿宋" w:eastAsia="仿宋_GB2312" w:cs="宋体"/>
          <w:bCs/>
        </w:rPr>
        <w:t>说明：供应商必须仔细阅读磋商文件</w:t>
      </w:r>
      <w:r>
        <w:rPr>
          <w:rFonts w:hint="eastAsia" w:ascii="仿宋_GB2312" w:hAnsi="仿宋" w:eastAsia="仿宋_GB2312" w:cs="宋体"/>
        </w:rPr>
        <w:t>第三章采购需求中</w:t>
      </w:r>
      <w:r>
        <w:rPr>
          <w:rFonts w:hint="eastAsia" w:ascii="仿宋_GB2312" w:hAnsi="仿宋" w:eastAsia="仿宋_GB2312" w:cs="宋体"/>
          <w:b/>
        </w:rPr>
        <w:t>总体要求、技术要求和其他要求</w:t>
      </w:r>
      <w:r>
        <w:rPr>
          <w:rFonts w:hint="eastAsia" w:ascii="仿宋_GB2312" w:hAnsi="仿宋" w:eastAsia="仿宋_GB2312" w:cs="宋体"/>
        </w:rPr>
        <w:t>，并将</w:t>
      </w:r>
      <w:r>
        <w:rPr>
          <w:rFonts w:hint="eastAsia" w:ascii="仿宋_GB2312" w:hAnsi="仿宋" w:eastAsia="仿宋_GB2312" w:cs="宋体"/>
          <w:b/>
        </w:rPr>
        <w:t>总体要求、技术要求和其他要求</w:t>
      </w:r>
      <w:r>
        <w:rPr>
          <w:rFonts w:hint="eastAsia" w:ascii="仿宋_GB2312" w:hAnsi="仿宋" w:eastAsia="仿宋_GB2312" w:cs="宋体"/>
        </w:rPr>
        <w:t>的偏离情况列入下表，未列入下表的视作供应商不响应。</w:t>
      </w:r>
      <w:r>
        <w:rPr>
          <w:rFonts w:hint="eastAsia" w:ascii="仿宋_GB2312" w:hAnsi="仿宋" w:eastAsia="仿宋_GB2312" w:cs="宋体"/>
          <w:b/>
          <w:bCs/>
        </w:rPr>
        <w:t>供应商必须根据所提供产品或服务内容的实际情况如实填写，磋商小组如发现有严重虚假描述的，该响应文件无效。</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654"/>
        <w:gridCol w:w="2262"/>
        <w:gridCol w:w="2469"/>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10" w:type="dxa"/>
            <w:tcBorders>
              <w:bottom w:val="single" w:color="auto" w:sz="4" w:space="0"/>
            </w:tcBorders>
            <w:shd w:val="clear" w:color="auto" w:fill="D9D9D9"/>
            <w:vAlign w:val="center"/>
          </w:tcPr>
          <w:p>
            <w:pPr>
              <w:snapToGrid w:val="0"/>
              <w:jc w:val="center"/>
              <w:rPr>
                <w:rFonts w:ascii="仿宋_GB2312" w:hAnsi="仿宋" w:eastAsia="仿宋_GB2312" w:cs="宋体"/>
              </w:rPr>
            </w:pPr>
            <w:r>
              <w:rPr>
                <w:rFonts w:hint="eastAsia" w:ascii="仿宋_GB2312" w:hAnsi="仿宋" w:eastAsia="仿宋_GB2312"/>
                <w:szCs w:val="21"/>
              </w:rPr>
              <w:t>序号</w:t>
            </w:r>
          </w:p>
        </w:tc>
        <w:tc>
          <w:tcPr>
            <w:tcW w:w="2654" w:type="dxa"/>
            <w:tcBorders>
              <w:bottom w:val="single" w:color="auto" w:sz="4" w:space="0"/>
            </w:tcBorders>
            <w:shd w:val="clear" w:color="auto" w:fill="D9D9D9"/>
          </w:tcPr>
          <w:p>
            <w:pPr>
              <w:snapToGrid w:val="0"/>
              <w:jc w:val="center"/>
              <w:rPr>
                <w:rFonts w:ascii="仿宋_GB2312" w:hAnsi="仿宋" w:eastAsia="仿宋_GB2312"/>
                <w:szCs w:val="21"/>
              </w:rPr>
            </w:pPr>
            <w:r>
              <w:rPr>
                <w:rFonts w:hint="eastAsia" w:ascii="仿宋_GB2312" w:hAnsi="仿宋" w:eastAsia="仿宋_GB2312"/>
                <w:szCs w:val="21"/>
              </w:rPr>
              <w:t>磋商文件条款内容和</w:t>
            </w:r>
          </w:p>
          <w:p>
            <w:pPr>
              <w:snapToGrid w:val="0"/>
              <w:jc w:val="center"/>
              <w:rPr>
                <w:rFonts w:ascii="仿宋_GB2312" w:hAnsi="仿宋" w:eastAsia="仿宋_GB2312" w:cs="宋体"/>
              </w:rPr>
            </w:pPr>
            <w:r>
              <w:rPr>
                <w:rFonts w:hint="eastAsia" w:ascii="仿宋_GB2312" w:hAnsi="仿宋" w:eastAsia="仿宋_GB2312"/>
                <w:szCs w:val="21"/>
              </w:rPr>
              <w:t>要求描述</w:t>
            </w:r>
          </w:p>
        </w:tc>
        <w:tc>
          <w:tcPr>
            <w:tcW w:w="2262" w:type="dxa"/>
            <w:tcBorders>
              <w:bottom w:val="single" w:color="auto" w:sz="4" w:space="0"/>
            </w:tcBorders>
            <w:shd w:val="clear" w:color="auto" w:fill="D9D9D9"/>
            <w:vAlign w:val="center"/>
          </w:tcPr>
          <w:p>
            <w:pPr>
              <w:snapToGrid w:val="0"/>
              <w:jc w:val="center"/>
              <w:rPr>
                <w:rFonts w:ascii="仿宋_GB2312" w:hAnsi="仿宋" w:eastAsia="仿宋_GB2312"/>
                <w:szCs w:val="21"/>
              </w:rPr>
            </w:pPr>
            <w:r>
              <w:rPr>
                <w:rFonts w:hint="eastAsia" w:ascii="仿宋_GB2312" w:hAnsi="仿宋" w:eastAsia="仿宋_GB2312"/>
                <w:szCs w:val="21"/>
              </w:rPr>
              <w:t>供应商响应条款</w:t>
            </w:r>
          </w:p>
          <w:p>
            <w:pPr>
              <w:snapToGrid w:val="0"/>
              <w:jc w:val="center"/>
              <w:rPr>
                <w:rFonts w:ascii="仿宋_GB2312" w:hAnsi="仿宋" w:eastAsia="仿宋_GB2312" w:cs="宋体"/>
              </w:rPr>
            </w:pPr>
            <w:r>
              <w:rPr>
                <w:rFonts w:hint="eastAsia" w:ascii="仿宋_GB2312" w:hAnsi="仿宋" w:eastAsia="仿宋_GB2312"/>
                <w:szCs w:val="21"/>
              </w:rPr>
              <w:t>内容和要求描述</w:t>
            </w:r>
          </w:p>
        </w:tc>
        <w:tc>
          <w:tcPr>
            <w:tcW w:w="2469" w:type="dxa"/>
            <w:tcBorders>
              <w:bottom w:val="single" w:color="auto" w:sz="4" w:space="0"/>
            </w:tcBorders>
            <w:shd w:val="clear" w:color="auto" w:fill="D9D9D9"/>
            <w:vAlign w:val="center"/>
          </w:tcPr>
          <w:p>
            <w:pPr>
              <w:snapToGrid w:val="0"/>
              <w:jc w:val="center"/>
              <w:rPr>
                <w:rFonts w:ascii="仿宋_GB2312" w:hAnsi="仿宋" w:eastAsia="仿宋_GB2312"/>
                <w:szCs w:val="21"/>
              </w:rPr>
            </w:pPr>
            <w:r>
              <w:rPr>
                <w:rFonts w:hint="eastAsia" w:ascii="仿宋_GB2312" w:hAnsi="仿宋" w:eastAsia="仿宋_GB2312"/>
                <w:szCs w:val="21"/>
              </w:rPr>
              <w:t>偏离情况说明</w:t>
            </w:r>
          </w:p>
          <w:p>
            <w:pPr>
              <w:snapToGrid w:val="0"/>
              <w:jc w:val="center"/>
              <w:rPr>
                <w:rFonts w:ascii="仿宋_GB2312" w:hAnsi="仿宋" w:eastAsia="仿宋_GB2312" w:cs="宋体"/>
              </w:rPr>
            </w:pPr>
            <w:r>
              <w:rPr>
                <w:rFonts w:hint="eastAsia" w:ascii="仿宋_GB2312" w:hAnsi="仿宋" w:eastAsia="仿宋_GB2312"/>
                <w:szCs w:val="21"/>
              </w:rPr>
              <w:t>（＋/-/=）</w:t>
            </w:r>
          </w:p>
        </w:tc>
        <w:tc>
          <w:tcPr>
            <w:tcW w:w="1258" w:type="dxa"/>
            <w:tcBorders>
              <w:bottom w:val="single" w:color="auto" w:sz="4" w:space="0"/>
            </w:tcBorders>
            <w:shd w:val="clear" w:color="auto" w:fill="D9D9D9"/>
            <w:vAlign w:val="center"/>
          </w:tcPr>
          <w:p>
            <w:pPr>
              <w:snapToGrid w:val="0"/>
              <w:jc w:val="center"/>
              <w:rPr>
                <w:rFonts w:ascii="仿宋_GB2312" w:hAnsi="仿宋" w:eastAsia="仿宋_GB2312" w:cs="宋体"/>
              </w:rPr>
            </w:pPr>
            <w:r>
              <w:rPr>
                <w:rFonts w:hint="eastAsia" w:ascii="仿宋_GB2312" w:hAnsi="仿宋" w:eastAsia="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710" w:type="dxa"/>
            <w:vAlign w:val="center"/>
          </w:tcPr>
          <w:p>
            <w:pPr>
              <w:jc w:val="center"/>
              <w:rPr>
                <w:rFonts w:ascii="仿宋_GB2312" w:hAnsi="仿宋" w:eastAsia="仿宋_GB2312" w:cs="宋体"/>
              </w:rPr>
            </w:pPr>
            <w:r>
              <w:rPr>
                <w:rFonts w:hint="eastAsia" w:ascii="仿宋_GB2312" w:hAnsi="仿宋" w:eastAsia="仿宋_GB2312"/>
                <w:szCs w:val="21"/>
              </w:rPr>
              <w:t>1</w:t>
            </w:r>
          </w:p>
        </w:tc>
        <w:tc>
          <w:tcPr>
            <w:tcW w:w="2654" w:type="dxa"/>
            <w:vAlign w:val="center"/>
          </w:tcPr>
          <w:p>
            <w:pPr>
              <w:snapToGrid w:val="0"/>
              <w:jc w:val="center"/>
              <w:rPr>
                <w:rFonts w:ascii="仿宋_GB2312" w:hAnsi="仿宋" w:eastAsia="仿宋_GB2312" w:cs="宋体"/>
              </w:rPr>
            </w:pPr>
          </w:p>
        </w:tc>
        <w:tc>
          <w:tcPr>
            <w:tcW w:w="2262" w:type="dxa"/>
            <w:vAlign w:val="center"/>
          </w:tcPr>
          <w:p>
            <w:pPr>
              <w:snapToGrid w:val="0"/>
              <w:jc w:val="center"/>
              <w:rPr>
                <w:rFonts w:ascii="仿宋_GB2312" w:hAnsi="仿宋" w:eastAsia="仿宋_GB2312" w:cs="宋体"/>
              </w:rPr>
            </w:pPr>
          </w:p>
        </w:tc>
        <w:tc>
          <w:tcPr>
            <w:tcW w:w="2469" w:type="dxa"/>
            <w:vAlign w:val="center"/>
          </w:tcPr>
          <w:p>
            <w:pPr>
              <w:snapToGrid w:val="0"/>
              <w:jc w:val="center"/>
              <w:rPr>
                <w:rFonts w:ascii="仿宋_GB2312" w:hAnsi="仿宋" w:eastAsia="仿宋_GB2312" w:cs="宋体"/>
              </w:rPr>
            </w:pPr>
          </w:p>
        </w:tc>
        <w:tc>
          <w:tcPr>
            <w:tcW w:w="1258" w:type="dxa"/>
            <w:vAlign w:val="center"/>
          </w:tcPr>
          <w:p>
            <w:pPr>
              <w:snapToGrid w:val="0"/>
              <w:jc w:val="center"/>
              <w:rPr>
                <w:rFonts w:ascii="仿宋_GB2312" w:hAnsi="仿宋"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10" w:type="dxa"/>
            <w:vAlign w:val="center"/>
          </w:tcPr>
          <w:p>
            <w:pPr>
              <w:jc w:val="center"/>
              <w:rPr>
                <w:rFonts w:ascii="仿宋_GB2312" w:hAnsi="仿宋" w:eastAsia="仿宋_GB2312" w:cs="宋体"/>
              </w:rPr>
            </w:pPr>
            <w:r>
              <w:rPr>
                <w:rFonts w:hint="eastAsia" w:ascii="仿宋_GB2312" w:hAnsi="仿宋" w:eastAsia="仿宋_GB2312"/>
                <w:szCs w:val="21"/>
              </w:rPr>
              <w:t>2</w:t>
            </w:r>
          </w:p>
        </w:tc>
        <w:tc>
          <w:tcPr>
            <w:tcW w:w="2654" w:type="dxa"/>
            <w:vAlign w:val="center"/>
          </w:tcPr>
          <w:p>
            <w:pPr>
              <w:snapToGrid w:val="0"/>
              <w:jc w:val="center"/>
              <w:rPr>
                <w:rFonts w:ascii="仿宋_GB2312" w:hAnsi="仿宋" w:eastAsia="仿宋_GB2312" w:cs="宋体"/>
              </w:rPr>
            </w:pPr>
          </w:p>
        </w:tc>
        <w:tc>
          <w:tcPr>
            <w:tcW w:w="2262" w:type="dxa"/>
            <w:vAlign w:val="center"/>
          </w:tcPr>
          <w:p>
            <w:pPr>
              <w:snapToGrid w:val="0"/>
              <w:jc w:val="center"/>
              <w:rPr>
                <w:rFonts w:ascii="仿宋_GB2312" w:hAnsi="仿宋" w:eastAsia="仿宋_GB2312" w:cs="宋体"/>
              </w:rPr>
            </w:pPr>
          </w:p>
        </w:tc>
        <w:tc>
          <w:tcPr>
            <w:tcW w:w="2469" w:type="dxa"/>
            <w:vAlign w:val="center"/>
          </w:tcPr>
          <w:p>
            <w:pPr>
              <w:snapToGrid w:val="0"/>
              <w:jc w:val="center"/>
              <w:rPr>
                <w:rFonts w:ascii="仿宋_GB2312" w:hAnsi="仿宋" w:eastAsia="仿宋_GB2312" w:cs="宋体"/>
              </w:rPr>
            </w:pPr>
          </w:p>
        </w:tc>
        <w:tc>
          <w:tcPr>
            <w:tcW w:w="1258" w:type="dxa"/>
            <w:vAlign w:val="center"/>
          </w:tcPr>
          <w:p>
            <w:pPr>
              <w:snapToGrid w:val="0"/>
              <w:jc w:val="center"/>
              <w:rPr>
                <w:rFonts w:ascii="仿宋_GB2312" w:hAnsi="仿宋"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10" w:type="dxa"/>
            <w:vAlign w:val="center"/>
          </w:tcPr>
          <w:p>
            <w:pPr>
              <w:jc w:val="center"/>
              <w:rPr>
                <w:rFonts w:ascii="仿宋_GB2312" w:hAnsi="仿宋" w:eastAsia="仿宋_GB2312" w:cs="宋体"/>
              </w:rPr>
            </w:pPr>
            <w:r>
              <w:rPr>
                <w:rFonts w:hint="eastAsia" w:ascii="仿宋_GB2312" w:hAnsi="仿宋" w:eastAsia="仿宋_GB2312"/>
                <w:szCs w:val="21"/>
              </w:rPr>
              <w:t>3</w:t>
            </w:r>
          </w:p>
        </w:tc>
        <w:tc>
          <w:tcPr>
            <w:tcW w:w="2654" w:type="dxa"/>
            <w:vAlign w:val="center"/>
          </w:tcPr>
          <w:p>
            <w:pPr>
              <w:snapToGrid w:val="0"/>
              <w:jc w:val="center"/>
              <w:rPr>
                <w:rFonts w:ascii="仿宋_GB2312" w:hAnsi="仿宋" w:eastAsia="仿宋_GB2312" w:cs="宋体"/>
              </w:rPr>
            </w:pPr>
          </w:p>
        </w:tc>
        <w:tc>
          <w:tcPr>
            <w:tcW w:w="2262" w:type="dxa"/>
            <w:vAlign w:val="center"/>
          </w:tcPr>
          <w:p>
            <w:pPr>
              <w:snapToGrid w:val="0"/>
              <w:jc w:val="center"/>
              <w:rPr>
                <w:rFonts w:ascii="仿宋_GB2312" w:hAnsi="仿宋" w:eastAsia="仿宋_GB2312" w:cs="宋体"/>
              </w:rPr>
            </w:pPr>
          </w:p>
        </w:tc>
        <w:tc>
          <w:tcPr>
            <w:tcW w:w="2469" w:type="dxa"/>
            <w:vAlign w:val="center"/>
          </w:tcPr>
          <w:p>
            <w:pPr>
              <w:snapToGrid w:val="0"/>
              <w:jc w:val="center"/>
              <w:rPr>
                <w:rFonts w:ascii="仿宋_GB2312" w:hAnsi="仿宋" w:eastAsia="仿宋_GB2312" w:cs="宋体"/>
              </w:rPr>
            </w:pPr>
          </w:p>
        </w:tc>
        <w:tc>
          <w:tcPr>
            <w:tcW w:w="1258" w:type="dxa"/>
            <w:vAlign w:val="center"/>
          </w:tcPr>
          <w:p>
            <w:pPr>
              <w:snapToGrid w:val="0"/>
              <w:jc w:val="center"/>
              <w:rPr>
                <w:rFonts w:ascii="仿宋_GB2312" w:hAnsi="仿宋"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10" w:type="dxa"/>
            <w:vAlign w:val="center"/>
          </w:tcPr>
          <w:p>
            <w:pPr>
              <w:jc w:val="center"/>
              <w:rPr>
                <w:rFonts w:ascii="仿宋_GB2312" w:hAnsi="仿宋" w:eastAsia="仿宋_GB2312" w:cs="宋体"/>
              </w:rPr>
            </w:pPr>
            <w:r>
              <w:rPr>
                <w:rFonts w:hint="eastAsia" w:ascii="仿宋_GB2312" w:hAnsi="仿宋" w:eastAsia="仿宋_GB2312"/>
                <w:szCs w:val="21"/>
              </w:rPr>
              <w:t>4</w:t>
            </w:r>
          </w:p>
        </w:tc>
        <w:tc>
          <w:tcPr>
            <w:tcW w:w="2654" w:type="dxa"/>
            <w:vAlign w:val="center"/>
          </w:tcPr>
          <w:p>
            <w:pPr>
              <w:snapToGrid w:val="0"/>
              <w:jc w:val="center"/>
              <w:rPr>
                <w:rFonts w:ascii="仿宋_GB2312" w:hAnsi="仿宋" w:eastAsia="仿宋_GB2312" w:cs="宋体"/>
              </w:rPr>
            </w:pPr>
          </w:p>
        </w:tc>
        <w:tc>
          <w:tcPr>
            <w:tcW w:w="2262" w:type="dxa"/>
            <w:vAlign w:val="center"/>
          </w:tcPr>
          <w:p>
            <w:pPr>
              <w:snapToGrid w:val="0"/>
              <w:jc w:val="center"/>
              <w:rPr>
                <w:rFonts w:ascii="仿宋_GB2312" w:hAnsi="仿宋" w:eastAsia="仿宋_GB2312" w:cs="宋体"/>
              </w:rPr>
            </w:pPr>
          </w:p>
        </w:tc>
        <w:tc>
          <w:tcPr>
            <w:tcW w:w="2469" w:type="dxa"/>
            <w:vAlign w:val="center"/>
          </w:tcPr>
          <w:p>
            <w:pPr>
              <w:snapToGrid w:val="0"/>
              <w:jc w:val="center"/>
              <w:rPr>
                <w:rFonts w:ascii="仿宋_GB2312" w:hAnsi="仿宋" w:eastAsia="仿宋_GB2312" w:cs="宋体"/>
              </w:rPr>
            </w:pPr>
          </w:p>
        </w:tc>
        <w:tc>
          <w:tcPr>
            <w:tcW w:w="1258" w:type="dxa"/>
            <w:vAlign w:val="center"/>
          </w:tcPr>
          <w:p>
            <w:pPr>
              <w:snapToGrid w:val="0"/>
              <w:jc w:val="center"/>
              <w:rPr>
                <w:rFonts w:ascii="仿宋_GB2312" w:hAnsi="仿宋" w:eastAsia="仿宋_GB2312" w:cs="宋体"/>
              </w:rPr>
            </w:pPr>
          </w:p>
        </w:tc>
      </w:tr>
    </w:tbl>
    <w:p>
      <w:pPr>
        <w:tabs>
          <w:tab w:val="left" w:pos="11130"/>
        </w:tabs>
        <w:snapToGrid w:val="0"/>
        <w:rPr>
          <w:rFonts w:ascii="仿宋_GB2312" w:hAnsi="仿宋" w:eastAsia="仿宋_GB2312" w:cs="宋体"/>
          <w:bCs/>
        </w:rPr>
      </w:pPr>
    </w:p>
    <w:p>
      <w:pPr>
        <w:rPr>
          <w:rFonts w:ascii="仿宋_GB2312" w:hAnsi="仿宋" w:eastAsia="仿宋_GB2312" w:cs="宋体"/>
          <w:sz w:val="21"/>
          <w:szCs w:val="21"/>
        </w:rPr>
      </w:pPr>
    </w:p>
    <w:p>
      <w:pPr>
        <w:snapToGrid w:val="0"/>
        <w:rPr>
          <w:rFonts w:ascii="仿宋_GB2312" w:hAnsi="仿宋" w:eastAsia="仿宋_GB2312" w:cs="宋体"/>
          <w:sz w:val="21"/>
          <w:szCs w:val="21"/>
        </w:rPr>
      </w:pPr>
      <w:r>
        <w:rPr>
          <w:rFonts w:hint="eastAsia" w:ascii="仿宋_GB2312" w:hAnsi="仿宋" w:eastAsia="仿宋_GB2312" w:cs="宋体"/>
          <w:sz w:val="21"/>
          <w:szCs w:val="21"/>
        </w:rPr>
        <w:t>注：1、本表“采购需求要求”应列出第三章“采购需求”技术要求所有条款各供应商须对所有条款一一予以描述应答（在本表“</w:t>
      </w:r>
      <w:r>
        <w:rPr>
          <w:rFonts w:hint="eastAsia" w:ascii="仿宋_GB2312" w:hAnsi="仿宋" w:eastAsia="仿宋_GB2312"/>
          <w:szCs w:val="21"/>
        </w:rPr>
        <w:t>偏离情况说明</w:t>
      </w:r>
      <w:r>
        <w:rPr>
          <w:rFonts w:hint="eastAsia" w:ascii="仿宋_GB2312" w:hAnsi="仿宋" w:eastAsia="仿宋_GB2312" w:cs="宋体"/>
          <w:sz w:val="21"/>
          <w:szCs w:val="21"/>
        </w:rPr>
        <w:t>”填写）</w:t>
      </w:r>
    </w:p>
    <w:p>
      <w:pPr>
        <w:ind w:firstLine="420" w:firstLineChars="200"/>
        <w:rPr>
          <w:rFonts w:ascii="仿宋_GB2312" w:hAnsi="仿宋" w:eastAsia="仿宋_GB2312" w:cs="宋体"/>
          <w:sz w:val="21"/>
          <w:szCs w:val="21"/>
        </w:rPr>
      </w:pPr>
      <w:r>
        <w:rPr>
          <w:rFonts w:hint="eastAsia" w:ascii="仿宋_GB2312" w:hAnsi="仿宋" w:eastAsia="仿宋_GB2312" w:cs="宋体"/>
          <w:sz w:val="21"/>
          <w:szCs w:val="21"/>
        </w:rPr>
        <w:t>2、此表为表样，列数和行数可根据采购需求的内容调整，其他部分表式不变。</w:t>
      </w:r>
      <w:r>
        <w:rPr>
          <w:rFonts w:hint="eastAsia" w:ascii="仿宋_GB2312" w:hAnsi="仿宋" w:eastAsia="仿宋_GB2312" w:cs="宋体"/>
          <w:sz w:val="21"/>
          <w:szCs w:val="21"/>
        </w:rPr>
        <w:tab/>
      </w:r>
    </w:p>
    <w:p>
      <w:pPr>
        <w:snapToGrid w:val="0"/>
        <w:ind w:firstLine="462"/>
        <w:rPr>
          <w:rFonts w:ascii="仿宋_GB2312" w:hAnsi="仿宋" w:eastAsia="仿宋_GB2312" w:cs="宋体"/>
          <w:sz w:val="21"/>
          <w:szCs w:val="21"/>
        </w:rPr>
      </w:pPr>
      <w:r>
        <w:rPr>
          <w:rFonts w:hint="eastAsia" w:ascii="仿宋_GB2312" w:hAnsi="仿宋" w:eastAsia="仿宋_GB2312" w:cs="宋体"/>
          <w:sz w:val="21"/>
          <w:szCs w:val="21"/>
        </w:rPr>
        <w:t>3、如采购需求中的货物名称或服务内容目录级别下有子项，应按其目录级别的最小单元进行逐条对应响应。</w:t>
      </w:r>
    </w:p>
    <w:p>
      <w:pPr>
        <w:adjustRightInd w:val="0"/>
        <w:snapToGrid w:val="0"/>
        <w:ind w:firstLine="420" w:firstLineChars="200"/>
        <w:rPr>
          <w:rFonts w:ascii="仿宋_GB2312" w:hAnsi="仿宋" w:eastAsia="仿宋_GB2312" w:cs="宋体"/>
        </w:rPr>
      </w:pPr>
      <w:r>
        <w:rPr>
          <w:rFonts w:hint="eastAsia" w:ascii="仿宋_GB2312" w:hAnsi="仿宋" w:eastAsia="仿宋_GB2312" w:cs="宋体"/>
          <w:sz w:val="21"/>
          <w:szCs w:val="21"/>
        </w:rPr>
        <w:t>4、是否偏离用符号“+、=、-”分别表示正偏离、完全响应、负偏离。磋商小组评审时不能只根据供应商填写的偏离情况说明来判断是否响应，而应认真查阅第三章采购需求中相关内容描述以及要求提供的相关技术资料判断是否满足要求；</w:t>
      </w:r>
    </w:p>
    <w:p>
      <w:pPr>
        <w:widowControl/>
        <w:ind w:firstLine="480" w:firstLineChars="200"/>
        <w:rPr>
          <w:rFonts w:ascii="仿宋_GB2312" w:hAnsi="仿宋" w:eastAsia="仿宋_GB2312"/>
        </w:rPr>
      </w:pPr>
    </w:p>
    <w:p>
      <w:pPr>
        <w:widowControl/>
        <w:ind w:firstLine="480" w:firstLineChars="200"/>
        <w:rPr>
          <w:rFonts w:ascii="仿宋_GB2312" w:hAnsi="仿宋" w:eastAsia="仿宋_GB2312"/>
        </w:rPr>
      </w:pPr>
      <w:r>
        <w:rPr>
          <w:rFonts w:hint="eastAsia" w:ascii="仿宋_GB2312" w:hAnsi="仿宋" w:eastAsia="仿宋_GB2312"/>
        </w:rPr>
        <w:t>供应商（全称并加盖公章）：</w:t>
      </w:r>
      <w:r>
        <w:rPr>
          <w:rFonts w:ascii="仿宋" w:hAnsi="仿宋" w:eastAsia="仿宋"/>
        </w:rPr>
        <w:t>___________________</w:t>
      </w:r>
    </w:p>
    <w:p>
      <w:pPr>
        <w:widowControl/>
        <w:ind w:firstLine="480" w:firstLineChars="200"/>
        <w:rPr>
          <w:rFonts w:ascii="仿宋_GB2312" w:hAnsi="仿宋" w:eastAsia="仿宋_GB2312"/>
        </w:rPr>
      </w:pPr>
      <w:r>
        <w:rPr>
          <w:rFonts w:hint="eastAsia" w:ascii="仿宋_GB2312" w:hAnsi="仿宋" w:eastAsia="仿宋_GB2312"/>
        </w:rPr>
        <w:t>法定代表人（或委托代理人）签字：</w:t>
      </w:r>
      <w:r>
        <w:rPr>
          <w:rFonts w:ascii="仿宋" w:hAnsi="仿宋" w:eastAsia="仿宋"/>
        </w:rPr>
        <w:t>___________________</w:t>
      </w:r>
    </w:p>
    <w:p>
      <w:pPr>
        <w:shd w:val="clear" w:color="auto" w:fill="FFFFFF"/>
        <w:snapToGrid w:val="0"/>
        <w:ind w:firstLine="480" w:firstLineChars="200"/>
        <w:rPr>
          <w:rFonts w:ascii="仿宋_GB2312" w:hAnsi="仿宋" w:eastAsia="仿宋_GB2312"/>
        </w:rPr>
      </w:pPr>
      <w:r>
        <w:rPr>
          <w:rFonts w:hint="eastAsia" w:ascii="仿宋_GB2312" w:hAnsi="仿宋" w:eastAsia="仿宋_GB2312"/>
        </w:rPr>
        <w:t>日期：</w:t>
      </w:r>
      <w:r>
        <w:rPr>
          <w:rFonts w:hint="eastAsia" w:ascii="仿宋_GB2312" w:hAnsi="仿宋" w:eastAsia="仿宋_GB2312"/>
          <w:u w:val="single"/>
        </w:rPr>
        <w:t xml:space="preserve">       </w:t>
      </w:r>
      <w:r>
        <w:rPr>
          <w:rFonts w:hint="eastAsia" w:ascii="仿宋_GB2312" w:hAnsi="仿宋" w:eastAsia="仿宋_GB2312"/>
        </w:rPr>
        <w:t>年</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日</w:t>
      </w:r>
    </w:p>
    <w:p>
      <w:pPr>
        <w:rPr>
          <w:rFonts w:ascii="仿宋_GB2312" w:hAnsi="仿宋" w:eastAsia="仿宋_GB2312" w:cs="宋体"/>
          <w:bCs/>
        </w:rPr>
      </w:pPr>
    </w:p>
    <w:p>
      <w:pPr>
        <w:pStyle w:val="4"/>
        <w:rPr>
          <w:rFonts w:ascii="仿宋_GB2312" w:hAnsi="仿宋" w:eastAsia="仿宋_GB2312" w:cs="宋体"/>
          <w:sz w:val="24"/>
          <w:szCs w:val="24"/>
        </w:rPr>
      </w:pPr>
      <w:r>
        <w:rPr>
          <w:rFonts w:hint="eastAsia" w:ascii="仿宋_GB2312" w:hAnsi="仿宋" w:eastAsia="仿宋_GB2312" w:cs="宋体"/>
          <w:sz w:val="24"/>
          <w:szCs w:val="24"/>
        </w:rPr>
        <w:br w:type="page"/>
      </w:r>
      <w:r>
        <w:rPr>
          <w:rFonts w:hint="eastAsia" w:ascii="仿宋_GB2312" w:hAnsi="仿宋" w:eastAsia="仿宋_GB2312" w:cs="宋体"/>
        </w:rPr>
        <w:t>五、</w:t>
      </w:r>
      <w:bookmarkEnd w:id="77"/>
      <w:r>
        <w:rPr>
          <w:rFonts w:hint="eastAsia" w:ascii="仿宋_GB2312" w:hAnsi="仿宋" w:eastAsia="仿宋_GB2312" w:cs="宋体"/>
        </w:rPr>
        <w:t>资格符合性审查证明材料</w:t>
      </w:r>
    </w:p>
    <w:p>
      <w:pPr>
        <w:rPr>
          <w:rFonts w:ascii="仿宋_GB2312" w:hAnsi="仿宋" w:eastAsia="仿宋_GB2312" w:cs="宋体"/>
        </w:rPr>
      </w:pPr>
      <w:r>
        <w:rPr>
          <w:rFonts w:hint="eastAsia" w:ascii="仿宋_GB2312" w:hAnsi="仿宋" w:eastAsia="仿宋_GB2312" w:cs="宋体"/>
          <w:bCs/>
        </w:rPr>
        <w:t>（资格符合性审查表要求的材料）</w:t>
      </w:r>
    </w:p>
    <w:p>
      <w:pPr>
        <w:pStyle w:val="4"/>
        <w:rPr>
          <w:rFonts w:ascii="仿宋_GB2312" w:hAnsi="仿宋" w:eastAsia="仿宋_GB2312" w:cs="宋体"/>
          <w:b w:val="0"/>
          <w:sz w:val="24"/>
          <w:szCs w:val="24"/>
        </w:rPr>
      </w:pPr>
      <w:r>
        <w:rPr>
          <w:rFonts w:hint="eastAsia" w:ascii="仿宋_GB2312" w:hAnsi="仿宋" w:eastAsia="仿宋_GB2312" w:cs="宋体"/>
          <w:b w:val="0"/>
          <w:sz w:val="24"/>
          <w:szCs w:val="24"/>
        </w:rPr>
        <w:br w:type="page"/>
      </w:r>
      <w:r>
        <w:rPr>
          <w:rFonts w:hint="eastAsia" w:ascii="仿宋_GB2312" w:hAnsi="仿宋" w:eastAsia="仿宋_GB2312" w:cs="宋体"/>
        </w:rPr>
        <w:t>六、供应商认为需要的其它证明材料</w:t>
      </w:r>
    </w:p>
    <w:p>
      <w:pPr>
        <w:ind w:firstLine="480" w:firstLineChars="200"/>
        <w:rPr>
          <w:rFonts w:ascii="仿宋_GB2312" w:hAnsi="仿宋" w:eastAsia="仿宋_GB2312" w:cs="宋体"/>
          <w:lang w:val="en-GB"/>
        </w:rPr>
      </w:pPr>
      <w:r>
        <w:rPr>
          <w:rFonts w:hint="eastAsia" w:ascii="仿宋_GB2312" w:hAnsi="仿宋" w:eastAsia="仿宋_GB2312" w:cs="宋体"/>
          <w:bCs/>
        </w:rPr>
        <w:t>（竞争性磋商文件要求提供和供应商认为应当提供的其他材料）</w:t>
      </w:r>
    </w:p>
    <w:p>
      <w:pPr>
        <w:pStyle w:val="4"/>
        <w:rPr>
          <w:rFonts w:ascii="仿宋_GB2312" w:eastAsia="仿宋_GB2312"/>
        </w:rPr>
      </w:pPr>
      <w:r>
        <w:rPr>
          <w:rFonts w:hint="eastAsia" w:ascii="仿宋_GB2312" w:eastAsia="仿宋_GB2312"/>
        </w:rPr>
        <w:br w:type="page"/>
      </w:r>
      <w:bookmarkEnd w:id="75"/>
      <w:bookmarkEnd w:id="76"/>
      <w:r>
        <w:rPr>
          <w:rFonts w:hint="eastAsia" w:ascii="仿宋_GB2312" w:hAnsi="仿宋" w:eastAsia="仿宋_GB2312" w:cs="宋体"/>
          <w:sz w:val="24"/>
          <w:szCs w:val="24"/>
        </w:rPr>
        <w:t>附件1、经营活动中没有重大违法记录的声明函</w:t>
      </w:r>
    </w:p>
    <w:p>
      <w:pPr>
        <w:jc w:val="center"/>
        <w:rPr>
          <w:rFonts w:ascii="仿宋_GB2312" w:hAnsi="仿宋" w:eastAsia="仿宋_GB2312" w:cs="宋体"/>
          <w:b/>
        </w:rPr>
      </w:pPr>
      <w:r>
        <w:rPr>
          <w:rFonts w:hint="eastAsia" w:ascii="仿宋_GB2312" w:hAnsi="仿宋" w:eastAsia="仿宋_GB2312" w:cs="宋体"/>
          <w:b/>
        </w:rPr>
        <w:t>声明函</w:t>
      </w:r>
    </w:p>
    <w:tbl>
      <w:tblPr>
        <w:tblStyle w:val="25"/>
        <w:tblW w:w="0" w:type="auto"/>
        <w:tblInd w:w="10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832"/>
        <w:gridCol w:w="2940"/>
        <w:gridCol w:w="330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794" w:hRule="atLeast"/>
        </w:trPr>
        <w:tc>
          <w:tcPr>
            <w:tcW w:w="9072" w:type="dxa"/>
            <w:gridSpan w:val="3"/>
            <w:vAlign w:val="center"/>
          </w:tcPr>
          <w:p>
            <w:pPr>
              <w:rPr>
                <w:rFonts w:ascii="仿宋_GB2312" w:hAnsi="仿宋" w:eastAsia="仿宋_GB2312" w:cs="宋体"/>
                <w:b/>
              </w:rPr>
            </w:pPr>
            <w:r>
              <w:rPr>
                <w:rFonts w:hint="eastAsia" w:ascii="仿宋_GB2312" w:hAnsi="仿宋" w:eastAsia="仿宋_GB2312" w:cs="宋体"/>
              </w:rPr>
              <w:t>致：海南金政采项目管理有限公司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797" w:hRule="atLeast"/>
        </w:trPr>
        <w:tc>
          <w:tcPr>
            <w:tcW w:w="9072" w:type="dxa"/>
            <w:gridSpan w:val="3"/>
            <w:tcBorders>
              <w:bottom w:val="double" w:color="auto" w:sz="4" w:space="0"/>
            </w:tcBorders>
            <w:vAlign w:val="center"/>
          </w:tcPr>
          <w:p>
            <w:pPr>
              <w:ind w:firstLine="480" w:firstLineChars="200"/>
              <w:rPr>
                <w:rFonts w:ascii="仿宋_GB2312" w:hAnsi="仿宋" w:eastAsia="仿宋_GB2312" w:cs="宋体"/>
              </w:rPr>
            </w:pPr>
            <w:r>
              <w:rPr>
                <w:rFonts w:hint="eastAsia" w:ascii="仿宋_GB2312" w:hAnsi="仿宋" w:eastAsia="仿宋_GB2312" w:cs="宋体"/>
              </w:rPr>
              <w:t>作为参加贵单位组织的招标采购项目的供应商，本公司郑重承诺：</w:t>
            </w:r>
          </w:p>
          <w:p>
            <w:pPr>
              <w:ind w:firstLine="480" w:firstLineChars="200"/>
              <w:rPr>
                <w:rFonts w:ascii="仿宋_GB2312" w:hAnsi="仿宋" w:eastAsia="仿宋_GB2312" w:cs="宋体"/>
              </w:rPr>
            </w:pPr>
            <w:r>
              <w:rPr>
                <w:rFonts w:hint="eastAsia" w:ascii="仿宋_GB2312" w:hAnsi="仿宋" w:eastAsia="仿宋_GB2312" w:cs="宋体"/>
              </w:rPr>
              <w:t>一、本公司在参加本项目采购之前不存在被依法禁止经营行为、财产被接管或冻结的情况。</w:t>
            </w:r>
          </w:p>
          <w:p>
            <w:pPr>
              <w:ind w:firstLine="480" w:firstLineChars="200"/>
              <w:rPr>
                <w:rFonts w:ascii="仿宋_GB2312" w:hAnsi="仿宋" w:eastAsia="仿宋_GB2312" w:cs="宋体"/>
              </w:rPr>
            </w:pPr>
            <w:r>
              <w:rPr>
                <w:rFonts w:hint="eastAsia" w:ascii="仿宋_GB2312" w:hAnsi="仿宋" w:eastAsia="仿宋_GB2312" w:cs="宋体"/>
              </w:rPr>
              <w:t>二、近三年受到有关行政主管部门的行政处理、不良行为记录为次（没有填0）。</w:t>
            </w:r>
          </w:p>
          <w:p>
            <w:pPr>
              <w:ind w:firstLine="480" w:firstLineChars="200"/>
              <w:rPr>
                <w:rFonts w:ascii="仿宋_GB2312" w:hAnsi="仿宋" w:eastAsia="仿宋_GB2312" w:cs="宋体"/>
              </w:rPr>
            </w:pPr>
            <w:r>
              <w:rPr>
                <w:rFonts w:hint="eastAsia" w:ascii="仿宋_GB2312" w:hAnsi="仿宋" w:eastAsia="仿宋_GB2312" w:cs="宋体"/>
              </w:rPr>
              <w:t>三、近三年因产品供货问题（假冒品、替代品、次品、翻新品等）或服务问题（服务质量差、服务要求不达标等）的不法行为记录为次（没有填0）。</w:t>
            </w:r>
          </w:p>
          <w:p>
            <w:pPr>
              <w:ind w:firstLine="480" w:firstLineChars="200"/>
              <w:rPr>
                <w:rFonts w:ascii="仿宋_GB2312" w:hAnsi="仿宋" w:eastAsia="仿宋_GB2312" w:cs="宋体"/>
              </w:rPr>
            </w:pPr>
            <w:r>
              <w:rPr>
                <w:rFonts w:hint="eastAsia" w:ascii="仿宋_GB2312" w:hAnsi="仿宋" w:eastAsia="仿宋_GB2312" w:cs="宋体"/>
              </w:rPr>
              <w:t>四、本次磋商提供的标的物或服务内容和要求均为符合国家规定的相应技术标准、环保标准和安全标准的产品。</w:t>
            </w:r>
          </w:p>
          <w:p>
            <w:pPr>
              <w:ind w:firstLine="480" w:firstLineChars="200"/>
              <w:rPr>
                <w:rFonts w:ascii="仿宋_GB2312" w:hAnsi="仿宋" w:eastAsia="仿宋_GB2312" w:cs="宋体"/>
              </w:rPr>
            </w:pPr>
            <w:r>
              <w:rPr>
                <w:rFonts w:hint="eastAsia" w:ascii="仿宋_GB2312" w:hAnsi="仿宋" w:eastAsia="仿宋_GB2312" w:cs="宋体"/>
              </w:rPr>
              <w:t>五、我公司提供本项目的整体解决方案，能实现与磋商文件的全部技术要求，并如期完工。</w:t>
            </w:r>
          </w:p>
          <w:p>
            <w:pPr>
              <w:ind w:firstLine="480" w:firstLineChars="200"/>
              <w:rPr>
                <w:rFonts w:ascii="仿宋_GB2312" w:hAnsi="仿宋" w:eastAsia="仿宋_GB2312" w:cs="宋体"/>
              </w:rPr>
            </w:pPr>
            <w:r>
              <w:rPr>
                <w:rFonts w:hint="eastAsia" w:ascii="仿宋_GB2312" w:hAnsi="仿宋" w:eastAsia="仿宋_GB2312" w:cs="宋体"/>
              </w:rPr>
              <w:t>六、用户有权根据需要，对成交候选供应商就磋商响应内容，参考技术规格要求，进行验证性测试，如不通过则取消其成交候选供应商资格。</w:t>
            </w:r>
          </w:p>
          <w:p>
            <w:pPr>
              <w:ind w:firstLine="600" w:firstLineChars="250"/>
              <w:rPr>
                <w:rFonts w:ascii="仿宋_GB2312" w:hAnsi="仿宋" w:eastAsia="仿宋_GB2312" w:cs="宋体"/>
              </w:rPr>
            </w:pPr>
            <w:r>
              <w:rPr>
                <w:rFonts w:hint="eastAsia" w:ascii="仿宋_GB2312" w:hAnsi="仿宋" w:eastAsia="仿宋_GB2312" w:cs="宋体"/>
              </w:rPr>
              <w:t>★若采购人在本项目成交公告发布前，查核我公司有与上述承诺不符合、不满足、不响应的情况，我公司将自愿放弃成交资格，并愿承担一切责任及后果。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980" w:hRule="atLeast"/>
        </w:trPr>
        <w:tc>
          <w:tcPr>
            <w:tcW w:w="2832" w:type="dxa"/>
            <w:tcBorders>
              <w:top w:val="double" w:color="auto" w:sz="4" w:space="0"/>
              <w:bottom w:val="sing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cs="宋体"/>
              </w:rPr>
              <w:t>供应商</w:t>
            </w:r>
          </w:p>
        </w:tc>
        <w:tc>
          <w:tcPr>
            <w:tcW w:w="2940" w:type="dxa"/>
            <w:tcBorders>
              <w:top w:val="doub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cs="宋体"/>
              </w:rPr>
              <w:t>法定代表人</w:t>
            </w:r>
          </w:p>
        </w:tc>
        <w:tc>
          <w:tcPr>
            <w:tcW w:w="3300" w:type="dxa"/>
            <w:tcBorders>
              <w:top w:val="double" w:color="auto" w:sz="4" w:space="0"/>
              <w:left w:val="single" w:color="auto" w:sz="4" w:space="0"/>
              <w:bottom w:val="single" w:color="auto" w:sz="4" w:space="0"/>
            </w:tcBorders>
            <w:vAlign w:val="center"/>
          </w:tcPr>
          <w:p>
            <w:pPr>
              <w:jc w:val="center"/>
              <w:rPr>
                <w:rFonts w:ascii="仿宋_GB2312" w:hAnsi="仿宋" w:eastAsia="仿宋_GB2312" w:cs="宋体"/>
              </w:rPr>
            </w:pPr>
            <w:r>
              <w:rPr>
                <w:rFonts w:hint="eastAsia" w:ascii="仿宋_GB2312" w:hAnsi="仿宋" w:eastAsia="仿宋_GB2312" w:cs="宋体"/>
              </w:rPr>
              <w:t>日   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2176" w:hRule="atLeast"/>
        </w:trPr>
        <w:tc>
          <w:tcPr>
            <w:tcW w:w="2832" w:type="dxa"/>
            <w:tcBorders>
              <w:top w:val="single" w:color="auto" w:sz="4" w:space="0"/>
              <w:bottom w:val="doub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cs="宋体"/>
              </w:rPr>
              <w:t>（单位公章）</w:t>
            </w:r>
          </w:p>
        </w:tc>
        <w:tc>
          <w:tcPr>
            <w:tcW w:w="2940" w:type="dxa"/>
            <w:tcBorders>
              <w:top w:val="single" w:color="auto" w:sz="4" w:space="0"/>
              <w:left w:val="single" w:color="auto" w:sz="4" w:space="0"/>
              <w:bottom w:val="doub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cs="宋体"/>
              </w:rPr>
              <w:t>（签字或盖章）</w:t>
            </w:r>
          </w:p>
        </w:tc>
        <w:tc>
          <w:tcPr>
            <w:tcW w:w="3300" w:type="dxa"/>
            <w:tcBorders>
              <w:top w:val="single" w:color="auto" w:sz="4" w:space="0"/>
              <w:left w:val="single" w:color="auto" w:sz="4" w:space="0"/>
              <w:bottom w:val="double" w:color="auto" w:sz="4" w:space="0"/>
            </w:tcBorders>
            <w:vAlign w:val="center"/>
          </w:tcPr>
          <w:p>
            <w:pPr>
              <w:jc w:val="center"/>
              <w:rPr>
                <w:rFonts w:ascii="仿宋_GB2312" w:hAnsi="仿宋" w:eastAsia="仿宋_GB2312" w:cs="宋体"/>
              </w:rPr>
            </w:pPr>
            <w:r>
              <w:rPr>
                <w:rFonts w:hint="eastAsia" w:ascii="仿宋_GB2312" w:hAnsi="仿宋" w:eastAsia="仿宋_GB2312" w:cs="宋体"/>
              </w:rPr>
              <w:t>年   月   日</w:t>
            </w:r>
          </w:p>
        </w:tc>
      </w:tr>
    </w:tbl>
    <w:p>
      <w:pPr>
        <w:pStyle w:val="24"/>
        <w:spacing w:after="0" w:line="360" w:lineRule="auto"/>
        <w:ind w:left="0" w:leftChars="0" w:firstLine="0" w:firstLineChars="0"/>
        <w:rPr>
          <w:rFonts w:ascii="仿宋_GB2312" w:hAnsi="仿宋" w:eastAsia="仿宋_GB2312" w:cs="宋体"/>
          <w:b/>
          <w:sz w:val="24"/>
        </w:rPr>
      </w:pPr>
      <w:r>
        <w:rPr>
          <w:rFonts w:hint="eastAsia" w:ascii="仿宋_GB2312" w:hAnsi="仿宋" w:eastAsia="仿宋_GB2312" w:cs="宋体"/>
          <w:sz w:val="24"/>
        </w:rPr>
        <w:t>注：本附件为供应商资格要求中“参加采购活动近三年内，在经营活动中没有重大违法记录的声明函”的格式，所有供应商应按此格式提供。</w:t>
      </w:r>
      <w:r>
        <w:rPr>
          <w:rFonts w:hint="eastAsia" w:ascii="仿宋_GB2312" w:hAnsi="仿宋" w:eastAsia="仿宋_GB2312" w:cs="宋体"/>
          <w:sz w:val="24"/>
        </w:rPr>
        <w:br w:type="page"/>
      </w:r>
      <w:bookmarkStart w:id="78" w:name="_Toc238907095"/>
      <w:r>
        <w:rPr>
          <w:rFonts w:hint="eastAsia" w:ascii="仿宋_GB2312" w:hAnsi="仿宋" w:eastAsia="仿宋_GB2312" w:cs="宋体"/>
          <w:b/>
          <w:sz w:val="24"/>
        </w:rPr>
        <w:t>附件2、中小企业声明函</w:t>
      </w:r>
    </w:p>
    <w:p>
      <w:pPr>
        <w:ind w:firstLine="480" w:firstLineChars="200"/>
        <w:rPr>
          <w:rFonts w:ascii="仿宋_GB2312" w:hAnsi="仿宋" w:eastAsia="仿宋_GB2312" w:cs="宋体"/>
        </w:rPr>
      </w:pPr>
      <w:r>
        <w:rPr>
          <w:rFonts w:hint="eastAsia" w:ascii="仿宋_GB2312" w:hAnsi="仿宋" w:eastAsia="仿宋_GB2312" w:cs="宋体"/>
        </w:rPr>
        <w:t>本公司郑重声明，根据《政府采购促进中小企业发展暂行办法》（财库〔2011〕181号）的规定，本公司为______（请填写：中型、小型、微型）企业。即，本公司同时满足以下条件：</w:t>
      </w:r>
    </w:p>
    <w:p>
      <w:pPr>
        <w:ind w:firstLine="480" w:firstLineChars="200"/>
        <w:rPr>
          <w:rFonts w:ascii="仿宋_GB2312" w:hAnsi="仿宋" w:eastAsia="仿宋_GB2312" w:cs="宋体"/>
        </w:rPr>
      </w:pPr>
      <w:r>
        <w:rPr>
          <w:rFonts w:hint="eastAsia" w:ascii="仿宋_GB2312" w:hAnsi="仿宋" w:eastAsia="仿宋_GB2312" w:cs="宋体"/>
        </w:rPr>
        <w:t>1.根据《工业和信息化部、国家统计局、国家发展和改革委员会、财政部关于印发中小企业划型标准规定的通知》（工信部联企业〔2011〕300号）规定的划分标准，本公司为______（请填写：中型、小型、微型）企业。</w:t>
      </w:r>
    </w:p>
    <w:p>
      <w:pPr>
        <w:ind w:firstLine="480" w:firstLineChars="200"/>
        <w:rPr>
          <w:rFonts w:ascii="仿宋_GB2312" w:hAnsi="仿宋" w:eastAsia="仿宋_GB2312" w:cs="宋体"/>
        </w:rPr>
      </w:pPr>
      <w:r>
        <w:rPr>
          <w:rFonts w:hint="eastAsia" w:ascii="仿宋_GB2312" w:hAnsi="仿宋" w:eastAsia="仿宋_GB2312" w:cs="宋体"/>
        </w:rPr>
        <w:t>2.本公司参加______单位的______项目采购活动提供本企业制造的货物及服务，由本企业承担工程、提供服务，或者提供其他______（请填写：中型、小型、微型）企业制造的货物。本条所称货物不包括使用大型企业注册商标的货物。</w:t>
      </w:r>
    </w:p>
    <w:p>
      <w:pPr>
        <w:ind w:firstLine="480" w:firstLineChars="200"/>
        <w:rPr>
          <w:rFonts w:ascii="仿宋_GB2312" w:hAnsi="仿宋" w:eastAsia="仿宋_GB2312" w:cs="宋体"/>
        </w:rPr>
      </w:pPr>
      <w:r>
        <w:rPr>
          <w:rFonts w:hint="eastAsia" w:ascii="仿宋_GB2312" w:hAnsi="仿宋" w:eastAsia="仿宋_GB2312" w:cs="宋体"/>
        </w:rPr>
        <w:t>本公司对上述声明的真实性负责。如有虚假，将依法承担相应责任。</w:t>
      </w:r>
    </w:p>
    <w:p>
      <w:pPr>
        <w:ind w:firstLine="480" w:firstLineChars="200"/>
        <w:rPr>
          <w:rFonts w:ascii="仿宋_GB2312" w:hAnsi="仿宋" w:eastAsia="仿宋_GB2312" w:cs="宋体"/>
        </w:rPr>
      </w:pPr>
    </w:p>
    <w:p>
      <w:pPr>
        <w:ind w:firstLine="4014" w:firstLineChars="1666"/>
        <w:rPr>
          <w:rFonts w:ascii="仿宋_GB2312" w:hAnsi="仿宋" w:eastAsia="仿宋_GB2312" w:cs="宋体"/>
          <w:b/>
          <w:bCs/>
        </w:rPr>
      </w:pPr>
      <w:bookmarkStart w:id="79" w:name="OLE_LINK14"/>
      <w:bookmarkStart w:id="80" w:name="OLE_LINK13"/>
      <w:r>
        <w:rPr>
          <w:rFonts w:hint="eastAsia" w:ascii="仿宋_GB2312" w:hAnsi="仿宋" w:eastAsia="仿宋_GB2312" w:cs="宋体"/>
          <w:b/>
          <w:bCs/>
        </w:rPr>
        <w:t>供应商名称（盖章）：</w:t>
      </w:r>
      <w:r>
        <w:rPr>
          <w:rFonts w:ascii="仿宋" w:hAnsi="仿宋" w:eastAsia="仿宋"/>
        </w:rPr>
        <w:t>___________________</w:t>
      </w:r>
    </w:p>
    <w:p>
      <w:pPr>
        <w:rPr>
          <w:rFonts w:ascii="仿宋_GB2312" w:hAnsi="仿宋" w:eastAsia="仿宋_GB2312" w:cs="宋体"/>
          <w:b/>
          <w:bCs/>
        </w:rPr>
      </w:pPr>
    </w:p>
    <w:p>
      <w:pPr>
        <w:ind w:firstLine="5421" w:firstLineChars="2250"/>
        <w:rPr>
          <w:rFonts w:ascii="仿宋_GB2312" w:hAnsi="仿宋" w:eastAsia="仿宋_GB2312" w:cs="宋体"/>
          <w:b/>
          <w:bCs/>
        </w:rPr>
      </w:pPr>
      <w:r>
        <w:rPr>
          <w:rFonts w:hint="eastAsia" w:ascii="仿宋_GB2312" w:hAnsi="仿宋" w:eastAsia="仿宋_GB2312" w:cs="宋体"/>
          <w:b/>
          <w:bCs/>
        </w:rPr>
        <w:t>日   期：</w:t>
      </w:r>
      <w:r>
        <w:rPr>
          <w:rFonts w:ascii="仿宋" w:hAnsi="仿宋" w:eastAsia="仿宋"/>
        </w:rPr>
        <w:t>___________________</w:t>
      </w:r>
    </w:p>
    <w:p>
      <w:pPr>
        <w:rPr>
          <w:rFonts w:ascii="仿宋_GB2312" w:hAnsi="仿宋" w:eastAsia="仿宋_GB2312" w:cs="宋体"/>
        </w:rPr>
      </w:pPr>
      <w:bookmarkStart w:id="81" w:name="_Toc417911732"/>
      <w:bookmarkStart w:id="82" w:name="_Toc387658050"/>
      <w:bookmarkStart w:id="83" w:name="_Toc387147344"/>
      <w:bookmarkStart w:id="84" w:name="_Toc419811733"/>
      <w:bookmarkStart w:id="85" w:name="_Toc413748654"/>
    </w:p>
    <w:p>
      <w:pPr>
        <w:rPr>
          <w:rFonts w:ascii="仿宋_GB2312" w:hAnsi="仿宋" w:eastAsia="仿宋_GB2312" w:cs="宋体"/>
        </w:rPr>
      </w:pPr>
      <w:r>
        <w:rPr>
          <w:rFonts w:hint="eastAsia" w:ascii="仿宋_GB2312" w:hAnsi="仿宋" w:eastAsia="仿宋_GB2312" w:cs="宋体"/>
        </w:rPr>
        <w:t>注：</w:t>
      </w:r>
    </w:p>
    <w:p>
      <w:pPr>
        <w:numPr>
          <w:ilvl w:val="0"/>
          <w:numId w:val="4"/>
        </w:numPr>
        <w:rPr>
          <w:rFonts w:ascii="仿宋_GB2312" w:hAnsi="仿宋" w:eastAsia="仿宋_GB2312" w:cs="宋体"/>
        </w:rPr>
      </w:pPr>
      <w:r>
        <w:rPr>
          <w:rFonts w:hint="eastAsia" w:ascii="仿宋_GB2312" w:hAnsi="仿宋" w:eastAsia="仿宋_GB2312" w:cs="宋体"/>
        </w:rPr>
        <w:t>供应商符合《工业和信息化部、国家统计局、国家发展和改革委员会、财政部关于印发中小企业划型标准规定的通知》（工信部联企业〔2011〕300号）规定的划分标准为中小型企业适用。</w:t>
      </w:r>
      <w:bookmarkEnd w:id="81"/>
      <w:bookmarkEnd w:id="82"/>
      <w:bookmarkEnd w:id="83"/>
      <w:bookmarkEnd w:id="84"/>
      <w:bookmarkEnd w:id="85"/>
    </w:p>
    <w:p>
      <w:pPr>
        <w:rPr>
          <w:rFonts w:ascii="仿宋" w:hAnsi="仿宋" w:eastAsia="仿宋" w:cs="宋体"/>
        </w:rPr>
      </w:pPr>
      <w:r>
        <w:rPr>
          <w:rFonts w:hint="eastAsia" w:ascii="仿宋" w:hAnsi="仿宋" w:eastAsia="仿宋" w:cs="宋体"/>
        </w:rPr>
        <w:t>2、供应商为非企业单位的，可不提供此声明。</w:t>
      </w:r>
    </w:p>
    <w:p>
      <w:pPr>
        <w:rPr>
          <w:rFonts w:ascii="仿宋" w:hAnsi="仿宋" w:eastAsia="仿宋" w:cs="宋体"/>
        </w:rPr>
      </w:pPr>
      <w:r>
        <w:rPr>
          <w:rFonts w:hint="eastAsia" w:ascii="仿宋" w:hAnsi="仿宋" w:eastAsia="仿宋" w:cs="宋体"/>
        </w:rPr>
        <w:t>3、供应商为中型、小型和微型企业以外企业的，可不提供此声明。</w:t>
      </w:r>
    </w:p>
    <w:p>
      <w:pPr>
        <w:numPr>
          <w:ilvl w:val="0"/>
          <w:numId w:val="4"/>
        </w:numPr>
        <w:rPr>
          <w:rFonts w:ascii="仿宋_GB2312" w:hAnsi="仿宋" w:eastAsia="仿宋_GB2312" w:cs="宋体"/>
          <w:b/>
        </w:rPr>
      </w:pPr>
      <w:r>
        <w:rPr>
          <w:rFonts w:hint="eastAsia" w:ascii="仿宋_GB2312" w:hAnsi="仿宋" w:eastAsia="仿宋_GB2312" w:cs="宋体"/>
        </w:rPr>
        <w:br w:type="page"/>
      </w:r>
      <w:r>
        <w:rPr>
          <w:rFonts w:hint="eastAsia" w:ascii="仿宋_GB2312" w:hAnsi="仿宋" w:eastAsia="仿宋_GB2312" w:cs="宋体"/>
          <w:b/>
        </w:rPr>
        <w:t>附件3、残疾人福利性单位声明函</w:t>
      </w:r>
    </w:p>
    <w:bookmarkEnd w:id="79"/>
    <w:bookmarkEnd w:id="80"/>
    <w:p>
      <w:pPr>
        <w:rPr>
          <w:rFonts w:ascii="仿宋_GB2312" w:hAnsi="仿宋" w:eastAsia="仿宋_GB2312" w:cs="宋体"/>
          <w:b/>
          <w:spacing w:val="6"/>
        </w:rPr>
      </w:pPr>
    </w:p>
    <w:p>
      <w:pPr>
        <w:ind w:firstLine="504" w:firstLineChars="200"/>
        <w:rPr>
          <w:rFonts w:ascii="仿宋_GB2312" w:hAnsi="仿宋" w:eastAsia="仿宋_GB2312" w:cs="宋体"/>
          <w:spacing w:val="6"/>
        </w:rPr>
      </w:pPr>
      <w:r>
        <w:rPr>
          <w:rFonts w:hint="eastAsia" w:ascii="仿宋_GB2312" w:hAnsi="仿宋" w:eastAsia="仿宋_GB2312" w:cs="宋体"/>
          <w:spacing w:val="6"/>
        </w:rPr>
        <w:t>本单位郑重声明，根据《财政部 民政部 中国残疾人联合会关于促进残疾人就业政府采购政策的通知》（财库</w:t>
      </w:r>
      <w:r>
        <w:rPr>
          <w:rFonts w:hint="eastAsia" w:ascii="仿宋_GB2312" w:hAnsi="仿宋" w:eastAsia="仿宋_GB2312" w:cs="宋体"/>
        </w:rPr>
        <w:t>〔2017〕 141</w:t>
      </w:r>
      <w:r>
        <w:rPr>
          <w:rFonts w:hint="eastAsia" w:ascii="仿宋_GB2312" w:hAnsi="仿宋" w:eastAsia="仿宋_GB2312" w:cs="宋体"/>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04" w:firstLineChars="200"/>
        <w:rPr>
          <w:rFonts w:ascii="仿宋_GB2312" w:hAnsi="仿宋" w:eastAsia="仿宋_GB2312" w:cs="宋体"/>
          <w:spacing w:val="6"/>
        </w:rPr>
      </w:pPr>
      <w:r>
        <w:rPr>
          <w:rFonts w:hint="eastAsia" w:ascii="仿宋_GB2312" w:hAnsi="仿宋" w:eastAsia="仿宋_GB2312" w:cs="宋体"/>
          <w:spacing w:val="6"/>
        </w:rPr>
        <w:t>本单位对上述声明的真实性负责。如有虚假，将依法承担相应责任。</w:t>
      </w:r>
    </w:p>
    <w:p>
      <w:pPr>
        <w:ind w:firstLine="480" w:firstLineChars="200"/>
        <w:rPr>
          <w:rFonts w:ascii="仿宋_GB2312" w:hAnsi="仿宋" w:eastAsia="仿宋_GB2312" w:cs="宋体"/>
        </w:rPr>
      </w:pPr>
    </w:p>
    <w:p>
      <w:pPr>
        <w:ind w:firstLine="4014" w:firstLineChars="1666"/>
        <w:rPr>
          <w:rFonts w:ascii="仿宋_GB2312" w:hAnsi="仿宋" w:eastAsia="仿宋_GB2312" w:cs="宋体"/>
          <w:b/>
          <w:bCs/>
        </w:rPr>
      </w:pPr>
      <w:r>
        <w:rPr>
          <w:rFonts w:hint="eastAsia" w:ascii="仿宋_GB2312" w:hAnsi="仿宋" w:eastAsia="仿宋_GB2312" w:cs="宋体"/>
          <w:b/>
          <w:bCs/>
        </w:rPr>
        <w:t>供应商名称（盖章）：</w:t>
      </w:r>
      <w:r>
        <w:rPr>
          <w:rFonts w:ascii="仿宋" w:hAnsi="仿宋" w:eastAsia="仿宋"/>
        </w:rPr>
        <w:t>___________________</w:t>
      </w:r>
    </w:p>
    <w:p>
      <w:pPr>
        <w:rPr>
          <w:rFonts w:ascii="仿宋_GB2312" w:hAnsi="仿宋" w:eastAsia="仿宋_GB2312" w:cs="宋体"/>
          <w:b/>
          <w:bCs/>
        </w:rPr>
      </w:pPr>
    </w:p>
    <w:p>
      <w:pPr>
        <w:ind w:firstLine="5421" w:firstLineChars="2250"/>
        <w:rPr>
          <w:rFonts w:ascii="仿宋_GB2312" w:hAnsi="仿宋" w:eastAsia="仿宋_GB2312" w:cs="宋体"/>
          <w:b/>
          <w:bCs/>
        </w:rPr>
      </w:pPr>
      <w:r>
        <w:rPr>
          <w:rFonts w:hint="eastAsia" w:ascii="仿宋_GB2312" w:hAnsi="仿宋" w:eastAsia="仿宋_GB2312" w:cs="宋体"/>
          <w:b/>
          <w:bCs/>
        </w:rPr>
        <w:t>日   期：</w:t>
      </w:r>
      <w:r>
        <w:rPr>
          <w:rFonts w:ascii="仿宋" w:hAnsi="仿宋" w:eastAsia="仿宋"/>
        </w:rPr>
        <w:t>___________________</w:t>
      </w:r>
    </w:p>
    <w:p>
      <w:pPr>
        <w:rPr>
          <w:rFonts w:ascii="仿宋_GB2312" w:hAnsi="仿宋" w:eastAsia="仿宋_GB2312" w:cs="宋体"/>
        </w:rPr>
      </w:pPr>
    </w:p>
    <w:p>
      <w:pPr>
        <w:rPr>
          <w:rFonts w:ascii="仿宋_GB2312" w:hAnsi="仿宋" w:eastAsia="仿宋_GB2312" w:cs="宋体"/>
        </w:rPr>
      </w:pPr>
    </w:p>
    <w:p>
      <w:pPr>
        <w:rPr>
          <w:rFonts w:ascii="仿宋_GB2312" w:hAnsi="仿宋" w:eastAsia="仿宋_GB2312" w:cs="宋体"/>
        </w:rPr>
      </w:pPr>
      <w:r>
        <w:rPr>
          <w:rFonts w:hint="eastAsia" w:ascii="仿宋_GB2312" w:hAnsi="仿宋" w:eastAsia="仿宋_GB2312" w:cs="宋体"/>
        </w:rPr>
        <w:t>注：</w:t>
      </w:r>
    </w:p>
    <w:p>
      <w:pPr>
        <w:numPr>
          <w:ilvl w:val="0"/>
          <w:numId w:val="5"/>
        </w:numPr>
        <w:rPr>
          <w:rFonts w:ascii="仿宋_GB2312" w:hAnsi="仿宋" w:eastAsia="仿宋_GB2312" w:cs="宋体"/>
        </w:rPr>
      </w:pPr>
      <w:r>
        <w:rPr>
          <w:rFonts w:hint="eastAsia" w:ascii="仿宋_GB2312" w:hAnsi="仿宋" w:eastAsia="仿宋_GB2312" w:cs="宋体"/>
        </w:rPr>
        <w:t>残疾人福利性单位视同小型、微型企业，享受预留份额、评审中价格扣除等促进中小企业发展的政府采购政策。残疾人福利性单位属于小型、微型企业的，不重复享受政策。</w:t>
      </w:r>
    </w:p>
    <w:p>
      <w:pPr>
        <w:rPr>
          <w:rFonts w:ascii="仿宋_GB2312" w:hAnsi="仿宋" w:eastAsia="仿宋_GB2312" w:cs="宋体"/>
        </w:rPr>
      </w:pPr>
      <w:r>
        <w:rPr>
          <w:rFonts w:hint="eastAsia" w:ascii="仿宋_GB2312" w:hAnsi="仿宋" w:eastAsia="仿宋_GB2312" w:cs="宋体"/>
        </w:rPr>
        <w:t>2、供应商为非残疾人福利性单位的，可不提供此声明。</w:t>
      </w:r>
    </w:p>
    <w:p>
      <w:pPr>
        <w:pStyle w:val="4"/>
        <w:rPr>
          <w:rFonts w:ascii="仿宋_GB2312" w:hAnsi="仿宋" w:eastAsia="仿宋_GB2312" w:cs="宋体"/>
          <w:sz w:val="24"/>
          <w:szCs w:val="24"/>
        </w:rPr>
      </w:pPr>
      <w:r>
        <w:rPr>
          <w:rFonts w:hint="eastAsia" w:ascii="仿宋_GB2312" w:hAnsi="仿宋" w:eastAsia="仿宋_GB2312" w:cs="宋体"/>
          <w:sz w:val="24"/>
          <w:szCs w:val="24"/>
        </w:rPr>
        <w:br w:type="page"/>
      </w:r>
      <w:bookmarkEnd w:id="78"/>
      <w:r>
        <w:rPr>
          <w:rFonts w:hint="eastAsia" w:ascii="仿宋_GB2312" w:hAnsi="仿宋" w:eastAsia="仿宋_GB2312" w:cs="宋体"/>
          <w:sz w:val="24"/>
          <w:szCs w:val="24"/>
        </w:rPr>
        <w:t>附件4、竞争性磋商二次报价单</w:t>
      </w:r>
    </w:p>
    <w:p>
      <w:pPr>
        <w:rPr>
          <w:rFonts w:ascii="仿宋_GB2312" w:hAnsi="仿宋" w:eastAsia="仿宋_GB2312" w:cs="宋体"/>
        </w:rPr>
      </w:pPr>
      <w:r>
        <w:rPr>
          <w:rFonts w:hint="eastAsia" w:ascii="仿宋_GB2312" w:hAnsi="仿宋" w:eastAsia="仿宋_GB2312" w:cs="宋体"/>
          <w:b/>
        </w:rPr>
        <w:t>（说明：二次报价单待开标当天通过资格符合性审查的供应商进入下一轮时才进行报价）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pStyle w:val="66"/>
              <w:spacing w:line="360" w:lineRule="auto"/>
              <w:ind w:firstLine="461"/>
              <w:jc w:val="both"/>
              <w:rPr>
                <w:rFonts w:hAnsi="仿宋" w:cs="宋体"/>
                <w:sz w:val="24"/>
                <w:szCs w:val="24"/>
              </w:rPr>
            </w:pPr>
            <w:r>
              <w:rPr>
                <w:rFonts w:hint="eastAsia" w:hAnsi="仿宋" w:cs="宋体"/>
                <w:sz w:val="24"/>
                <w:szCs w:val="24"/>
              </w:rPr>
              <w:t>项目名称</w:t>
            </w:r>
          </w:p>
        </w:tc>
        <w:tc>
          <w:tcPr>
            <w:tcW w:w="7087" w:type="dxa"/>
          </w:tcPr>
          <w:p>
            <w:pPr>
              <w:pStyle w:val="66"/>
              <w:spacing w:line="360" w:lineRule="auto"/>
              <w:ind w:firstLine="0" w:firstLineChars="0"/>
              <w:rPr>
                <w:rFonts w:hint="eastAsia" w:hAnsi="仿宋" w:eastAsia="仿宋_GB2312" w:cs="宋体"/>
                <w:sz w:val="24"/>
                <w:szCs w:val="24"/>
                <w:lang w:eastAsia="zh-CN"/>
              </w:rPr>
            </w:pPr>
            <w:r>
              <w:rPr>
                <w:rFonts w:hint="eastAsia" w:hAnsi="仿宋" w:cs="宋体"/>
                <w:sz w:val="24"/>
                <w:szCs w:val="24"/>
              </w:rPr>
              <w:t>海南省矿产资源总体规划（2021-2025年）环境影响评价（海域部分）</w:t>
            </w:r>
            <w:r>
              <w:rPr>
                <w:rFonts w:hint="eastAsia" w:hAnsi="仿宋" w:cs="宋体"/>
                <w:sz w:val="24"/>
                <w:szCs w:val="24"/>
                <w:lang w:eastAsia="zh-CN"/>
              </w:rPr>
              <w:t>（四次）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66"/>
              <w:spacing w:line="360" w:lineRule="auto"/>
              <w:ind w:firstLine="461"/>
              <w:rPr>
                <w:rFonts w:hAnsi="仿宋" w:cs="宋体"/>
                <w:sz w:val="24"/>
                <w:szCs w:val="24"/>
              </w:rPr>
            </w:pPr>
            <w:r>
              <w:rPr>
                <w:rFonts w:hint="eastAsia" w:hAnsi="仿宋" w:cs="宋体"/>
                <w:sz w:val="24"/>
                <w:szCs w:val="24"/>
              </w:rPr>
              <w:t>项目编号</w:t>
            </w:r>
          </w:p>
        </w:tc>
        <w:tc>
          <w:tcPr>
            <w:tcW w:w="7087" w:type="dxa"/>
          </w:tcPr>
          <w:p>
            <w:pPr>
              <w:pStyle w:val="66"/>
              <w:spacing w:line="360" w:lineRule="auto"/>
              <w:ind w:firstLine="0" w:firstLineChars="0"/>
              <w:rPr>
                <w:rFonts w:hint="eastAsia" w:hAnsi="仿宋" w:eastAsia="仿宋_GB2312" w:cs="宋体"/>
                <w:sz w:val="24"/>
                <w:szCs w:val="24"/>
                <w:lang w:eastAsia="zh-CN"/>
              </w:rPr>
            </w:pPr>
            <w:r>
              <w:rPr>
                <w:rFonts w:hint="eastAsia" w:hAnsi="仿宋" w:cs="宋体"/>
                <w:sz w:val="24"/>
                <w:szCs w:val="24"/>
                <w:lang w:eastAsia="zh-CN"/>
              </w:rPr>
              <w:t>GGP20210309Q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6" w:hRule="atLeast"/>
        </w:trPr>
        <w:tc>
          <w:tcPr>
            <w:tcW w:w="9180" w:type="dxa"/>
            <w:gridSpan w:val="2"/>
          </w:tcPr>
          <w:p>
            <w:pPr>
              <w:pStyle w:val="66"/>
              <w:spacing w:line="360" w:lineRule="auto"/>
              <w:ind w:firstLine="461"/>
              <w:rPr>
                <w:rFonts w:hAnsi="仿宋" w:cs="宋体"/>
                <w:sz w:val="24"/>
                <w:szCs w:val="24"/>
              </w:rPr>
            </w:pPr>
            <w:r>
              <w:rPr>
                <w:rFonts w:hint="eastAsia" w:hAnsi="仿宋" w:cs="宋体"/>
                <w:sz w:val="24"/>
                <w:szCs w:val="24"/>
              </w:rPr>
              <w:t>二次报价：</w:t>
            </w:r>
          </w:p>
          <w:p>
            <w:pPr>
              <w:pStyle w:val="66"/>
              <w:spacing w:line="360" w:lineRule="auto"/>
              <w:ind w:firstLine="461"/>
              <w:rPr>
                <w:rFonts w:hAnsi="仿宋" w:cs="宋体"/>
                <w:sz w:val="24"/>
                <w:szCs w:val="24"/>
              </w:rPr>
            </w:pPr>
            <w:r>
              <w:rPr>
                <w:rFonts w:hint="eastAsia" w:hAnsi="仿宋" w:cs="宋体"/>
                <w:sz w:val="24"/>
                <w:szCs w:val="24"/>
              </w:rPr>
              <w:t>总报价：</w:t>
            </w:r>
            <w:r>
              <w:rPr>
                <w:rFonts w:hint="eastAsia" w:ascii="宋体" w:cs="宋体"/>
                <w:sz w:val="24"/>
                <w:szCs w:val="24"/>
              </w:rPr>
              <w:t>¥</w:t>
            </w:r>
            <w:r>
              <w:rPr>
                <w:rFonts w:hint="eastAsia" w:hAnsi="仿宋" w:cs="宋体"/>
                <w:sz w:val="24"/>
                <w:szCs w:val="24"/>
              </w:rPr>
              <w:t>：</w:t>
            </w:r>
          </w:p>
          <w:p>
            <w:pPr>
              <w:pStyle w:val="66"/>
              <w:spacing w:line="360" w:lineRule="auto"/>
              <w:ind w:firstLine="461"/>
              <w:rPr>
                <w:rFonts w:hAnsi="仿宋" w:cs="宋体"/>
                <w:sz w:val="24"/>
                <w:szCs w:val="24"/>
              </w:rPr>
            </w:pPr>
          </w:p>
          <w:p>
            <w:pPr>
              <w:pStyle w:val="66"/>
              <w:spacing w:line="360" w:lineRule="auto"/>
              <w:ind w:firstLine="461"/>
              <w:rPr>
                <w:rFonts w:hAnsi="仿宋" w:cs="宋体"/>
                <w:sz w:val="24"/>
                <w:szCs w:val="24"/>
              </w:rPr>
            </w:pPr>
            <w:r>
              <w:rPr>
                <w:rFonts w:hint="eastAsia" w:hAnsi="仿宋" w:cs="宋体"/>
                <w:sz w:val="24"/>
                <w:szCs w:val="24"/>
              </w:rPr>
              <w:t>大写：</w:t>
            </w:r>
          </w:p>
          <w:p>
            <w:pPr>
              <w:pStyle w:val="66"/>
              <w:spacing w:line="360" w:lineRule="auto"/>
              <w:ind w:firstLine="461"/>
              <w:rPr>
                <w:rFonts w:hAnsi="仿宋" w:cs="宋体"/>
                <w:sz w:val="24"/>
                <w:szCs w:val="24"/>
              </w:rPr>
            </w:pPr>
          </w:p>
          <w:p>
            <w:pPr>
              <w:pStyle w:val="66"/>
              <w:spacing w:line="360" w:lineRule="auto"/>
              <w:ind w:firstLine="461"/>
              <w:rPr>
                <w:rFonts w:hAnsi="仿宋" w:cs="宋体"/>
                <w:sz w:val="24"/>
                <w:szCs w:val="24"/>
              </w:rPr>
            </w:pPr>
            <w:r>
              <w:rPr>
                <w:rFonts w:hint="eastAsia" w:hAnsi="仿宋" w:cs="宋体"/>
                <w:sz w:val="24"/>
                <w:szCs w:val="24"/>
              </w:rPr>
              <w:t>相关补充说明：</w:t>
            </w:r>
          </w:p>
          <w:p>
            <w:pPr>
              <w:pStyle w:val="66"/>
              <w:spacing w:line="360" w:lineRule="auto"/>
              <w:ind w:firstLine="461"/>
              <w:rPr>
                <w:rFonts w:hAnsi="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9180" w:type="dxa"/>
            <w:gridSpan w:val="2"/>
          </w:tcPr>
          <w:p>
            <w:pPr>
              <w:pStyle w:val="66"/>
              <w:spacing w:line="360" w:lineRule="auto"/>
              <w:ind w:firstLine="461"/>
              <w:rPr>
                <w:rFonts w:hAnsi="仿宋" w:cs="宋体"/>
                <w:sz w:val="24"/>
                <w:szCs w:val="24"/>
              </w:rPr>
            </w:pPr>
          </w:p>
          <w:p>
            <w:pPr>
              <w:pStyle w:val="66"/>
              <w:spacing w:line="360" w:lineRule="auto"/>
              <w:ind w:firstLine="461"/>
              <w:rPr>
                <w:rFonts w:hAnsi="仿宋" w:cs="宋体"/>
                <w:sz w:val="24"/>
                <w:szCs w:val="24"/>
              </w:rPr>
            </w:pPr>
            <w:r>
              <w:rPr>
                <w:rFonts w:hint="eastAsia" w:hAnsi="仿宋" w:cs="宋体"/>
                <w:sz w:val="24"/>
                <w:szCs w:val="24"/>
              </w:rPr>
              <w:t>供应商名称：</w:t>
            </w:r>
          </w:p>
          <w:p>
            <w:pPr>
              <w:pStyle w:val="66"/>
              <w:spacing w:line="360" w:lineRule="auto"/>
              <w:ind w:firstLine="461"/>
              <w:rPr>
                <w:rFonts w:hAnsi="仿宋" w:cs="宋体"/>
                <w:sz w:val="24"/>
                <w:szCs w:val="24"/>
              </w:rPr>
            </w:pPr>
          </w:p>
          <w:p>
            <w:pPr>
              <w:pStyle w:val="66"/>
              <w:spacing w:line="360" w:lineRule="auto"/>
              <w:ind w:firstLine="461"/>
              <w:rPr>
                <w:rFonts w:hAnsi="仿宋" w:cs="宋体"/>
                <w:sz w:val="24"/>
                <w:szCs w:val="24"/>
              </w:rPr>
            </w:pPr>
            <w:r>
              <w:rPr>
                <w:rFonts w:hint="eastAsia" w:hAnsi="仿宋" w:cs="宋体"/>
                <w:sz w:val="24"/>
                <w:szCs w:val="24"/>
              </w:rPr>
              <w:t>授权代表（签名）：</w:t>
            </w:r>
          </w:p>
          <w:p>
            <w:pPr>
              <w:pStyle w:val="66"/>
              <w:spacing w:line="360" w:lineRule="auto"/>
              <w:ind w:firstLine="461"/>
              <w:rPr>
                <w:rFonts w:hAnsi="仿宋" w:cs="宋体"/>
                <w:sz w:val="24"/>
                <w:szCs w:val="24"/>
              </w:rPr>
            </w:pPr>
          </w:p>
          <w:p>
            <w:pPr>
              <w:pStyle w:val="66"/>
              <w:spacing w:line="360" w:lineRule="auto"/>
              <w:ind w:firstLine="461"/>
              <w:rPr>
                <w:rFonts w:hAnsi="仿宋" w:cs="宋体"/>
                <w:sz w:val="24"/>
                <w:szCs w:val="24"/>
              </w:rPr>
            </w:pPr>
            <w:r>
              <w:rPr>
                <w:rFonts w:hint="eastAsia" w:hAnsi="仿宋" w:cs="宋体"/>
                <w:sz w:val="24"/>
                <w:szCs w:val="24"/>
              </w:rPr>
              <w:t>授权代表联系电话：</w:t>
            </w:r>
          </w:p>
          <w:p>
            <w:pPr>
              <w:pStyle w:val="66"/>
              <w:spacing w:line="360" w:lineRule="auto"/>
              <w:ind w:firstLine="461"/>
              <w:rPr>
                <w:rFonts w:hAnsi="仿宋" w:cs="宋体"/>
                <w:sz w:val="24"/>
                <w:szCs w:val="24"/>
              </w:rPr>
            </w:pPr>
          </w:p>
          <w:p>
            <w:pPr>
              <w:pStyle w:val="66"/>
              <w:spacing w:line="360" w:lineRule="auto"/>
              <w:ind w:firstLine="461"/>
              <w:jc w:val="center"/>
              <w:rPr>
                <w:rFonts w:hAnsi="仿宋" w:cs="宋体"/>
                <w:sz w:val="24"/>
                <w:szCs w:val="24"/>
              </w:rPr>
            </w:pPr>
            <w:r>
              <w:rPr>
                <w:rFonts w:hint="eastAsia" w:hAnsi="仿宋" w:cs="宋体"/>
                <w:sz w:val="24"/>
                <w:szCs w:val="24"/>
              </w:rPr>
              <w:t xml:space="preserve">                                                       年  月  日</w:t>
            </w:r>
          </w:p>
        </w:tc>
      </w:tr>
    </w:tbl>
    <w:p>
      <w:pPr>
        <w:rPr>
          <w:rFonts w:ascii="仿宋_GB2312" w:hAnsi="仿宋" w:eastAsia="仿宋_GB2312" w:cs="宋体"/>
        </w:rPr>
      </w:pPr>
      <w:r>
        <w:rPr>
          <w:rFonts w:hint="eastAsia" w:ascii="仿宋_GB2312" w:hAnsi="仿宋" w:eastAsia="仿宋_GB2312" w:cs="宋体"/>
        </w:rPr>
        <w:t>备注：</w:t>
      </w:r>
    </w:p>
    <w:p>
      <w:pPr>
        <w:rPr>
          <w:rFonts w:ascii="仿宋_GB2312" w:hAnsi="仿宋" w:eastAsia="仿宋_GB2312" w:cs="宋体"/>
        </w:rPr>
      </w:pPr>
      <w:r>
        <w:rPr>
          <w:rFonts w:hint="eastAsia" w:ascii="仿宋_GB2312" w:hAnsi="仿宋" w:eastAsia="仿宋_GB2312" w:cs="宋体"/>
        </w:rPr>
        <w:t>1、大写数字：</w:t>
      </w:r>
    </w:p>
    <w:p>
      <w:pPr>
        <w:pStyle w:val="66"/>
        <w:spacing w:line="360" w:lineRule="auto"/>
        <w:ind w:firstLine="480" w:firstLineChars="200"/>
        <w:rPr>
          <w:rFonts w:hAnsi="仿宋" w:cs="宋体"/>
          <w:sz w:val="24"/>
          <w:szCs w:val="24"/>
        </w:rPr>
      </w:pPr>
      <w:bookmarkStart w:id="86" w:name="_Toc29934_WPSOffice_Level1"/>
      <w:bookmarkStart w:id="87" w:name="_Toc27105_WPSOffice_Level1"/>
      <w:bookmarkStart w:id="88" w:name="_Toc6232_WPSOffice_Level1"/>
      <w:bookmarkStart w:id="89" w:name="_Toc800_WPSOffice_Level1"/>
      <w:bookmarkStart w:id="90" w:name="_Toc15367_WPSOffice_Level1"/>
      <w:r>
        <w:rPr>
          <w:rFonts w:hint="eastAsia" w:hAnsi="仿宋" w:cs="宋体"/>
          <w:sz w:val="24"/>
          <w:szCs w:val="24"/>
        </w:rPr>
        <w:t>壹、贰、叁、肆、伍、陆、柒、捌、玖、零、亿、万、仟、佰、拾；</w:t>
      </w:r>
      <w:bookmarkEnd w:id="86"/>
      <w:bookmarkEnd w:id="87"/>
      <w:bookmarkEnd w:id="88"/>
      <w:bookmarkEnd w:id="89"/>
      <w:bookmarkEnd w:id="90"/>
    </w:p>
    <w:p>
      <w:pPr>
        <w:pStyle w:val="66"/>
        <w:spacing w:line="360" w:lineRule="auto"/>
        <w:ind w:firstLine="0" w:firstLineChars="0"/>
        <w:rPr>
          <w:rFonts w:hAnsi="仿宋" w:cs="宋体"/>
          <w:sz w:val="24"/>
          <w:szCs w:val="24"/>
        </w:rPr>
      </w:pPr>
      <w:r>
        <w:rPr>
          <w:rFonts w:hint="eastAsia" w:hAnsi="仿宋" w:cs="宋体"/>
          <w:sz w:val="24"/>
          <w:szCs w:val="24"/>
        </w:rPr>
        <w:t>2 、</w:t>
      </w:r>
      <w:r>
        <w:rPr>
          <w:rFonts w:hint="eastAsia" w:ascii="仿宋" w:hAnsi="仿宋" w:eastAsia="仿宋" w:cs="宋体"/>
          <w:sz w:val="24"/>
          <w:szCs w:val="24"/>
        </w:rPr>
        <w:t>供应商填完此表应在所有手写处盖上手印。</w:t>
      </w:r>
    </w:p>
    <w:p>
      <w:pPr>
        <w:pStyle w:val="23"/>
        <w:spacing w:after="0"/>
        <w:ind w:firstLine="0" w:firstLineChars="0"/>
        <w:rPr>
          <w:rFonts w:ascii="仿宋_GB2312" w:hAnsi="仿宋" w:eastAsia="仿宋_GB2312" w:cs="宋体"/>
        </w:rPr>
      </w:pPr>
    </w:p>
    <w:p>
      <w:pPr>
        <w:pStyle w:val="23"/>
        <w:spacing w:after="0"/>
        <w:ind w:firstLine="240"/>
        <w:jc w:val="center"/>
        <w:rPr>
          <w:rFonts w:ascii="仿宋_GB2312" w:hAnsi="仿宋" w:eastAsia="仿宋_GB2312" w:cs="宋体"/>
        </w:rPr>
      </w:pPr>
    </w:p>
    <w:p>
      <w:pPr>
        <w:pStyle w:val="23"/>
        <w:spacing w:after="0"/>
        <w:ind w:firstLine="240"/>
        <w:jc w:val="center"/>
        <w:rPr>
          <w:rFonts w:ascii="仿宋_GB2312" w:hAnsi="仿宋" w:eastAsia="仿宋_GB2312" w:cs="宋体"/>
        </w:rPr>
      </w:pPr>
      <w:bookmarkStart w:id="91" w:name="_Toc914_WPSOffice_Level1"/>
      <w:r>
        <w:rPr>
          <w:rFonts w:hint="eastAsia" w:ascii="仿宋_GB2312" w:hAnsi="仿宋" w:eastAsia="仿宋_GB2312" w:cs="宋体"/>
        </w:rPr>
        <w:t>(二次报价单不需要放到标书里)</w:t>
      </w:r>
      <w:bookmarkEnd w:id="91"/>
    </w:p>
    <w:sectPr>
      <w:headerReference r:id="rId15" w:type="default"/>
      <w:footerReference r:id="rId16" w:type="default"/>
      <w:pgSz w:w="11906" w:h="16838"/>
      <w:pgMar w:top="1418" w:right="1418" w:bottom="1418" w:left="1418" w:header="851" w:footer="419"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5"/>
                </w:pPr>
                <w:r>
                  <w:t xml:space="preserve">第 </w:t>
                </w:r>
                <w:r>
                  <w:fldChar w:fldCharType="begin"/>
                </w:r>
                <w:r>
                  <w:instrText xml:space="preserve"> PAGE  \* MERGEFORMAT </w:instrText>
                </w:r>
                <w:r>
                  <w:fldChar w:fldCharType="separate"/>
                </w:r>
                <w:r>
                  <w:t>26</w:t>
                </w:r>
                <w:r>
                  <w:fldChar w:fldCharType="end"/>
                </w:r>
                <w:r>
                  <w:t xml:space="preserve"> 页 共 </w:t>
                </w:r>
                <w:r>
                  <w:rPr>
                    <w:rFonts w:hint="eastAsia"/>
                  </w:rPr>
                  <w:t>52</w:t>
                </w:r>
                <w:r>
                  <w:t xml:space="preserve"> 页</w:t>
                </w:r>
              </w:p>
            </w:txbxContent>
          </v:textbox>
        </v:shape>
      </w:pic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pict>
        <v:shape id="_x0000_s2057" o:spid="_x0000_s2057" o:spt="202" type="#_x0000_t202" style="position:absolute;left:0pt;margin-left:278pt;margin-top:-0.1pt;height:17.5pt;width:88.55p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5"/>
                  <w:ind w:firstLine="240"/>
                  <w:jc w:val="center"/>
                </w:pPr>
                <w:r>
                  <w:t xml:space="preserve">第 </w:t>
                </w:r>
                <w:r>
                  <w:fldChar w:fldCharType="begin"/>
                </w:r>
                <w:r>
                  <w:instrText xml:space="preserve"> PAGE  \* MERGEFORMAT </w:instrText>
                </w:r>
                <w:r>
                  <w:fldChar w:fldCharType="separate"/>
                </w:r>
                <w:r>
                  <w:t>27</w:t>
                </w:r>
                <w:r>
                  <w:fldChar w:fldCharType="end"/>
                </w:r>
                <w:r>
                  <w:t xml:space="preserve"> 页 共 </w:t>
                </w:r>
                <w:r>
                  <w:rPr>
                    <w:rFonts w:hint="eastAsia"/>
                  </w:rPr>
                  <w:t>52</w:t>
                </w:r>
                <w:r>
                  <w:t xml:space="preserve"> 页</w:t>
                </w:r>
              </w:p>
            </w:txbxContent>
          </v:textbox>
        </v:shape>
      </w:pic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5"/>
                  <w:jc w:val="center"/>
                </w:pPr>
                <w:r>
                  <w:t xml:space="preserve">第 </w:t>
                </w:r>
                <w:r>
                  <w:fldChar w:fldCharType="begin"/>
                </w:r>
                <w:r>
                  <w:instrText xml:space="preserve"> PAGE  \* MERGEFORMAT </w:instrText>
                </w:r>
                <w:r>
                  <w:fldChar w:fldCharType="separate"/>
                </w:r>
                <w:r>
                  <w:t>52</w:t>
                </w:r>
                <w:r>
                  <w:fldChar w:fldCharType="end"/>
                </w:r>
                <w:r>
                  <w:t xml:space="preserve"> 页 共</w:t>
                </w:r>
                <w:r>
                  <w:rPr>
                    <w:rFonts w:hint="eastAsia"/>
                  </w:rPr>
                  <w:t>52</w:t>
                </w:r>
                <w:r>
                  <w:t>页</w:t>
                </w:r>
              </w:p>
            </w:txbxContent>
          </v:textbox>
        </v:shape>
      </w:pict>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9E547"/>
    <w:multiLevelType w:val="singleLevel"/>
    <w:tmpl w:val="CFF9E547"/>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6"/>
    <w:multiLevelType w:val="singleLevel"/>
    <w:tmpl w:val="00000006"/>
    <w:lvl w:ilvl="0" w:tentative="0">
      <w:start w:val="2"/>
      <w:numFmt w:val="decimal"/>
      <w:suff w:val="nothing"/>
      <w:lvlText w:val="%1、"/>
      <w:lvlJc w:val="left"/>
    </w:lvl>
  </w:abstractNum>
  <w:abstractNum w:abstractNumId="3">
    <w:nsid w:val="603CAE92"/>
    <w:multiLevelType w:val="singleLevel"/>
    <w:tmpl w:val="603CAE92"/>
    <w:lvl w:ilvl="0" w:tentative="0">
      <w:start w:val="1"/>
      <w:numFmt w:val="chineseCounting"/>
      <w:suff w:val="nothing"/>
      <w:lvlText w:val="（%1）"/>
      <w:lvlJc w:val="left"/>
    </w:lvl>
  </w:abstractNum>
  <w:abstractNum w:abstractNumId="4">
    <w:nsid w:val="6DF47F01"/>
    <w:multiLevelType w:val="multilevel"/>
    <w:tmpl w:val="6DF47F01"/>
    <w:lvl w:ilvl="0" w:tentative="0">
      <w:start w:val="1"/>
      <w:numFmt w:val="decimal"/>
      <w:lvlText w:val="%1"/>
      <w:lvlJc w:val="left"/>
      <w:pPr>
        <w:tabs>
          <w:tab w:val="left" w:pos="1537"/>
        </w:tabs>
        <w:ind w:left="1537" w:hanging="1432"/>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50"/>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89C"/>
    <w:rsid w:val="00005458"/>
    <w:rsid w:val="0000621B"/>
    <w:rsid w:val="0000711C"/>
    <w:rsid w:val="0000798E"/>
    <w:rsid w:val="00010555"/>
    <w:rsid w:val="000113BB"/>
    <w:rsid w:val="00013163"/>
    <w:rsid w:val="00014B3A"/>
    <w:rsid w:val="000165D8"/>
    <w:rsid w:val="00016996"/>
    <w:rsid w:val="00016AD4"/>
    <w:rsid w:val="00016DAF"/>
    <w:rsid w:val="000177CF"/>
    <w:rsid w:val="0002102F"/>
    <w:rsid w:val="00021390"/>
    <w:rsid w:val="000221A3"/>
    <w:rsid w:val="00024162"/>
    <w:rsid w:val="000241B5"/>
    <w:rsid w:val="0002480B"/>
    <w:rsid w:val="0002481F"/>
    <w:rsid w:val="00025B84"/>
    <w:rsid w:val="0002658C"/>
    <w:rsid w:val="000267D6"/>
    <w:rsid w:val="000269DB"/>
    <w:rsid w:val="00027210"/>
    <w:rsid w:val="00030929"/>
    <w:rsid w:val="000311C8"/>
    <w:rsid w:val="000313A9"/>
    <w:rsid w:val="00032319"/>
    <w:rsid w:val="00034472"/>
    <w:rsid w:val="000349BB"/>
    <w:rsid w:val="00040EBE"/>
    <w:rsid w:val="00041DF8"/>
    <w:rsid w:val="00047A29"/>
    <w:rsid w:val="000518CE"/>
    <w:rsid w:val="00051C00"/>
    <w:rsid w:val="0005324E"/>
    <w:rsid w:val="00054815"/>
    <w:rsid w:val="00054B59"/>
    <w:rsid w:val="00056125"/>
    <w:rsid w:val="0005640D"/>
    <w:rsid w:val="000569A7"/>
    <w:rsid w:val="00061BB1"/>
    <w:rsid w:val="00062900"/>
    <w:rsid w:val="00066030"/>
    <w:rsid w:val="0006629F"/>
    <w:rsid w:val="00067DC5"/>
    <w:rsid w:val="00071686"/>
    <w:rsid w:val="00072511"/>
    <w:rsid w:val="0007291D"/>
    <w:rsid w:val="00072E38"/>
    <w:rsid w:val="00080A96"/>
    <w:rsid w:val="0008128E"/>
    <w:rsid w:val="0008172C"/>
    <w:rsid w:val="00083411"/>
    <w:rsid w:val="000834C9"/>
    <w:rsid w:val="00084307"/>
    <w:rsid w:val="000848C8"/>
    <w:rsid w:val="000852E8"/>
    <w:rsid w:val="000865BC"/>
    <w:rsid w:val="000876B0"/>
    <w:rsid w:val="00090415"/>
    <w:rsid w:val="00090831"/>
    <w:rsid w:val="00090AEA"/>
    <w:rsid w:val="00091B86"/>
    <w:rsid w:val="0009275B"/>
    <w:rsid w:val="0009277C"/>
    <w:rsid w:val="00093A26"/>
    <w:rsid w:val="00097479"/>
    <w:rsid w:val="000A0369"/>
    <w:rsid w:val="000A32BD"/>
    <w:rsid w:val="000A369B"/>
    <w:rsid w:val="000A3E66"/>
    <w:rsid w:val="000A497C"/>
    <w:rsid w:val="000A64DE"/>
    <w:rsid w:val="000A71AF"/>
    <w:rsid w:val="000A7499"/>
    <w:rsid w:val="000B0B41"/>
    <w:rsid w:val="000B1566"/>
    <w:rsid w:val="000B641A"/>
    <w:rsid w:val="000B658C"/>
    <w:rsid w:val="000B7396"/>
    <w:rsid w:val="000C1287"/>
    <w:rsid w:val="000C1DCF"/>
    <w:rsid w:val="000C5480"/>
    <w:rsid w:val="000C7C65"/>
    <w:rsid w:val="000D0786"/>
    <w:rsid w:val="000D0973"/>
    <w:rsid w:val="000D0E2D"/>
    <w:rsid w:val="000D19B4"/>
    <w:rsid w:val="000D1BE4"/>
    <w:rsid w:val="000D1C93"/>
    <w:rsid w:val="000D26BA"/>
    <w:rsid w:val="000D3F26"/>
    <w:rsid w:val="000D4A62"/>
    <w:rsid w:val="000D4D4F"/>
    <w:rsid w:val="000E06C1"/>
    <w:rsid w:val="000E073E"/>
    <w:rsid w:val="000E1B14"/>
    <w:rsid w:val="000E1DA9"/>
    <w:rsid w:val="000E2AAE"/>
    <w:rsid w:val="000E2BEE"/>
    <w:rsid w:val="000E3A97"/>
    <w:rsid w:val="000E40BA"/>
    <w:rsid w:val="000E4913"/>
    <w:rsid w:val="000E5CDB"/>
    <w:rsid w:val="000E6B7B"/>
    <w:rsid w:val="000E6CA0"/>
    <w:rsid w:val="000E74B7"/>
    <w:rsid w:val="000F2520"/>
    <w:rsid w:val="000F2E27"/>
    <w:rsid w:val="000F2FC8"/>
    <w:rsid w:val="000F37D2"/>
    <w:rsid w:val="000F4AFE"/>
    <w:rsid w:val="000F571E"/>
    <w:rsid w:val="000F6EE0"/>
    <w:rsid w:val="001001DF"/>
    <w:rsid w:val="001007DE"/>
    <w:rsid w:val="001009A0"/>
    <w:rsid w:val="00101B40"/>
    <w:rsid w:val="00102E93"/>
    <w:rsid w:val="001046FB"/>
    <w:rsid w:val="00105690"/>
    <w:rsid w:val="00107B5E"/>
    <w:rsid w:val="00107C1E"/>
    <w:rsid w:val="0011053C"/>
    <w:rsid w:val="00110C29"/>
    <w:rsid w:val="001112CA"/>
    <w:rsid w:val="00112564"/>
    <w:rsid w:val="00112F91"/>
    <w:rsid w:val="00113CFE"/>
    <w:rsid w:val="00113F30"/>
    <w:rsid w:val="0011400B"/>
    <w:rsid w:val="00114293"/>
    <w:rsid w:val="00114E26"/>
    <w:rsid w:val="00115129"/>
    <w:rsid w:val="00115385"/>
    <w:rsid w:val="0011565E"/>
    <w:rsid w:val="00116504"/>
    <w:rsid w:val="00116571"/>
    <w:rsid w:val="00116E97"/>
    <w:rsid w:val="001205B4"/>
    <w:rsid w:val="001209C8"/>
    <w:rsid w:val="00121B79"/>
    <w:rsid w:val="00122DAC"/>
    <w:rsid w:val="001331B8"/>
    <w:rsid w:val="00133DE1"/>
    <w:rsid w:val="00134243"/>
    <w:rsid w:val="00134E15"/>
    <w:rsid w:val="001350A0"/>
    <w:rsid w:val="001416EB"/>
    <w:rsid w:val="00143E51"/>
    <w:rsid w:val="00144EC8"/>
    <w:rsid w:val="0015035E"/>
    <w:rsid w:val="001506DF"/>
    <w:rsid w:val="00151936"/>
    <w:rsid w:val="00152BC2"/>
    <w:rsid w:val="00154F8F"/>
    <w:rsid w:val="00155402"/>
    <w:rsid w:val="00155CE5"/>
    <w:rsid w:val="0015604B"/>
    <w:rsid w:val="00156F0D"/>
    <w:rsid w:val="0015770C"/>
    <w:rsid w:val="0016146B"/>
    <w:rsid w:val="001618AF"/>
    <w:rsid w:val="00161ED2"/>
    <w:rsid w:val="00161F48"/>
    <w:rsid w:val="00162A39"/>
    <w:rsid w:val="00163AAB"/>
    <w:rsid w:val="00163F99"/>
    <w:rsid w:val="00165482"/>
    <w:rsid w:val="001665F1"/>
    <w:rsid w:val="001672C6"/>
    <w:rsid w:val="00172A27"/>
    <w:rsid w:val="00173FAF"/>
    <w:rsid w:val="0017441E"/>
    <w:rsid w:val="0017543F"/>
    <w:rsid w:val="0017775C"/>
    <w:rsid w:val="00177F7F"/>
    <w:rsid w:val="00180B3C"/>
    <w:rsid w:val="001810E8"/>
    <w:rsid w:val="00181D1D"/>
    <w:rsid w:val="00182407"/>
    <w:rsid w:val="00184477"/>
    <w:rsid w:val="00184A45"/>
    <w:rsid w:val="00185280"/>
    <w:rsid w:val="00185AED"/>
    <w:rsid w:val="00185D21"/>
    <w:rsid w:val="00186D6F"/>
    <w:rsid w:val="00187800"/>
    <w:rsid w:val="00187BC8"/>
    <w:rsid w:val="001919C4"/>
    <w:rsid w:val="00191D78"/>
    <w:rsid w:val="00192EC1"/>
    <w:rsid w:val="001934D3"/>
    <w:rsid w:val="00193A88"/>
    <w:rsid w:val="00196777"/>
    <w:rsid w:val="001A1C76"/>
    <w:rsid w:val="001A50EC"/>
    <w:rsid w:val="001A6072"/>
    <w:rsid w:val="001A6766"/>
    <w:rsid w:val="001A67B4"/>
    <w:rsid w:val="001A6B51"/>
    <w:rsid w:val="001A7658"/>
    <w:rsid w:val="001B0588"/>
    <w:rsid w:val="001B1EF6"/>
    <w:rsid w:val="001B2798"/>
    <w:rsid w:val="001B2901"/>
    <w:rsid w:val="001B33C2"/>
    <w:rsid w:val="001B477C"/>
    <w:rsid w:val="001B4C2A"/>
    <w:rsid w:val="001B59B1"/>
    <w:rsid w:val="001B6DEF"/>
    <w:rsid w:val="001B7A18"/>
    <w:rsid w:val="001C1A58"/>
    <w:rsid w:val="001C2334"/>
    <w:rsid w:val="001C2B57"/>
    <w:rsid w:val="001C34F6"/>
    <w:rsid w:val="001C3D68"/>
    <w:rsid w:val="001C7958"/>
    <w:rsid w:val="001C7B26"/>
    <w:rsid w:val="001C7C29"/>
    <w:rsid w:val="001C7CBD"/>
    <w:rsid w:val="001C7E72"/>
    <w:rsid w:val="001D00B8"/>
    <w:rsid w:val="001D1E3B"/>
    <w:rsid w:val="001D58B9"/>
    <w:rsid w:val="001D67A6"/>
    <w:rsid w:val="001D683D"/>
    <w:rsid w:val="001D6ADE"/>
    <w:rsid w:val="001D7785"/>
    <w:rsid w:val="001E1D3E"/>
    <w:rsid w:val="001E2086"/>
    <w:rsid w:val="001E31A5"/>
    <w:rsid w:val="001E4307"/>
    <w:rsid w:val="001E65FD"/>
    <w:rsid w:val="001F01D3"/>
    <w:rsid w:val="001F12F2"/>
    <w:rsid w:val="001F1478"/>
    <w:rsid w:val="001F1666"/>
    <w:rsid w:val="001F19E5"/>
    <w:rsid w:val="001F2629"/>
    <w:rsid w:val="001F2633"/>
    <w:rsid w:val="001F2B3A"/>
    <w:rsid w:val="001F4E48"/>
    <w:rsid w:val="001F6807"/>
    <w:rsid w:val="001F749E"/>
    <w:rsid w:val="0020010E"/>
    <w:rsid w:val="00201268"/>
    <w:rsid w:val="002033A9"/>
    <w:rsid w:val="0020379F"/>
    <w:rsid w:val="002041D4"/>
    <w:rsid w:val="00204FC7"/>
    <w:rsid w:val="0020500A"/>
    <w:rsid w:val="00205C06"/>
    <w:rsid w:val="00214B51"/>
    <w:rsid w:val="00215312"/>
    <w:rsid w:val="002153D6"/>
    <w:rsid w:val="0021685F"/>
    <w:rsid w:val="002168A4"/>
    <w:rsid w:val="002179AC"/>
    <w:rsid w:val="00223FC1"/>
    <w:rsid w:val="002256A7"/>
    <w:rsid w:val="00227219"/>
    <w:rsid w:val="002274F7"/>
    <w:rsid w:val="00227B72"/>
    <w:rsid w:val="00227F56"/>
    <w:rsid w:val="00230F26"/>
    <w:rsid w:val="00233200"/>
    <w:rsid w:val="00237AAA"/>
    <w:rsid w:val="00240061"/>
    <w:rsid w:val="002402B1"/>
    <w:rsid w:val="00240CCA"/>
    <w:rsid w:val="002431F8"/>
    <w:rsid w:val="002435C0"/>
    <w:rsid w:val="00243738"/>
    <w:rsid w:val="00243870"/>
    <w:rsid w:val="00244125"/>
    <w:rsid w:val="00244DB2"/>
    <w:rsid w:val="00244EC2"/>
    <w:rsid w:val="00245094"/>
    <w:rsid w:val="002456AE"/>
    <w:rsid w:val="00245B77"/>
    <w:rsid w:val="002466D3"/>
    <w:rsid w:val="002509FF"/>
    <w:rsid w:val="0025223A"/>
    <w:rsid w:val="00252476"/>
    <w:rsid w:val="00254127"/>
    <w:rsid w:val="0026013F"/>
    <w:rsid w:val="002604B0"/>
    <w:rsid w:val="002608B5"/>
    <w:rsid w:val="00261F42"/>
    <w:rsid w:val="00262574"/>
    <w:rsid w:val="00263929"/>
    <w:rsid w:val="00264385"/>
    <w:rsid w:val="00266B37"/>
    <w:rsid w:val="00267F39"/>
    <w:rsid w:val="00270E8A"/>
    <w:rsid w:val="00272AA3"/>
    <w:rsid w:val="00274BF4"/>
    <w:rsid w:val="00275BD4"/>
    <w:rsid w:val="00275D7F"/>
    <w:rsid w:val="00277224"/>
    <w:rsid w:val="002809EE"/>
    <w:rsid w:val="00280C31"/>
    <w:rsid w:val="00280F6A"/>
    <w:rsid w:val="00283378"/>
    <w:rsid w:val="00283802"/>
    <w:rsid w:val="002840E5"/>
    <w:rsid w:val="00286F95"/>
    <w:rsid w:val="00286FEA"/>
    <w:rsid w:val="00290214"/>
    <w:rsid w:val="00290417"/>
    <w:rsid w:val="0029190B"/>
    <w:rsid w:val="00293988"/>
    <w:rsid w:val="00296BFA"/>
    <w:rsid w:val="00296C9B"/>
    <w:rsid w:val="002971E8"/>
    <w:rsid w:val="002A0DED"/>
    <w:rsid w:val="002A13BE"/>
    <w:rsid w:val="002A1E70"/>
    <w:rsid w:val="002A1FE5"/>
    <w:rsid w:val="002A3E59"/>
    <w:rsid w:val="002A599A"/>
    <w:rsid w:val="002A6759"/>
    <w:rsid w:val="002A6C7B"/>
    <w:rsid w:val="002A6DBB"/>
    <w:rsid w:val="002A7016"/>
    <w:rsid w:val="002A7281"/>
    <w:rsid w:val="002B1BC3"/>
    <w:rsid w:val="002B1F40"/>
    <w:rsid w:val="002B2876"/>
    <w:rsid w:val="002B42D6"/>
    <w:rsid w:val="002B4786"/>
    <w:rsid w:val="002B5972"/>
    <w:rsid w:val="002B660B"/>
    <w:rsid w:val="002B6D02"/>
    <w:rsid w:val="002B7513"/>
    <w:rsid w:val="002B78B7"/>
    <w:rsid w:val="002B7BE5"/>
    <w:rsid w:val="002C45BE"/>
    <w:rsid w:val="002C4D64"/>
    <w:rsid w:val="002C6AB8"/>
    <w:rsid w:val="002C7174"/>
    <w:rsid w:val="002D064D"/>
    <w:rsid w:val="002D18B9"/>
    <w:rsid w:val="002D337B"/>
    <w:rsid w:val="002D41B6"/>
    <w:rsid w:val="002D5163"/>
    <w:rsid w:val="002D57FA"/>
    <w:rsid w:val="002D6246"/>
    <w:rsid w:val="002D7C09"/>
    <w:rsid w:val="002D7D86"/>
    <w:rsid w:val="002E02EC"/>
    <w:rsid w:val="002E1262"/>
    <w:rsid w:val="002E3C09"/>
    <w:rsid w:val="002E5992"/>
    <w:rsid w:val="002E67FC"/>
    <w:rsid w:val="002F0A42"/>
    <w:rsid w:val="002F0F11"/>
    <w:rsid w:val="002F176C"/>
    <w:rsid w:val="002F26FE"/>
    <w:rsid w:val="002F32EF"/>
    <w:rsid w:val="002F3E46"/>
    <w:rsid w:val="002F4446"/>
    <w:rsid w:val="002F4473"/>
    <w:rsid w:val="002F56BD"/>
    <w:rsid w:val="002F59E4"/>
    <w:rsid w:val="002F6150"/>
    <w:rsid w:val="002F7604"/>
    <w:rsid w:val="002F7BD7"/>
    <w:rsid w:val="0030035F"/>
    <w:rsid w:val="0030216F"/>
    <w:rsid w:val="00303E58"/>
    <w:rsid w:val="0030421C"/>
    <w:rsid w:val="00304F9D"/>
    <w:rsid w:val="00306B37"/>
    <w:rsid w:val="003076D9"/>
    <w:rsid w:val="00316093"/>
    <w:rsid w:val="0031687F"/>
    <w:rsid w:val="0032207D"/>
    <w:rsid w:val="00324CB9"/>
    <w:rsid w:val="00324FDF"/>
    <w:rsid w:val="003304B8"/>
    <w:rsid w:val="00330507"/>
    <w:rsid w:val="00330621"/>
    <w:rsid w:val="003309FB"/>
    <w:rsid w:val="00330EA2"/>
    <w:rsid w:val="003316CF"/>
    <w:rsid w:val="00331871"/>
    <w:rsid w:val="00334D9B"/>
    <w:rsid w:val="00334E8B"/>
    <w:rsid w:val="0033648C"/>
    <w:rsid w:val="003375B9"/>
    <w:rsid w:val="00337D04"/>
    <w:rsid w:val="00337FCC"/>
    <w:rsid w:val="00340106"/>
    <w:rsid w:val="00340A63"/>
    <w:rsid w:val="00341BA8"/>
    <w:rsid w:val="00341E1A"/>
    <w:rsid w:val="00343CCF"/>
    <w:rsid w:val="003447F3"/>
    <w:rsid w:val="00344CB7"/>
    <w:rsid w:val="003464C5"/>
    <w:rsid w:val="0034681C"/>
    <w:rsid w:val="003469C2"/>
    <w:rsid w:val="00347894"/>
    <w:rsid w:val="00350041"/>
    <w:rsid w:val="00351D3B"/>
    <w:rsid w:val="003529A9"/>
    <w:rsid w:val="00354AAD"/>
    <w:rsid w:val="00355474"/>
    <w:rsid w:val="00355EEC"/>
    <w:rsid w:val="003570E9"/>
    <w:rsid w:val="003605B6"/>
    <w:rsid w:val="0036080D"/>
    <w:rsid w:val="00360999"/>
    <w:rsid w:val="003620A2"/>
    <w:rsid w:val="0036245E"/>
    <w:rsid w:val="00362BED"/>
    <w:rsid w:val="0036345D"/>
    <w:rsid w:val="003638F1"/>
    <w:rsid w:val="00363B2C"/>
    <w:rsid w:val="00363D9B"/>
    <w:rsid w:val="00365426"/>
    <w:rsid w:val="00366338"/>
    <w:rsid w:val="00367EF8"/>
    <w:rsid w:val="00370107"/>
    <w:rsid w:val="00373A61"/>
    <w:rsid w:val="00373D91"/>
    <w:rsid w:val="00375024"/>
    <w:rsid w:val="003751FD"/>
    <w:rsid w:val="00376C1B"/>
    <w:rsid w:val="00377764"/>
    <w:rsid w:val="00377DD3"/>
    <w:rsid w:val="00380984"/>
    <w:rsid w:val="00381419"/>
    <w:rsid w:val="00381563"/>
    <w:rsid w:val="00381F37"/>
    <w:rsid w:val="003830C8"/>
    <w:rsid w:val="0038379F"/>
    <w:rsid w:val="003838D9"/>
    <w:rsid w:val="003857C4"/>
    <w:rsid w:val="003863A7"/>
    <w:rsid w:val="0038655B"/>
    <w:rsid w:val="00387793"/>
    <w:rsid w:val="00390022"/>
    <w:rsid w:val="00392B40"/>
    <w:rsid w:val="00393EB1"/>
    <w:rsid w:val="00395991"/>
    <w:rsid w:val="00396AD6"/>
    <w:rsid w:val="003A00DF"/>
    <w:rsid w:val="003A02B7"/>
    <w:rsid w:val="003A3410"/>
    <w:rsid w:val="003A3CD0"/>
    <w:rsid w:val="003A5C84"/>
    <w:rsid w:val="003A7CF9"/>
    <w:rsid w:val="003B3281"/>
    <w:rsid w:val="003B3D8F"/>
    <w:rsid w:val="003B46CC"/>
    <w:rsid w:val="003B49EC"/>
    <w:rsid w:val="003B6159"/>
    <w:rsid w:val="003B6963"/>
    <w:rsid w:val="003B7371"/>
    <w:rsid w:val="003C1A09"/>
    <w:rsid w:val="003C1DE2"/>
    <w:rsid w:val="003C25C0"/>
    <w:rsid w:val="003C2645"/>
    <w:rsid w:val="003C3073"/>
    <w:rsid w:val="003C3207"/>
    <w:rsid w:val="003C440A"/>
    <w:rsid w:val="003C5A20"/>
    <w:rsid w:val="003C6FEC"/>
    <w:rsid w:val="003C7717"/>
    <w:rsid w:val="003D00E6"/>
    <w:rsid w:val="003D1A23"/>
    <w:rsid w:val="003D296E"/>
    <w:rsid w:val="003D3757"/>
    <w:rsid w:val="003D48AC"/>
    <w:rsid w:val="003D592F"/>
    <w:rsid w:val="003D59D3"/>
    <w:rsid w:val="003D5F95"/>
    <w:rsid w:val="003D5FF9"/>
    <w:rsid w:val="003D61E6"/>
    <w:rsid w:val="003D72B5"/>
    <w:rsid w:val="003D7E01"/>
    <w:rsid w:val="003E1F59"/>
    <w:rsid w:val="003E252D"/>
    <w:rsid w:val="003E2EE8"/>
    <w:rsid w:val="003E31E9"/>
    <w:rsid w:val="003E4296"/>
    <w:rsid w:val="003E5948"/>
    <w:rsid w:val="003E599C"/>
    <w:rsid w:val="003E5FA8"/>
    <w:rsid w:val="003E70C0"/>
    <w:rsid w:val="003E7593"/>
    <w:rsid w:val="003F130E"/>
    <w:rsid w:val="003F1727"/>
    <w:rsid w:val="003F23E1"/>
    <w:rsid w:val="003F2C5B"/>
    <w:rsid w:val="003F3746"/>
    <w:rsid w:val="003F3EF3"/>
    <w:rsid w:val="003F5701"/>
    <w:rsid w:val="003F6BB7"/>
    <w:rsid w:val="003F74E0"/>
    <w:rsid w:val="003F75AD"/>
    <w:rsid w:val="00400202"/>
    <w:rsid w:val="00400E78"/>
    <w:rsid w:val="00401A2A"/>
    <w:rsid w:val="00402EE9"/>
    <w:rsid w:val="00405154"/>
    <w:rsid w:val="004054DC"/>
    <w:rsid w:val="00407B4D"/>
    <w:rsid w:val="00410822"/>
    <w:rsid w:val="00412368"/>
    <w:rsid w:val="00413898"/>
    <w:rsid w:val="00413B73"/>
    <w:rsid w:val="00414ABD"/>
    <w:rsid w:val="004154DC"/>
    <w:rsid w:val="00417226"/>
    <w:rsid w:val="004209A4"/>
    <w:rsid w:val="004214C7"/>
    <w:rsid w:val="00421CAB"/>
    <w:rsid w:val="0042271B"/>
    <w:rsid w:val="004236A4"/>
    <w:rsid w:val="00424A38"/>
    <w:rsid w:val="00426CA8"/>
    <w:rsid w:val="00426E7A"/>
    <w:rsid w:val="004276A3"/>
    <w:rsid w:val="004307FA"/>
    <w:rsid w:val="0043115F"/>
    <w:rsid w:val="0043309B"/>
    <w:rsid w:val="0044006D"/>
    <w:rsid w:val="0044281D"/>
    <w:rsid w:val="00442AB9"/>
    <w:rsid w:val="00443498"/>
    <w:rsid w:val="00444AAC"/>
    <w:rsid w:val="0044718E"/>
    <w:rsid w:val="00447445"/>
    <w:rsid w:val="004512B7"/>
    <w:rsid w:val="00452B5E"/>
    <w:rsid w:val="0045388E"/>
    <w:rsid w:val="004539CE"/>
    <w:rsid w:val="00455E9D"/>
    <w:rsid w:val="00455FCA"/>
    <w:rsid w:val="00456529"/>
    <w:rsid w:val="00456707"/>
    <w:rsid w:val="00457790"/>
    <w:rsid w:val="0045796D"/>
    <w:rsid w:val="00457C7A"/>
    <w:rsid w:val="00461A83"/>
    <w:rsid w:val="00461DA6"/>
    <w:rsid w:val="00465735"/>
    <w:rsid w:val="00466BC3"/>
    <w:rsid w:val="0047143D"/>
    <w:rsid w:val="004714B2"/>
    <w:rsid w:val="00471D2A"/>
    <w:rsid w:val="00472C98"/>
    <w:rsid w:val="0047589D"/>
    <w:rsid w:val="00476059"/>
    <w:rsid w:val="00476BA3"/>
    <w:rsid w:val="004773AA"/>
    <w:rsid w:val="004803B5"/>
    <w:rsid w:val="00481C89"/>
    <w:rsid w:val="00481E31"/>
    <w:rsid w:val="00482D70"/>
    <w:rsid w:val="004834CF"/>
    <w:rsid w:val="0048597C"/>
    <w:rsid w:val="00485EEA"/>
    <w:rsid w:val="00486243"/>
    <w:rsid w:val="00487FC0"/>
    <w:rsid w:val="00493A7B"/>
    <w:rsid w:val="00495102"/>
    <w:rsid w:val="004965FA"/>
    <w:rsid w:val="004A036D"/>
    <w:rsid w:val="004A0BDF"/>
    <w:rsid w:val="004A1E18"/>
    <w:rsid w:val="004A20B2"/>
    <w:rsid w:val="004A34A8"/>
    <w:rsid w:val="004A5069"/>
    <w:rsid w:val="004A75D9"/>
    <w:rsid w:val="004A79FE"/>
    <w:rsid w:val="004B4AD8"/>
    <w:rsid w:val="004B6244"/>
    <w:rsid w:val="004B6515"/>
    <w:rsid w:val="004C13F8"/>
    <w:rsid w:val="004C31F5"/>
    <w:rsid w:val="004C356A"/>
    <w:rsid w:val="004D16E7"/>
    <w:rsid w:val="004D21C0"/>
    <w:rsid w:val="004D3891"/>
    <w:rsid w:val="004D5610"/>
    <w:rsid w:val="004D5D62"/>
    <w:rsid w:val="004D7400"/>
    <w:rsid w:val="004D77C1"/>
    <w:rsid w:val="004E00D8"/>
    <w:rsid w:val="004E0634"/>
    <w:rsid w:val="004E0866"/>
    <w:rsid w:val="004E4010"/>
    <w:rsid w:val="004E59B0"/>
    <w:rsid w:val="004E5C19"/>
    <w:rsid w:val="004E625B"/>
    <w:rsid w:val="004E643F"/>
    <w:rsid w:val="004E6BA6"/>
    <w:rsid w:val="004F0030"/>
    <w:rsid w:val="004F04F4"/>
    <w:rsid w:val="004F0CA8"/>
    <w:rsid w:val="004F2895"/>
    <w:rsid w:val="004F29C4"/>
    <w:rsid w:val="004F37A8"/>
    <w:rsid w:val="004F4197"/>
    <w:rsid w:val="004F4E69"/>
    <w:rsid w:val="004F4EF5"/>
    <w:rsid w:val="004F5E99"/>
    <w:rsid w:val="004F64AD"/>
    <w:rsid w:val="004F7830"/>
    <w:rsid w:val="004F7983"/>
    <w:rsid w:val="00501979"/>
    <w:rsid w:val="00502D27"/>
    <w:rsid w:val="00502D9E"/>
    <w:rsid w:val="00503020"/>
    <w:rsid w:val="0050313F"/>
    <w:rsid w:val="0050496D"/>
    <w:rsid w:val="0050552A"/>
    <w:rsid w:val="005063CD"/>
    <w:rsid w:val="00506D10"/>
    <w:rsid w:val="00510A43"/>
    <w:rsid w:val="00511010"/>
    <w:rsid w:val="0051241B"/>
    <w:rsid w:val="00512729"/>
    <w:rsid w:val="00515622"/>
    <w:rsid w:val="005160E2"/>
    <w:rsid w:val="00522863"/>
    <w:rsid w:val="00522F48"/>
    <w:rsid w:val="00523537"/>
    <w:rsid w:val="00524139"/>
    <w:rsid w:val="00524233"/>
    <w:rsid w:val="00525681"/>
    <w:rsid w:val="00526C48"/>
    <w:rsid w:val="00530568"/>
    <w:rsid w:val="00531020"/>
    <w:rsid w:val="00533884"/>
    <w:rsid w:val="00534881"/>
    <w:rsid w:val="00535BF1"/>
    <w:rsid w:val="00536330"/>
    <w:rsid w:val="005366EA"/>
    <w:rsid w:val="005378C3"/>
    <w:rsid w:val="005404D4"/>
    <w:rsid w:val="00540F88"/>
    <w:rsid w:val="005423D2"/>
    <w:rsid w:val="00543000"/>
    <w:rsid w:val="00544673"/>
    <w:rsid w:val="00545B4A"/>
    <w:rsid w:val="00545F4E"/>
    <w:rsid w:val="00547402"/>
    <w:rsid w:val="005478D5"/>
    <w:rsid w:val="00550B83"/>
    <w:rsid w:val="00553133"/>
    <w:rsid w:val="005532A9"/>
    <w:rsid w:val="00553592"/>
    <w:rsid w:val="005540E1"/>
    <w:rsid w:val="00555A19"/>
    <w:rsid w:val="00555A6D"/>
    <w:rsid w:val="00556BAC"/>
    <w:rsid w:val="00557B6D"/>
    <w:rsid w:val="005660D5"/>
    <w:rsid w:val="00570385"/>
    <w:rsid w:val="005710D7"/>
    <w:rsid w:val="005724D7"/>
    <w:rsid w:val="0057327A"/>
    <w:rsid w:val="00576828"/>
    <w:rsid w:val="00576D2F"/>
    <w:rsid w:val="00577BFB"/>
    <w:rsid w:val="0058003F"/>
    <w:rsid w:val="005804D3"/>
    <w:rsid w:val="00581868"/>
    <w:rsid w:val="00581EDE"/>
    <w:rsid w:val="00585839"/>
    <w:rsid w:val="00585FA8"/>
    <w:rsid w:val="00586071"/>
    <w:rsid w:val="005870EF"/>
    <w:rsid w:val="00591927"/>
    <w:rsid w:val="00591DAB"/>
    <w:rsid w:val="00592AE8"/>
    <w:rsid w:val="00592F64"/>
    <w:rsid w:val="005936AF"/>
    <w:rsid w:val="0059444B"/>
    <w:rsid w:val="00594D2C"/>
    <w:rsid w:val="00595C47"/>
    <w:rsid w:val="005976F0"/>
    <w:rsid w:val="005978AD"/>
    <w:rsid w:val="005A1113"/>
    <w:rsid w:val="005A1D91"/>
    <w:rsid w:val="005A2C6B"/>
    <w:rsid w:val="005A2FD7"/>
    <w:rsid w:val="005A316A"/>
    <w:rsid w:val="005A4525"/>
    <w:rsid w:val="005A453E"/>
    <w:rsid w:val="005B0944"/>
    <w:rsid w:val="005B1637"/>
    <w:rsid w:val="005B1AE8"/>
    <w:rsid w:val="005B2D0A"/>
    <w:rsid w:val="005C05BB"/>
    <w:rsid w:val="005C1035"/>
    <w:rsid w:val="005C1808"/>
    <w:rsid w:val="005C1BD9"/>
    <w:rsid w:val="005C1D7A"/>
    <w:rsid w:val="005C3504"/>
    <w:rsid w:val="005C54C7"/>
    <w:rsid w:val="005C73FD"/>
    <w:rsid w:val="005D094A"/>
    <w:rsid w:val="005D1B9B"/>
    <w:rsid w:val="005D226E"/>
    <w:rsid w:val="005D31C0"/>
    <w:rsid w:val="005D465E"/>
    <w:rsid w:val="005D5495"/>
    <w:rsid w:val="005D6640"/>
    <w:rsid w:val="005D6E1E"/>
    <w:rsid w:val="005D7AED"/>
    <w:rsid w:val="005E0339"/>
    <w:rsid w:val="005E0BDB"/>
    <w:rsid w:val="005E18CF"/>
    <w:rsid w:val="005E2BA9"/>
    <w:rsid w:val="005E37AC"/>
    <w:rsid w:val="005E46E6"/>
    <w:rsid w:val="005E56A0"/>
    <w:rsid w:val="005E58A9"/>
    <w:rsid w:val="005E60E1"/>
    <w:rsid w:val="005E6603"/>
    <w:rsid w:val="005E6F3E"/>
    <w:rsid w:val="005E7B07"/>
    <w:rsid w:val="005F1CE7"/>
    <w:rsid w:val="005F57ED"/>
    <w:rsid w:val="005F7040"/>
    <w:rsid w:val="005F7713"/>
    <w:rsid w:val="00601034"/>
    <w:rsid w:val="006012BE"/>
    <w:rsid w:val="006019CA"/>
    <w:rsid w:val="00603CFA"/>
    <w:rsid w:val="006061BF"/>
    <w:rsid w:val="00607908"/>
    <w:rsid w:val="00607C2C"/>
    <w:rsid w:val="00610FE4"/>
    <w:rsid w:val="00611972"/>
    <w:rsid w:val="00612200"/>
    <w:rsid w:val="00612B5C"/>
    <w:rsid w:val="00616C10"/>
    <w:rsid w:val="00616C13"/>
    <w:rsid w:val="00617402"/>
    <w:rsid w:val="00617A75"/>
    <w:rsid w:val="00620A71"/>
    <w:rsid w:val="00621291"/>
    <w:rsid w:val="006219B8"/>
    <w:rsid w:val="006226B1"/>
    <w:rsid w:val="00623F15"/>
    <w:rsid w:val="006240D2"/>
    <w:rsid w:val="006242C2"/>
    <w:rsid w:val="00626BEE"/>
    <w:rsid w:val="006274F6"/>
    <w:rsid w:val="006305FE"/>
    <w:rsid w:val="0063300D"/>
    <w:rsid w:val="006377D4"/>
    <w:rsid w:val="0064489E"/>
    <w:rsid w:val="00646491"/>
    <w:rsid w:val="00647080"/>
    <w:rsid w:val="0065100C"/>
    <w:rsid w:val="0065145B"/>
    <w:rsid w:val="006515FC"/>
    <w:rsid w:val="00651F6D"/>
    <w:rsid w:val="00652F3E"/>
    <w:rsid w:val="00654296"/>
    <w:rsid w:val="00654855"/>
    <w:rsid w:val="00654B55"/>
    <w:rsid w:val="00654F76"/>
    <w:rsid w:val="00655799"/>
    <w:rsid w:val="0065648E"/>
    <w:rsid w:val="006566DA"/>
    <w:rsid w:val="00657E36"/>
    <w:rsid w:val="00662301"/>
    <w:rsid w:val="006627A6"/>
    <w:rsid w:val="006628EB"/>
    <w:rsid w:val="00663DCA"/>
    <w:rsid w:val="0066561A"/>
    <w:rsid w:val="00667D8A"/>
    <w:rsid w:val="006707AD"/>
    <w:rsid w:val="00670CA5"/>
    <w:rsid w:val="00672AF9"/>
    <w:rsid w:val="00673990"/>
    <w:rsid w:val="006747A5"/>
    <w:rsid w:val="00675D0B"/>
    <w:rsid w:val="00676208"/>
    <w:rsid w:val="006770FF"/>
    <w:rsid w:val="006806F3"/>
    <w:rsid w:val="006819D2"/>
    <w:rsid w:val="00681B03"/>
    <w:rsid w:val="00681E69"/>
    <w:rsid w:val="006828B4"/>
    <w:rsid w:val="006839E8"/>
    <w:rsid w:val="00685D8C"/>
    <w:rsid w:val="00685E9B"/>
    <w:rsid w:val="006861A1"/>
    <w:rsid w:val="00686BE2"/>
    <w:rsid w:val="00687960"/>
    <w:rsid w:val="006961C3"/>
    <w:rsid w:val="00696AA5"/>
    <w:rsid w:val="00697F1F"/>
    <w:rsid w:val="006A0583"/>
    <w:rsid w:val="006A1BE0"/>
    <w:rsid w:val="006A422A"/>
    <w:rsid w:val="006A4667"/>
    <w:rsid w:val="006A4743"/>
    <w:rsid w:val="006A4916"/>
    <w:rsid w:val="006A4D6B"/>
    <w:rsid w:val="006A62B5"/>
    <w:rsid w:val="006A75C1"/>
    <w:rsid w:val="006A7EED"/>
    <w:rsid w:val="006B0C1A"/>
    <w:rsid w:val="006B0CB0"/>
    <w:rsid w:val="006B0FBF"/>
    <w:rsid w:val="006B10C5"/>
    <w:rsid w:val="006B1829"/>
    <w:rsid w:val="006B2B62"/>
    <w:rsid w:val="006B36B5"/>
    <w:rsid w:val="006B4970"/>
    <w:rsid w:val="006B5FE2"/>
    <w:rsid w:val="006C02A5"/>
    <w:rsid w:val="006C03D8"/>
    <w:rsid w:val="006C06C4"/>
    <w:rsid w:val="006C1A8A"/>
    <w:rsid w:val="006C3BF5"/>
    <w:rsid w:val="006C5170"/>
    <w:rsid w:val="006C517D"/>
    <w:rsid w:val="006C53DF"/>
    <w:rsid w:val="006C7B9C"/>
    <w:rsid w:val="006D0440"/>
    <w:rsid w:val="006D0AD9"/>
    <w:rsid w:val="006D24D2"/>
    <w:rsid w:val="006D306D"/>
    <w:rsid w:val="006D3BF6"/>
    <w:rsid w:val="006D5B53"/>
    <w:rsid w:val="006D5D1A"/>
    <w:rsid w:val="006D6843"/>
    <w:rsid w:val="006D70B6"/>
    <w:rsid w:val="006D78BA"/>
    <w:rsid w:val="006D7C40"/>
    <w:rsid w:val="006E0695"/>
    <w:rsid w:val="006E0796"/>
    <w:rsid w:val="006E1443"/>
    <w:rsid w:val="006E5583"/>
    <w:rsid w:val="006E7636"/>
    <w:rsid w:val="006E78F5"/>
    <w:rsid w:val="006E7B6E"/>
    <w:rsid w:val="006E7BB6"/>
    <w:rsid w:val="006F13B9"/>
    <w:rsid w:val="006F1D21"/>
    <w:rsid w:val="006F22CB"/>
    <w:rsid w:val="006F2B05"/>
    <w:rsid w:val="006F3680"/>
    <w:rsid w:val="006F39E0"/>
    <w:rsid w:val="006F4D9F"/>
    <w:rsid w:val="006F5520"/>
    <w:rsid w:val="006F5EC9"/>
    <w:rsid w:val="007007FB"/>
    <w:rsid w:val="0070083A"/>
    <w:rsid w:val="00700CDB"/>
    <w:rsid w:val="00701B1A"/>
    <w:rsid w:val="007069F0"/>
    <w:rsid w:val="0070735A"/>
    <w:rsid w:val="007103EF"/>
    <w:rsid w:val="00710A10"/>
    <w:rsid w:val="00710FED"/>
    <w:rsid w:val="007120D6"/>
    <w:rsid w:val="00712496"/>
    <w:rsid w:val="0071565F"/>
    <w:rsid w:val="007165DA"/>
    <w:rsid w:val="007207F9"/>
    <w:rsid w:val="007221B9"/>
    <w:rsid w:val="00722826"/>
    <w:rsid w:val="0072364D"/>
    <w:rsid w:val="00723BAB"/>
    <w:rsid w:val="007250D1"/>
    <w:rsid w:val="00725184"/>
    <w:rsid w:val="00725891"/>
    <w:rsid w:val="0072795C"/>
    <w:rsid w:val="007306AB"/>
    <w:rsid w:val="00732B11"/>
    <w:rsid w:val="00733187"/>
    <w:rsid w:val="007347D2"/>
    <w:rsid w:val="00735005"/>
    <w:rsid w:val="00737840"/>
    <w:rsid w:val="00740F53"/>
    <w:rsid w:val="00741025"/>
    <w:rsid w:val="00741577"/>
    <w:rsid w:val="00742A62"/>
    <w:rsid w:val="0074496D"/>
    <w:rsid w:val="0074701A"/>
    <w:rsid w:val="00747C98"/>
    <w:rsid w:val="00747ECB"/>
    <w:rsid w:val="0075049C"/>
    <w:rsid w:val="0075171D"/>
    <w:rsid w:val="00751C69"/>
    <w:rsid w:val="00753790"/>
    <w:rsid w:val="00753B5E"/>
    <w:rsid w:val="00762B0C"/>
    <w:rsid w:val="00763498"/>
    <w:rsid w:val="00763E23"/>
    <w:rsid w:val="00764636"/>
    <w:rsid w:val="007646AA"/>
    <w:rsid w:val="00766407"/>
    <w:rsid w:val="007668F3"/>
    <w:rsid w:val="00766ED5"/>
    <w:rsid w:val="007719C0"/>
    <w:rsid w:val="00771D12"/>
    <w:rsid w:val="00773E12"/>
    <w:rsid w:val="00775EBD"/>
    <w:rsid w:val="00775FED"/>
    <w:rsid w:val="00783136"/>
    <w:rsid w:val="007838A2"/>
    <w:rsid w:val="007864CE"/>
    <w:rsid w:val="00787267"/>
    <w:rsid w:val="00787528"/>
    <w:rsid w:val="00787E62"/>
    <w:rsid w:val="0079410D"/>
    <w:rsid w:val="00795264"/>
    <w:rsid w:val="00796F8D"/>
    <w:rsid w:val="007974EF"/>
    <w:rsid w:val="007A0950"/>
    <w:rsid w:val="007A1F15"/>
    <w:rsid w:val="007A2C1C"/>
    <w:rsid w:val="007A3FF5"/>
    <w:rsid w:val="007A58CD"/>
    <w:rsid w:val="007A5FAC"/>
    <w:rsid w:val="007A68E3"/>
    <w:rsid w:val="007A6981"/>
    <w:rsid w:val="007B0202"/>
    <w:rsid w:val="007B11E9"/>
    <w:rsid w:val="007B19A9"/>
    <w:rsid w:val="007B317D"/>
    <w:rsid w:val="007B33B3"/>
    <w:rsid w:val="007B3715"/>
    <w:rsid w:val="007B3988"/>
    <w:rsid w:val="007B3FB1"/>
    <w:rsid w:val="007B70D0"/>
    <w:rsid w:val="007C0EAD"/>
    <w:rsid w:val="007C154F"/>
    <w:rsid w:val="007C3A5C"/>
    <w:rsid w:val="007C539C"/>
    <w:rsid w:val="007C599B"/>
    <w:rsid w:val="007C6F50"/>
    <w:rsid w:val="007C77F1"/>
    <w:rsid w:val="007C7B17"/>
    <w:rsid w:val="007D0814"/>
    <w:rsid w:val="007D0859"/>
    <w:rsid w:val="007D0FE4"/>
    <w:rsid w:val="007D12D6"/>
    <w:rsid w:val="007D2D82"/>
    <w:rsid w:val="007D4EA2"/>
    <w:rsid w:val="007D5FA9"/>
    <w:rsid w:val="007D781C"/>
    <w:rsid w:val="007E0FD3"/>
    <w:rsid w:val="007E1542"/>
    <w:rsid w:val="007E3C8A"/>
    <w:rsid w:val="007E5511"/>
    <w:rsid w:val="007E5516"/>
    <w:rsid w:val="007E6D01"/>
    <w:rsid w:val="007F227B"/>
    <w:rsid w:val="007F2A9C"/>
    <w:rsid w:val="007F50A3"/>
    <w:rsid w:val="007F5181"/>
    <w:rsid w:val="007F69C6"/>
    <w:rsid w:val="007F6A73"/>
    <w:rsid w:val="00801306"/>
    <w:rsid w:val="0080191F"/>
    <w:rsid w:val="00803108"/>
    <w:rsid w:val="00803FD6"/>
    <w:rsid w:val="0080413D"/>
    <w:rsid w:val="00804267"/>
    <w:rsid w:val="00806D90"/>
    <w:rsid w:val="00807667"/>
    <w:rsid w:val="00810A82"/>
    <w:rsid w:val="00811019"/>
    <w:rsid w:val="00811229"/>
    <w:rsid w:val="0081173A"/>
    <w:rsid w:val="00812129"/>
    <w:rsid w:val="00812412"/>
    <w:rsid w:val="00814281"/>
    <w:rsid w:val="008147CA"/>
    <w:rsid w:val="00816F66"/>
    <w:rsid w:val="00817518"/>
    <w:rsid w:val="0081785A"/>
    <w:rsid w:val="00822447"/>
    <w:rsid w:val="00823482"/>
    <w:rsid w:val="00824308"/>
    <w:rsid w:val="00824775"/>
    <w:rsid w:val="008249B6"/>
    <w:rsid w:val="0082576B"/>
    <w:rsid w:val="0082662F"/>
    <w:rsid w:val="008272DF"/>
    <w:rsid w:val="008275B2"/>
    <w:rsid w:val="008307F8"/>
    <w:rsid w:val="008311F0"/>
    <w:rsid w:val="008313AB"/>
    <w:rsid w:val="00831E88"/>
    <w:rsid w:val="00834181"/>
    <w:rsid w:val="00835CA7"/>
    <w:rsid w:val="0083638B"/>
    <w:rsid w:val="00836513"/>
    <w:rsid w:val="00841436"/>
    <w:rsid w:val="00841620"/>
    <w:rsid w:val="00843FA6"/>
    <w:rsid w:val="00844053"/>
    <w:rsid w:val="00845BB1"/>
    <w:rsid w:val="00845C30"/>
    <w:rsid w:val="00845E38"/>
    <w:rsid w:val="008467E4"/>
    <w:rsid w:val="00847041"/>
    <w:rsid w:val="0084730E"/>
    <w:rsid w:val="0085037E"/>
    <w:rsid w:val="00850752"/>
    <w:rsid w:val="00850C06"/>
    <w:rsid w:val="00852264"/>
    <w:rsid w:val="00853541"/>
    <w:rsid w:val="0085488D"/>
    <w:rsid w:val="0085566D"/>
    <w:rsid w:val="0085741A"/>
    <w:rsid w:val="008574A0"/>
    <w:rsid w:val="00857B36"/>
    <w:rsid w:val="00860A21"/>
    <w:rsid w:val="00860C17"/>
    <w:rsid w:val="00864455"/>
    <w:rsid w:val="008709AC"/>
    <w:rsid w:val="008734C4"/>
    <w:rsid w:val="00874CFC"/>
    <w:rsid w:val="00875FEA"/>
    <w:rsid w:val="0088078C"/>
    <w:rsid w:val="00880C5F"/>
    <w:rsid w:val="00880E1D"/>
    <w:rsid w:val="00884160"/>
    <w:rsid w:val="0088496A"/>
    <w:rsid w:val="00884FAE"/>
    <w:rsid w:val="00887750"/>
    <w:rsid w:val="008908A9"/>
    <w:rsid w:val="00890F18"/>
    <w:rsid w:val="00892F8B"/>
    <w:rsid w:val="008959D8"/>
    <w:rsid w:val="00896072"/>
    <w:rsid w:val="008A1666"/>
    <w:rsid w:val="008A3313"/>
    <w:rsid w:val="008A3F86"/>
    <w:rsid w:val="008A7E29"/>
    <w:rsid w:val="008B1C86"/>
    <w:rsid w:val="008B29C7"/>
    <w:rsid w:val="008B3316"/>
    <w:rsid w:val="008B494E"/>
    <w:rsid w:val="008B50C5"/>
    <w:rsid w:val="008B572A"/>
    <w:rsid w:val="008B6204"/>
    <w:rsid w:val="008C0169"/>
    <w:rsid w:val="008C06BA"/>
    <w:rsid w:val="008C0FBF"/>
    <w:rsid w:val="008C29E2"/>
    <w:rsid w:val="008C3C4E"/>
    <w:rsid w:val="008C41FC"/>
    <w:rsid w:val="008C5BAC"/>
    <w:rsid w:val="008C679B"/>
    <w:rsid w:val="008C73A9"/>
    <w:rsid w:val="008C74CA"/>
    <w:rsid w:val="008C775E"/>
    <w:rsid w:val="008C7D64"/>
    <w:rsid w:val="008D084E"/>
    <w:rsid w:val="008D0BB0"/>
    <w:rsid w:val="008D2154"/>
    <w:rsid w:val="008D237A"/>
    <w:rsid w:val="008D2635"/>
    <w:rsid w:val="008D2AC7"/>
    <w:rsid w:val="008D30F3"/>
    <w:rsid w:val="008D3482"/>
    <w:rsid w:val="008D4076"/>
    <w:rsid w:val="008D4394"/>
    <w:rsid w:val="008D679B"/>
    <w:rsid w:val="008D7D9A"/>
    <w:rsid w:val="008E009D"/>
    <w:rsid w:val="008E18D8"/>
    <w:rsid w:val="008E27C5"/>
    <w:rsid w:val="008E28FC"/>
    <w:rsid w:val="008E5CAC"/>
    <w:rsid w:val="008E67ED"/>
    <w:rsid w:val="008E707B"/>
    <w:rsid w:val="008E74EE"/>
    <w:rsid w:val="008F2F67"/>
    <w:rsid w:val="008F32D2"/>
    <w:rsid w:val="008F3B75"/>
    <w:rsid w:val="008F4588"/>
    <w:rsid w:val="008F5C15"/>
    <w:rsid w:val="008F6330"/>
    <w:rsid w:val="008F6A0F"/>
    <w:rsid w:val="009004CB"/>
    <w:rsid w:val="0090096D"/>
    <w:rsid w:val="009022DB"/>
    <w:rsid w:val="00903658"/>
    <w:rsid w:val="00905B0B"/>
    <w:rsid w:val="009060E1"/>
    <w:rsid w:val="00906682"/>
    <w:rsid w:val="00907688"/>
    <w:rsid w:val="00911309"/>
    <w:rsid w:val="0091440E"/>
    <w:rsid w:val="009158DE"/>
    <w:rsid w:val="0091679B"/>
    <w:rsid w:val="00920621"/>
    <w:rsid w:val="00921E0C"/>
    <w:rsid w:val="009234FE"/>
    <w:rsid w:val="00924738"/>
    <w:rsid w:val="009270EA"/>
    <w:rsid w:val="00930184"/>
    <w:rsid w:val="009316E2"/>
    <w:rsid w:val="009335A6"/>
    <w:rsid w:val="00933A05"/>
    <w:rsid w:val="009356EB"/>
    <w:rsid w:val="00935C0E"/>
    <w:rsid w:val="00936159"/>
    <w:rsid w:val="00940901"/>
    <w:rsid w:val="0094214A"/>
    <w:rsid w:val="00942303"/>
    <w:rsid w:val="009426AD"/>
    <w:rsid w:val="009445BA"/>
    <w:rsid w:val="00945062"/>
    <w:rsid w:val="0094587B"/>
    <w:rsid w:val="0094636C"/>
    <w:rsid w:val="00947A67"/>
    <w:rsid w:val="00947D74"/>
    <w:rsid w:val="00950D66"/>
    <w:rsid w:val="00951F12"/>
    <w:rsid w:val="00953598"/>
    <w:rsid w:val="00953875"/>
    <w:rsid w:val="0095482A"/>
    <w:rsid w:val="00955D4A"/>
    <w:rsid w:val="00956C6E"/>
    <w:rsid w:val="00956C7A"/>
    <w:rsid w:val="00957C8B"/>
    <w:rsid w:val="00957E0E"/>
    <w:rsid w:val="00957EAA"/>
    <w:rsid w:val="00957EAF"/>
    <w:rsid w:val="00960120"/>
    <w:rsid w:val="0096071F"/>
    <w:rsid w:val="009633F5"/>
    <w:rsid w:val="00963DF9"/>
    <w:rsid w:val="00964BC8"/>
    <w:rsid w:val="0096744F"/>
    <w:rsid w:val="00970CE3"/>
    <w:rsid w:val="0097202B"/>
    <w:rsid w:val="00972751"/>
    <w:rsid w:val="00974BC2"/>
    <w:rsid w:val="00975071"/>
    <w:rsid w:val="009767EF"/>
    <w:rsid w:val="00976958"/>
    <w:rsid w:val="00976B92"/>
    <w:rsid w:val="009770A7"/>
    <w:rsid w:val="00977D3D"/>
    <w:rsid w:val="00977DBF"/>
    <w:rsid w:val="00981A4F"/>
    <w:rsid w:val="00981EBF"/>
    <w:rsid w:val="009821C3"/>
    <w:rsid w:val="00983C12"/>
    <w:rsid w:val="00983E93"/>
    <w:rsid w:val="00987458"/>
    <w:rsid w:val="009901F7"/>
    <w:rsid w:val="00991D53"/>
    <w:rsid w:val="00992DCE"/>
    <w:rsid w:val="00992E64"/>
    <w:rsid w:val="0099372F"/>
    <w:rsid w:val="00994143"/>
    <w:rsid w:val="00995023"/>
    <w:rsid w:val="00996126"/>
    <w:rsid w:val="0099666E"/>
    <w:rsid w:val="009A2245"/>
    <w:rsid w:val="009A34AA"/>
    <w:rsid w:val="009A439C"/>
    <w:rsid w:val="009A453D"/>
    <w:rsid w:val="009A4FC9"/>
    <w:rsid w:val="009A5AB9"/>
    <w:rsid w:val="009A7B0E"/>
    <w:rsid w:val="009B044A"/>
    <w:rsid w:val="009B048F"/>
    <w:rsid w:val="009B0899"/>
    <w:rsid w:val="009B3A81"/>
    <w:rsid w:val="009B3B3A"/>
    <w:rsid w:val="009B3BA1"/>
    <w:rsid w:val="009B4E21"/>
    <w:rsid w:val="009B557E"/>
    <w:rsid w:val="009B6217"/>
    <w:rsid w:val="009B6B3E"/>
    <w:rsid w:val="009B7C6B"/>
    <w:rsid w:val="009C083C"/>
    <w:rsid w:val="009C1E06"/>
    <w:rsid w:val="009C2BEB"/>
    <w:rsid w:val="009C4880"/>
    <w:rsid w:val="009C4D49"/>
    <w:rsid w:val="009C545E"/>
    <w:rsid w:val="009C7039"/>
    <w:rsid w:val="009D1D76"/>
    <w:rsid w:val="009D2C06"/>
    <w:rsid w:val="009D341A"/>
    <w:rsid w:val="009D4816"/>
    <w:rsid w:val="009D7571"/>
    <w:rsid w:val="009E013B"/>
    <w:rsid w:val="009E0B7D"/>
    <w:rsid w:val="009E4116"/>
    <w:rsid w:val="009E41D2"/>
    <w:rsid w:val="009E6599"/>
    <w:rsid w:val="009E684E"/>
    <w:rsid w:val="009E6FC9"/>
    <w:rsid w:val="009F0C9F"/>
    <w:rsid w:val="009F5275"/>
    <w:rsid w:val="009F5360"/>
    <w:rsid w:val="009F5E0E"/>
    <w:rsid w:val="009F7A2A"/>
    <w:rsid w:val="009F7D23"/>
    <w:rsid w:val="00A003C4"/>
    <w:rsid w:val="00A0057A"/>
    <w:rsid w:val="00A00F94"/>
    <w:rsid w:val="00A01F7A"/>
    <w:rsid w:val="00A0223D"/>
    <w:rsid w:val="00A05FD4"/>
    <w:rsid w:val="00A065E8"/>
    <w:rsid w:val="00A1067B"/>
    <w:rsid w:val="00A10943"/>
    <w:rsid w:val="00A10F72"/>
    <w:rsid w:val="00A14563"/>
    <w:rsid w:val="00A14B49"/>
    <w:rsid w:val="00A16705"/>
    <w:rsid w:val="00A17B96"/>
    <w:rsid w:val="00A2008F"/>
    <w:rsid w:val="00A20C05"/>
    <w:rsid w:val="00A22B20"/>
    <w:rsid w:val="00A2311C"/>
    <w:rsid w:val="00A2349A"/>
    <w:rsid w:val="00A2747C"/>
    <w:rsid w:val="00A27F10"/>
    <w:rsid w:val="00A32AF1"/>
    <w:rsid w:val="00A32E18"/>
    <w:rsid w:val="00A331C7"/>
    <w:rsid w:val="00A3335C"/>
    <w:rsid w:val="00A3373B"/>
    <w:rsid w:val="00A340C8"/>
    <w:rsid w:val="00A35444"/>
    <w:rsid w:val="00A35CA3"/>
    <w:rsid w:val="00A434A9"/>
    <w:rsid w:val="00A437FE"/>
    <w:rsid w:val="00A44621"/>
    <w:rsid w:val="00A45983"/>
    <w:rsid w:val="00A46F88"/>
    <w:rsid w:val="00A502A6"/>
    <w:rsid w:val="00A506AE"/>
    <w:rsid w:val="00A51514"/>
    <w:rsid w:val="00A51E02"/>
    <w:rsid w:val="00A52617"/>
    <w:rsid w:val="00A527F7"/>
    <w:rsid w:val="00A52FDB"/>
    <w:rsid w:val="00A552FA"/>
    <w:rsid w:val="00A55812"/>
    <w:rsid w:val="00A60396"/>
    <w:rsid w:val="00A61F3E"/>
    <w:rsid w:val="00A63237"/>
    <w:rsid w:val="00A70BC6"/>
    <w:rsid w:val="00A70CE2"/>
    <w:rsid w:val="00A74B91"/>
    <w:rsid w:val="00A751DC"/>
    <w:rsid w:val="00A757ED"/>
    <w:rsid w:val="00A769CA"/>
    <w:rsid w:val="00A83E4F"/>
    <w:rsid w:val="00A845B2"/>
    <w:rsid w:val="00A851CE"/>
    <w:rsid w:val="00A86131"/>
    <w:rsid w:val="00A909C4"/>
    <w:rsid w:val="00A912D7"/>
    <w:rsid w:val="00A91ADF"/>
    <w:rsid w:val="00A91FD2"/>
    <w:rsid w:val="00A94310"/>
    <w:rsid w:val="00A94872"/>
    <w:rsid w:val="00A96700"/>
    <w:rsid w:val="00A973B7"/>
    <w:rsid w:val="00AA1487"/>
    <w:rsid w:val="00AA25CB"/>
    <w:rsid w:val="00AA5F90"/>
    <w:rsid w:val="00AA6AE6"/>
    <w:rsid w:val="00AA7712"/>
    <w:rsid w:val="00AA7C40"/>
    <w:rsid w:val="00AB03BA"/>
    <w:rsid w:val="00AB11CB"/>
    <w:rsid w:val="00AB140F"/>
    <w:rsid w:val="00AB1DFB"/>
    <w:rsid w:val="00AB2371"/>
    <w:rsid w:val="00AB3BED"/>
    <w:rsid w:val="00AB4229"/>
    <w:rsid w:val="00AB5927"/>
    <w:rsid w:val="00AB6A3A"/>
    <w:rsid w:val="00AB79B2"/>
    <w:rsid w:val="00AC1FDF"/>
    <w:rsid w:val="00AC2B86"/>
    <w:rsid w:val="00AC5169"/>
    <w:rsid w:val="00AC6B40"/>
    <w:rsid w:val="00AC72FB"/>
    <w:rsid w:val="00AD17F0"/>
    <w:rsid w:val="00AD3330"/>
    <w:rsid w:val="00AD38E7"/>
    <w:rsid w:val="00AD5907"/>
    <w:rsid w:val="00AD6506"/>
    <w:rsid w:val="00AD72E0"/>
    <w:rsid w:val="00AE0580"/>
    <w:rsid w:val="00AE2FC5"/>
    <w:rsid w:val="00AE36A8"/>
    <w:rsid w:val="00AE546E"/>
    <w:rsid w:val="00AF07E7"/>
    <w:rsid w:val="00AF0F2A"/>
    <w:rsid w:val="00AF29CC"/>
    <w:rsid w:val="00AF3663"/>
    <w:rsid w:val="00AF4AE1"/>
    <w:rsid w:val="00AF62A4"/>
    <w:rsid w:val="00AF62FE"/>
    <w:rsid w:val="00AF64B6"/>
    <w:rsid w:val="00AF6C0F"/>
    <w:rsid w:val="00AF6E87"/>
    <w:rsid w:val="00AF74DF"/>
    <w:rsid w:val="00B0015C"/>
    <w:rsid w:val="00B009F6"/>
    <w:rsid w:val="00B02A71"/>
    <w:rsid w:val="00B05319"/>
    <w:rsid w:val="00B05718"/>
    <w:rsid w:val="00B0613E"/>
    <w:rsid w:val="00B06301"/>
    <w:rsid w:val="00B070EC"/>
    <w:rsid w:val="00B079F3"/>
    <w:rsid w:val="00B1124E"/>
    <w:rsid w:val="00B12507"/>
    <w:rsid w:val="00B13964"/>
    <w:rsid w:val="00B13E74"/>
    <w:rsid w:val="00B14203"/>
    <w:rsid w:val="00B1494C"/>
    <w:rsid w:val="00B20113"/>
    <w:rsid w:val="00B20394"/>
    <w:rsid w:val="00B2039C"/>
    <w:rsid w:val="00B23661"/>
    <w:rsid w:val="00B240DD"/>
    <w:rsid w:val="00B243BE"/>
    <w:rsid w:val="00B24795"/>
    <w:rsid w:val="00B250B7"/>
    <w:rsid w:val="00B2787D"/>
    <w:rsid w:val="00B27E69"/>
    <w:rsid w:val="00B31926"/>
    <w:rsid w:val="00B34360"/>
    <w:rsid w:val="00B358E2"/>
    <w:rsid w:val="00B36058"/>
    <w:rsid w:val="00B37064"/>
    <w:rsid w:val="00B4045C"/>
    <w:rsid w:val="00B42CE7"/>
    <w:rsid w:val="00B44B7F"/>
    <w:rsid w:val="00B4684C"/>
    <w:rsid w:val="00B513D4"/>
    <w:rsid w:val="00B55424"/>
    <w:rsid w:val="00B56845"/>
    <w:rsid w:val="00B56E8B"/>
    <w:rsid w:val="00B575AD"/>
    <w:rsid w:val="00B57647"/>
    <w:rsid w:val="00B57B3C"/>
    <w:rsid w:val="00B60898"/>
    <w:rsid w:val="00B6188C"/>
    <w:rsid w:val="00B630E7"/>
    <w:rsid w:val="00B639EB"/>
    <w:rsid w:val="00B63B85"/>
    <w:rsid w:val="00B6428C"/>
    <w:rsid w:val="00B64B9E"/>
    <w:rsid w:val="00B661F8"/>
    <w:rsid w:val="00B662D7"/>
    <w:rsid w:val="00B66339"/>
    <w:rsid w:val="00B67D7E"/>
    <w:rsid w:val="00B70224"/>
    <w:rsid w:val="00B743AA"/>
    <w:rsid w:val="00B74AA3"/>
    <w:rsid w:val="00B76745"/>
    <w:rsid w:val="00B77A05"/>
    <w:rsid w:val="00B77D82"/>
    <w:rsid w:val="00B800F4"/>
    <w:rsid w:val="00B80170"/>
    <w:rsid w:val="00B802E5"/>
    <w:rsid w:val="00B81554"/>
    <w:rsid w:val="00B8156C"/>
    <w:rsid w:val="00B836F2"/>
    <w:rsid w:val="00B85AC2"/>
    <w:rsid w:val="00B85FFF"/>
    <w:rsid w:val="00B906F5"/>
    <w:rsid w:val="00B90FA1"/>
    <w:rsid w:val="00B91C81"/>
    <w:rsid w:val="00B91E2D"/>
    <w:rsid w:val="00B94001"/>
    <w:rsid w:val="00B9449F"/>
    <w:rsid w:val="00B94CC2"/>
    <w:rsid w:val="00BA00A7"/>
    <w:rsid w:val="00BA08F2"/>
    <w:rsid w:val="00BA2140"/>
    <w:rsid w:val="00BA21EE"/>
    <w:rsid w:val="00BA31BE"/>
    <w:rsid w:val="00BA36A4"/>
    <w:rsid w:val="00BA3950"/>
    <w:rsid w:val="00BA41F1"/>
    <w:rsid w:val="00BA42B5"/>
    <w:rsid w:val="00BA505D"/>
    <w:rsid w:val="00BA5998"/>
    <w:rsid w:val="00BA59AF"/>
    <w:rsid w:val="00BA5E82"/>
    <w:rsid w:val="00BB019F"/>
    <w:rsid w:val="00BB04A4"/>
    <w:rsid w:val="00BB2485"/>
    <w:rsid w:val="00BB2AE9"/>
    <w:rsid w:val="00BB3C14"/>
    <w:rsid w:val="00BB4ED9"/>
    <w:rsid w:val="00BB6620"/>
    <w:rsid w:val="00BB72A8"/>
    <w:rsid w:val="00BB7AE2"/>
    <w:rsid w:val="00BC3161"/>
    <w:rsid w:val="00BC4895"/>
    <w:rsid w:val="00BC4E0C"/>
    <w:rsid w:val="00BC5E02"/>
    <w:rsid w:val="00BC6C24"/>
    <w:rsid w:val="00BC7F92"/>
    <w:rsid w:val="00BD0E51"/>
    <w:rsid w:val="00BD135B"/>
    <w:rsid w:val="00BD3EB7"/>
    <w:rsid w:val="00BD44AA"/>
    <w:rsid w:val="00BD6575"/>
    <w:rsid w:val="00BD70AD"/>
    <w:rsid w:val="00BD76BC"/>
    <w:rsid w:val="00BE004A"/>
    <w:rsid w:val="00BE00DA"/>
    <w:rsid w:val="00BE0317"/>
    <w:rsid w:val="00BE500A"/>
    <w:rsid w:val="00BE689B"/>
    <w:rsid w:val="00BE7F8A"/>
    <w:rsid w:val="00BF03A4"/>
    <w:rsid w:val="00BF1272"/>
    <w:rsid w:val="00BF493F"/>
    <w:rsid w:val="00BF4FCC"/>
    <w:rsid w:val="00BF5F56"/>
    <w:rsid w:val="00C02520"/>
    <w:rsid w:val="00C02FFE"/>
    <w:rsid w:val="00C04A9C"/>
    <w:rsid w:val="00C05ADB"/>
    <w:rsid w:val="00C0610D"/>
    <w:rsid w:val="00C07F21"/>
    <w:rsid w:val="00C10B79"/>
    <w:rsid w:val="00C1106B"/>
    <w:rsid w:val="00C1276D"/>
    <w:rsid w:val="00C13B82"/>
    <w:rsid w:val="00C17C54"/>
    <w:rsid w:val="00C23763"/>
    <w:rsid w:val="00C23DB3"/>
    <w:rsid w:val="00C24E79"/>
    <w:rsid w:val="00C30A0E"/>
    <w:rsid w:val="00C3374B"/>
    <w:rsid w:val="00C3395C"/>
    <w:rsid w:val="00C34E4E"/>
    <w:rsid w:val="00C36EB0"/>
    <w:rsid w:val="00C373C4"/>
    <w:rsid w:val="00C37CEF"/>
    <w:rsid w:val="00C40A49"/>
    <w:rsid w:val="00C420E4"/>
    <w:rsid w:val="00C42775"/>
    <w:rsid w:val="00C44E5B"/>
    <w:rsid w:val="00C45FE6"/>
    <w:rsid w:val="00C475C3"/>
    <w:rsid w:val="00C50FFE"/>
    <w:rsid w:val="00C5157B"/>
    <w:rsid w:val="00C5368F"/>
    <w:rsid w:val="00C53AB8"/>
    <w:rsid w:val="00C54060"/>
    <w:rsid w:val="00C5449C"/>
    <w:rsid w:val="00C56B2B"/>
    <w:rsid w:val="00C57629"/>
    <w:rsid w:val="00C631C0"/>
    <w:rsid w:val="00C6352A"/>
    <w:rsid w:val="00C65F49"/>
    <w:rsid w:val="00C66F24"/>
    <w:rsid w:val="00C70E32"/>
    <w:rsid w:val="00C744BD"/>
    <w:rsid w:val="00C7507B"/>
    <w:rsid w:val="00C75081"/>
    <w:rsid w:val="00C7561E"/>
    <w:rsid w:val="00C76DAD"/>
    <w:rsid w:val="00C77FEB"/>
    <w:rsid w:val="00C818D4"/>
    <w:rsid w:val="00C824DD"/>
    <w:rsid w:val="00C84BDF"/>
    <w:rsid w:val="00C86681"/>
    <w:rsid w:val="00C867EA"/>
    <w:rsid w:val="00C908DA"/>
    <w:rsid w:val="00C919BF"/>
    <w:rsid w:val="00C92561"/>
    <w:rsid w:val="00C92948"/>
    <w:rsid w:val="00C94511"/>
    <w:rsid w:val="00C96386"/>
    <w:rsid w:val="00CA13CF"/>
    <w:rsid w:val="00CA29FC"/>
    <w:rsid w:val="00CA3051"/>
    <w:rsid w:val="00CA39A2"/>
    <w:rsid w:val="00CA39E6"/>
    <w:rsid w:val="00CA3D73"/>
    <w:rsid w:val="00CA6380"/>
    <w:rsid w:val="00CB0A11"/>
    <w:rsid w:val="00CB0B7D"/>
    <w:rsid w:val="00CB0FE3"/>
    <w:rsid w:val="00CB1422"/>
    <w:rsid w:val="00CB301A"/>
    <w:rsid w:val="00CB4488"/>
    <w:rsid w:val="00CB44AF"/>
    <w:rsid w:val="00CB4847"/>
    <w:rsid w:val="00CB74BF"/>
    <w:rsid w:val="00CC01F5"/>
    <w:rsid w:val="00CC0957"/>
    <w:rsid w:val="00CC1E2C"/>
    <w:rsid w:val="00CC3E82"/>
    <w:rsid w:val="00CC4659"/>
    <w:rsid w:val="00CD0166"/>
    <w:rsid w:val="00CD088E"/>
    <w:rsid w:val="00CD0C7B"/>
    <w:rsid w:val="00CD1F56"/>
    <w:rsid w:val="00CD28A3"/>
    <w:rsid w:val="00CD482F"/>
    <w:rsid w:val="00CD7199"/>
    <w:rsid w:val="00CE1A27"/>
    <w:rsid w:val="00CE2AFA"/>
    <w:rsid w:val="00CE3103"/>
    <w:rsid w:val="00CE3800"/>
    <w:rsid w:val="00CE3A1A"/>
    <w:rsid w:val="00CE594C"/>
    <w:rsid w:val="00CE69A7"/>
    <w:rsid w:val="00CE6E86"/>
    <w:rsid w:val="00CE7B51"/>
    <w:rsid w:val="00CF021A"/>
    <w:rsid w:val="00CF2504"/>
    <w:rsid w:val="00CF31D0"/>
    <w:rsid w:val="00CF6333"/>
    <w:rsid w:val="00CF6794"/>
    <w:rsid w:val="00CF682B"/>
    <w:rsid w:val="00D016E1"/>
    <w:rsid w:val="00D0200F"/>
    <w:rsid w:val="00D02329"/>
    <w:rsid w:val="00D03209"/>
    <w:rsid w:val="00D04168"/>
    <w:rsid w:val="00D04786"/>
    <w:rsid w:val="00D051C2"/>
    <w:rsid w:val="00D06115"/>
    <w:rsid w:val="00D06DC7"/>
    <w:rsid w:val="00D06E38"/>
    <w:rsid w:val="00D10E3D"/>
    <w:rsid w:val="00D112BA"/>
    <w:rsid w:val="00D1157D"/>
    <w:rsid w:val="00D11999"/>
    <w:rsid w:val="00D123A1"/>
    <w:rsid w:val="00D12437"/>
    <w:rsid w:val="00D14938"/>
    <w:rsid w:val="00D24251"/>
    <w:rsid w:val="00D25F43"/>
    <w:rsid w:val="00D265AB"/>
    <w:rsid w:val="00D26CFC"/>
    <w:rsid w:val="00D26E9C"/>
    <w:rsid w:val="00D27232"/>
    <w:rsid w:val="00D31697"/>
    <w:rsid w:val="00D33CFF"/>
    <w:rsid w:val="00D35946"/>
    <w:rsid w:val="00D369F8"/>
    <w:rsid w:val="00D3701C"/>
    <w:rsid w:val="00D370D9"/>
    <w:rsid w:val="00D37929"/>
    <w:rsid w:val="00D37DCF"/>
    <w:rsid w:val="00D40D35"/>
    <w:rsid w:val="00D41826"/>
    <w:rsid w:val="00D451C6"/>
    <w:rsid w:val="00D460A1"/>
    <w:rsid w:val="00D46516"/>
    <w:rsid w:val="00D46735"/>
    <w:rsid w:val="00D507C9"/>
    <w:rsid w:val="00D50A8E"/>
    <w:rsid w:val="00D513E8"/>
    <w:rsid w:val="00D54D14"/>
    <w:rsid w:val="00D55F76"/>
    <w:rsid w:val="00D561C0"/>
    <w:rsid w:val="00D57DA9"/>
    <w:rsid w:val="00D63EA0"/>
    <w:rsid w:val="00D653FE"/>
    <w:rsid w:val="00D7157B"/>
    <w:rsid w:val="00D7197F"/>
    <w:rsid w:val="00D72FDF"/>
    <w:rsid w:val="00D747D4"/>
    <w:rsid w:val="00D7494C"/>
    <w:rsid w:val="00D757B0"/>
    <w:rsid w:val="00D80164"/>
    <w:rsid w:val="00D80BC8"/>
    <w:rsid w:val="00D811A2"/>
    <w:rsid w:val="00D8192E"/>
    <w:rsid w:val="00D82AC3"/>
    <w:rsid w:val="00D82CD1"/>
    <w:rsid w:val="00D82F97"/>
    <w:rsid w:val="00D83BAB"/>
    <w:rsid w:val="00D840E5"/>
    <w:rsid w:val="00D848AD"/>
    <w:rsid w:val="00D84BD5"/>
    <w:rsid w:val="00D858A6"/>
    <w:rsid w:val="00D86630"/>
    <w:rsid w:val="00D86CF6"/>
    <w:rsid w:val="00D90B46"/>
    <w:rsid w:val="00D92C4D"/>
    <w:rsid w:val="00D94A7C"/>
    <w:rsid w:val="00D97E4D"/>
    <w:rsid w:val="00DA21F7"/>
    <w:rsid w:val="00DA3433"/>
    <w:rsid w:val="00DA3D30"/>
    <w:rsid w:val="00DA4B47"/>
    <w:rsid w:val="00DA52D8"/>
    <w:rsid w:val="00DA7F80"/>
    <w:rsid w:val="00DB0C92"/>
    <w:rsid w:val="00DB1F36"/>
    <w:rsid w:val="00DB4888"/>
    <w:rsid w:val="00DB6A48"/>
    <w:rsid w:val="00DB6B6F"/>
    <w:rsid w:val="00DC00FD"/>
    <w:rsid w:val="00DC0678"/>
    <w:rsid w:val="00DC0A46"/>
    <w:rsid w:val="00DC341D"/>
    <w:rsid w:val="00DC3D55"/>
    <w:rsid w:val="00DC51F0"/>
    <w:rsid w:val="00DC5E5D"/>
    <w:rsid w:val="00DC7AE7"/>
    <w:rsid w:val="00DC7B07"/>
    <w:rsid w:val="00DD0F4F"/>
    <w:rsid w:val="00DD41D0"/>
    <w:rsid w:val="00DD45ED"/>
    <w:rsid w:val="00DD6C6C"/>
    <w:rsid w:val="00DD6FAC"/>
    <w:rsid w:val="00DE5790"/>
    <w:rsid w:val="00DE5A8E"/>
    <w:rsid w:val="00DE6310"/>
    <w:rsid w:val="00DE6877"/>
    <w:rsid w:val="00DE69B0"/>
    <w:rsid w:val="00DE69DE"/>
    <w:rsid w:val="00DE6C49"/>
    <w:rsid w:val="00DE6C79"/>
    <w:rsid w:val="00DE7471"/>
    <w:rsid w:val="00DE7927"/>
    <w:rsid w:val="00DF0127"/>
    <w:rsid w:val="00DF06BD"/>
    <w:rsid w:val="00DF0883"/>
    <w:rsid w:val="00DF10DA"/>
    <w:rsid w:val="00DF1281"/>
    <w:rsid w:val="00DF187D"/>
    <w:rsid w:val="00DF27CA"/>
    <w:rsid w:val="00DF305A"/>
    <w:rsid w:val="00DF456B"/>
    <w:rsid w:val="00DF4C3C"/>
    <w:rsid w:val="00DF55E9"/>
    <w:rsid w:val="00DF65B6"/>
    <w:rsid w:val="00DF68B1"/>
    <w:rsid w:val="00DF756E"/>
    <w:rsid w:val="00E01325"/>
    <w:rsid w:val="00E01B7B"/>
    <w:rsid w:val="00E043A5"/>
    <w:rsid w:val="00E05565"/>
    <w:rsid w:val="00E055C4"/>
    <w:rsid w:val="00E0678B"/>
    <w:rsid w:val="00E068D3"/>
    <w:rsid w:val="00E10DB9"/>
    <w:rsid w:val="00E11248"/>
    <w:rsid w:val="00E13EDF"/>
    <w:rsid w:val="00E14B32"/>
    <w:rsid w:val="00E150F5"/>
    <w:rsid w:val="00E15BBD"/>
    <w:rsid w:val="00E15E3C"/>
    <w:rsid w:val="00E16AD6"/>
    <w:rsid w:val="00E17FC7"/>
    <w:rsid w:val="00E209F8"/>
    <w:rsid w:val="00E215A1"/>
    <w:rsid w:val="00E23464"/>
    <w:rsid w:val="00E23B0A"/>
    <w:rsid w:val="00E23C65"/>
    <w:rsid w:val="00E23E33"/>
    <w:rsid w:val="00E243C7"/>
    <w:rsid w:val="00E250CE"/>
    <w:rsid w:val="00E3233A"/>
    <w:rsid w:val="00E34FDA"/>
    <w:rsid w:val="00E35C8B"/>
    <w:rsid w:val="00E37F96"/>
    <w:rsid w:val="00E40CE8"/>
    <w:rsid w:val="00E41DB4"/>
    <w:rsid w:val="00E42670"/>
    <w:rsid w:val="00E43077"/>
    <w:rsid w:val="00E43FB7"/>
    <w:rsid w:val="00E4438D"/>
    <w:rsid w:val="00E4526B"/>
    <w:rsid w:val="00E463AA"/>
    <w:rsid w:val="00E46716"/>
    <w:rsid w:val="00E46D4A"/>
    <w:rsid w:val="00E478C3"/>
    <w:rsid w:val="00E5125E"/>
    <w:rsid w:val="00E52831"/>
    <w:rsid w:val="00E53599"/>
    <w:rsid w:val="00E548AC"/>
    <w:rsid w:val="00E56A24"/>
    <w:rsid w:val="00E570FB"/>
    <w:rsid w:val="00E60E32"/>
    <w:rsid w:val="00E61720"/>
    <w:rsid w:val="00E62A7E"/>
    <w:rsid w:val="00E6383C"/>
    <w:rsid w:val="00E63AFF"/>
    <w:rsid w:val="00E63C54"/>
    <w:rsid w:val="00E63D31"/>
    <w:rsid w:val="00E65A08"/>
    <w:rsid w:val="00E6638A"/>
    <w:rsid w:val="00E6738F"/>
    <w:rsid w:val="00E677A3"/>
    <w:rsid w:val="00E70128"/>
    <w:rsid w:val="00E708FC"/>
    <w:rsid w:val="00E70C40"/>
    <w:rsid w:val="00E70F8D"/>
    <w:rsid w:val="00E71CC4"/>
    <w:rsid w:val="00E73689"/>
    <w:rsid w:val="00E741DC"/>
    <w:rsid w:val="00E745DB"/>
    <w:rsid w:val="00E76FF0"/>
    <w:rsid w:val="00E774F3"/>
    <w:rsid w:val="00E80055"/>
    <w:rsid w:val="00E8074D"/>
    <w:rsid w:val="00E80B8A"/>
    <w:rsid w:val="00E81A13"/>
    <w:rsid w:val="00E83837"/>
    <w:rsid w:val="00E91037"/>
    <w:rsid w:val="00E912A4"/>
    <w:rsid w:val="00E913CD"/>
    <w:rsid w:val="00E91965"/>
    <w:rsid w:val="00E91AD6"/>
    <w:rsid w:val="00E91E60"/>
    <w:rsid w:val="00E9430F"/>
    <w:rsid w:val="00E94E78"/>
    <w:rsid w:val="00E9551E"/>
    <w:rsid w:val="00E9641C"/>
    <w:rsid w:val="00E96C29"/>
    <w:rsid w:val="00E975F0"/>
    <w:rsid w:val="00E97662"/>
    <w:rsid w:val="00E97CC6"/>
    <w:rsid w:val="00EA081D"/>
    <w:rsid w:val="00EA0D55"/>
    <w:rsid w:val="00EA51BA"/>
    <w:rsid w:val="00EA5586"/>
    <w:rsid w:val="00EA6EE8"/>
    <w:rsid w:val="00EA7A56"/>
    <w:rsid w:val="00EA7B4E"/>
    <w:rsid w:val="00EB2CFD"/>
    <w:rsid w:val="00EB3B09"/>
    <w:rsid w:val="00EB5C91"/>
    <w:rsid w:val="00EB61AF"/>
    <w:rsid w:val="00EC0155"/>
    <w:rsid w:val="00EC01C1"/>
    <w:rsid w:val="00EC0C86"/>
    <w:rsid w:val="00EC1B37"/>
    <w:rsid w:val="00EC3CEB"/>
    <w:rsid w:val="00EC42A4"/>
    <w:rsid w:val="00ED11C0"/>
    <w:rsid w:val="00ED223E"/>
    <w:rsid w:val="00ED33EF"/>
    <w:rsid w:val="00ED5A6D"/>
    <w:rsid w:val="00ED64E9"/>
    <w:rsid w:val="00ED6CA9"/>
    <w:rsid w:val="00ED7E47"/>
    <w:rsid w:val="00EE06FE"/>
    <w:rsid w:val="00EE2542"/>
    <w:rsid w:val="00EF07EF"/>
    <w:rsid w:val="00EF0F1F"/>
    <w:rsid w:val="00EF23D3"/>
    <w:rsid w:val="00EF35EC"/>
    <w:rsid w:val="00EF50D6"/>
    <w:rsid w:val="00EF59B2"/>
    <w:rsid w:val="00EF6A84"/>
    <w:rsid w:val="00F01ADC"/>
    <w:rsid w:val="00F0241E"/>
    <w:rsid w:val="00F028C8"/>
    <w:rsid w:val="00F0313E"/>
    <w:rsid w:val="00F03781"/>
    <w:rsid w:val="00F04221"/>
    <w:rsid w:val="00F04BD5"/>
    <w:rsid w:val="00F07824"/>
    <w:rsid w:val="00F10006"/>
    <w:rsid w:val="00F105D4"/>
    <w:rsid w:val="00F10B22"/>
    <w:rsid w:val="00F112FB"/>
    <w:rsid w:val="00F118EB"/>
    <w:rsid w:val="00F13670"/>
    <w:rsid w:val="00F144CC"/>
    <w:rsid w:val="00F1536E"/>
    <w:rsid w:val="00F16E68"/>
    <w:rsid w:val="00F1764B"/>
    <w:rsid w:val="00F210DE"/>
    <w:rsid w:val="00F21333"/>
    <w:rsid w:val="00F2276C"/>
    <w:rsid w:val="00F22A7F"/>
    <w:rsid w:val="00F24876"/>
    <w:rsid w:val="00F255BA"/>
    <w:rsid w:val="00F257D1"/>
    <w:rsid w:val="00F278E4"/>
    <w:rsid w:val="00F279F9"/>
    <w:rsid w:val="00F306C1"/>
    <w:rsid w:val="00F315DC"/>
    <w:rsid w:val="00F316FE"/>
    <w:rsid w:val="00F3194F"/>
    <w:rsid w:val="00F321D4"/>
    <w:rsid w:val="00F33070"/>
    <w:rsid w:val="00F3494B"/>
    <w:rsid w:val="00F409ED"/>
    <w:rsid w:val="00F40BED"/>
    <w:rsid w:val="00F4141B"/>
    <w:rsid w:val="00F424E5"/>
    <w:rsid w:val="00F42646"/>
    <w:rsid w:val="00F42B9F"/>
    <w:rsid w:val="00F44737"/>
    <w:rsid w:val="00F50E79"/>
    <w:rsid w:val="00F510C1"/>
    <w:rsid w:val="00F51B43"/>
    <w:rsid w:val="00F53DBA"/>
    <w:rsid w:val="00F5697F"/>
    <w:rsid w:val="00F56A66"/>
    <w:rsid w:val="00F5724A"/>
    <w:rsid w:val="00F62AA8"/>
    <w:rsid w:val="00F64FCF"/>
    <w:rsid w:val="00F750BB"/>
    <w:rsid w:val="00F77E37"/>
    <w:rsid w:val="00F80A1E"/>
    <w:rsid w:val="00F81617"/>
    <w:rsid w:val="00F821E5"/>
    <w:rsid w:val="00F8280C"/>
    <w:rsid w:val="00F843AE"/>
    <w:rsid w:val="00F84D12"/>
    <w:rsid w:val="00F85A5C"/>
    <w:rsid w:val="00F85A89"/>
    <w:rsid w:val="00F85B1C"/>
    <w:rsid w:val="00F865C3"/>
    <w:rsid w:val="00F91194"/>
    <w:rsid w:val="00F91F55"/>
    <w:rsid w:val="00F938AD"/>
    <w:rsid w:val="00F93A0B"/>
    <w:rsid w:val="00F963BB"/>
    <w:rsid w:val="00F97141"/>
    <w:rsid w:val="00FA1632"/>
    <w:rsid w:val="00FA1C75"/>
    <w:rsid w:val="00FA2984"/>
    <w:rsid w:val="00FA613A"/>
    <w:rsid w:val="00FA64F2"/>
    <w:rsid w:val="00FA6FEB"/>
    <w:rsid w:val="00FA7CEF"/>
    <w:rsid w:val="00FB0876"/>
    <w:rsid w:val="00FB110F"/>
    <w:rsid w:val="00FB19B1"/>
    <w:rsid w:val="00FB5D71"/>
    <w:rsid w:val="00FB755D"/>
    <w:rsid w:val="00FB7F49"/>
    <w:rsid w:val="00FC1E9E"/>
    <w:rsid w:val="00FC26A6"/>
    <w:rsid w:val="00FC32F0"/>
    <w:rsid w:val="00FC622C"/>
    <w:rsid w:val="00FC6807"/>
    <w:rsid w:val="00FC6853"/>
    <w:rsid w:val="00FC7DD8"/>
    <w:rsid w:val="00FD12CE"/>
    <w:rsid w:val="00FD14E7"/>
    <w:rsid w:val="00FD21F4"/>
    <w:rsid w:val="00FD348A"/>
    <w:rsid w:val="00FD5BAC"/>
    <w:rsid w:val="00FD6DEF"/>
    <w:rsid w:val="00FD75AD"/>
    <w:rsid w:val="00FE0B68"/>
    <w:rsid w:val="00FE1550"/>
    <w:rsid w:val="00FE29A8"/>
    <w:rsid w:val="00FE2F81"/>
    <w:rsid w:val="00FE3838"/>
    <w:rsid w:val="00FE3DA4"/>
    <w:rsid w:val="00FE4838"/>
    <w:rsid w:val="00FE528B"/>
    <w:rsid w:val="00FE5E96"/>
    <w:rsid w:val="00FE5F5D"/>
    <w:rsid w:val="00FE6F10"/>
    <w:rsid w:val="00FF071E"/>
    <w:rsid w:val="00FF07DF"/>
    <w:rsid w:val="00FF1FF2"/>
    <w:rsid w:val="00FF38D8"/>
    <w:rsid w:val="00FF5C52"/>
    <w:rsid w:val="00FF6311"/>
    <w:rsid w:val="00FF768C"/>
    <w:rsid w:val="01041CB3"/>
    <w:rsid w:val="01257EE7"/>
    <w:rsid w:val="013D0771"/>
    <w:rsid w:val="014D61EE"/>
    <w:rsid w:val="01560EC7"/>
    <w:rsid w:val="0174101E"/>
    <w:rsid w:val="01871E6C"/>
    <w:rsid w:val="01DB3F6C"/>
    <w:rsid w:val="01EE5817"/>
    <w:rsid w:val="01F70926"/>
    <w:rsid w:val="02083952"/>
    <w:rsid w:val="021F0AAE"/>
    <w:rsid w:val="02727976"/>
    <w:rsid w:val="02ED6C57"/>
    <w:rsid w:val="03092DC9"/>
    <w:rsid w:val="031E774B"/>
    <w:rsid w:val="03267DB3"/>
    <w:rsid w:val="034001A4"/>
    <w:rsid w:val="03992AA1"/>
    <w:rsid w:val="03AD5339"/>
    <w:rsid w:val="03DF1CD7"/>
    <w:rsid w:val="03E74598"/>
    <w:rsid w:val="044324C9"/>
    <w:rsid w:val="04487904"/>
    <w:rsid w:val="04646DAC"/>
    <w:rsid w:val="049F1D72"/>
    <w:rsid w:val="04A165FC"/>
    <w:rsid w:val="04A558FE"/>
    <w:rsid w:val="04D1485C"/>
    <w:rsid w:val="04EF2B58"/>
    <w:rsid w:val="052B078E"/>
    <w:rsid w:val="052E0A2D"/>
    <w:rsid w:val="05845690"/>
    <w:rsid w:val="05A67E65"/>
    <w:rsid w:val="05EB6444"/>
    <w:rsid w:val="06036E24"/>
    <w:rsid w:val="06077C38"/>
    <w:rsid w:val="06493297"/>
    <w:rsid w:val="065F2EC2"/>
    <w:rsid w:val="0669319C"/>
    <w:rsid w:val="067B5DA4"/>
    <w:rsid w:val="0684084A"/>
    <w:rsid w:val="06BC06C0"/>
    <w:rsid w:val="06EC74DC"/>
    <w:rsid w:val="074669AB"/>
    <w:rsid w:val="07521C51"/>
    <w:rsid w:val="075C26DC"/>
    <w:rsid w:val="077F4380"/>
    <w:rsid w:val="077F4E68"/>
    <w:rsid w:val="07AC5083"/>
    <w:rsid w:val="07F7348F"/>
    <w:rsid w:val="08036B5F"/>
    <w:rsid w:val="081F759C"/>
    <w:rsid w:val="08201746"/>
    <w:rsid w:val="08365F6A"/>
    <w:rsid w:val="08830D0D"/>
    <w:rsid w:val="08907CFB"/>
    <w:rsid w:val="089F4D89"/>
    <w:rsid w:val="08C256A6"/>
    <w:rsid w:val="08E93A72"/>
    <w:rsid w:val="08F47F67"/>
    <w:rsid w:val="09017594"/>
    <w:rsid w:val="090B67BD"/>
    <w:rsid w:val="0926408B"/>
    <w:rsid w:val="093B4264"/>
    <w:rsid w:val="093D17C2"/>
    <w:rsid w:val="09596033"/>
    <w:rsid w:val="097575D7"/>
    <w:rsid w:val="09814075"/>
    <w:rsid w:val="098774A8"/>
    <w:rsid w:val="098D76A0"/>
    <w:rsid w:val="09AD7CF0"/>
    <w:rsid w:val="09E40CB6"/>
    <w:rsid w:val="09F66A4C"/>
    <w:rsid w:val="0A164C5E"/>
    <w:rsid w:val="0A2773F0"/>
    <w:rsid w:val="0A577A58"/>
    <w:rsid w:val="0A835F09"/>
    <w:rsid w:val="0A883BCF"/>
    <w:rsid w:val="0A903098"/>
    <w:rsid w:val="0ACC73ED"/>
    <w:rsid w:val="0B214FD8"/>
    <w:rsid w:val="0B2A628D"/>
    <w:rsid w:val="0B2E321C"/>
    <w:rsid w:val="0B442CA1"/>
    <w:rsid w:val="0B463F08"/>
    <w:rsid w:val="0B5224F7"/>
    <w:rsid w:val="0B762714"/>
    <w:rsid w:val="0BBF3939"/>
    <w:rsid w:val="0BD51F36"/>
    <w:rsid w:val="0BE44154"/>
    <w:rsid w:val="0BE8016E"/>
    <w:rsid w:val="0BF0408B"/>
    <w:rsid w:val="0C1C16A1"/>
    <w:rsid w:val="0C2B091D"/>
    <w:rsid w:val="0C2E416A"/>
    <w:rsid w:val="0C347107"/>
    <w:rsid w:val="0C424995"/>
    <w:rsid w:val="0C83633D"/>
    <w:rsid w:val="0CB334C1"/>
    <w:rsid w:val="0CC96252"/>
    <w:rsid w:val="0CE64D78"/>
    <w:rsid w:val="0CFE79D1"/>
    <w:rsid w:val="0D0D3F36"/>
    <w:rsid w:val="0D2F7FDA"/>
    <w:rsid w:val="0D405E4A"/>
    <w:rsid w:val="0D454083"/>
    <w:rsid w:val="0D4970D5"/>
    <w:rsid w:val="0D4F4E6D"/>
    <w:rsid w:val="0D9033B9"/>
    <w:rsid w:val="0D9350F6"/>
    <w:rsid w:val="0D960D39"/>
    <w:rsid w:val="0DC82330"/>
    <w:rsid w:val="0E025191"/>
    <w:rsid w:val="0E105C74"/>
    <w:rsid w:val="0E1D3B33"/>
    <w:rsid w:val="0E404C01"/>
    <w:rsid w:val="0E6310C6"/>
    <w:rsid w:val="0E825123"/>
    <w:rsid w:val="0E9648C3"/>
    <w:rsid w:val="0ECA23C8"/>
    <w:rsid w:val="0ED9284C"/>
    <w:rsid w:val="0EE10AB7"/>
    <w:rsid w:val="0EF20945"/>
    <w:rsid w:val="0F143688"/>
    <w:rsid w:val="0F6771AD"/>
    <w:rsid w:val="0F6E6F16"/>
    <w:rsid w:val="0FB9616A"/>
    <w:rsid w:val="0FBF034B"/>
    <w:rsid w:val="0FCB3E38"/>
    <w:rsid w:val="0FCF6D1B"/>
    <w:rsid w:val="0FFD2C50"/>
    <w:rsid w:val="100E5AB8"/>
    <w:rsid w:val="10252CDE"/>
    <w:rsid w:val="10390E8F"/>
    <w:rsid w:val="104C1D49"/>
    <w:rsid w:val="109200B3"/>
    <w:rsid w:val="10BD2F68"/>
    <w:rsid w:val="10C135C7"/>
    <w:rsid w:val="10D2655B"/>
    <w:rsid w:val="10E20B1C"/>
    <w:rsid w:val="113F3D09"/>
    <w:rsid w:val="11462975"/>
    <w:rsid w:val="119C3C0C"/>
    <w:rsid w:val="11AE7785"/>
    <w:rsid w:val="11C94842"/>
    <w:rsid w:val="11C948AB"/>
    <w:rsid w:val="11D62845"/>
    <w:rsid w:val="11F66F3C"/>
    <w:rsid w:val="120A759E"/>
    <w:rsid w:val="1225270A"/>
    <w:rsid w:val="12321D8C"/>
    <w:rsid w:val="12381D29"/>
    <w:rsid w:val="125707F7"/>
    <w:rsid w:val="128451E3"/>
    <w:rsid w:val="128820DE"/>
    <w:rsid w:val="12AE5E46"/>
    <w:rsid w:val="12DC1D35"/>
    <w:rsid w:val="131B2A2B"/>
    <w:rsid w:val="135879FF"/>
    <w:rsid w:val="13677BA4"/>
    <w:rsid w:val="13697C65"/>
    <w:rsid w:val="137B2CE3"/>
    <w:rsid w:val="137E4354"/>
    <w:rsid w:val="13974662"/>
    <w:rsid w:val="139E7AAB"/>
    <w:rsid w:val="13A1750B"/>
    <w:rsid w:val="13B44350"/>
    <w:rsid w:val="13BF1C1B"/>
    <w:rsid w:val="13E814D9"/>
    <w:rsid w:val="141757DA"/>
    <w:rsid w:val="141E5936"/>
    <w:rsid w:val="14283E2E"/>
    <w:rsid w:val="14355B74"/>
    <w:rsid w:val="1451028B"/>
    <w:rsid w:val="145B647B"/>
    <w:rsid w:val="14626B78"/>
    <w:rsid w:val="14637FE8"/>
    <w:rsid w:val="146A6DDF"/>
    <w:rsid w:val="14721A57"/>
    <w:rsid w:val="1472446C"/>
    <w:rsid w:val="14AB6D03"/>
    <w:rsid w:val="14C353E0"/>
    <w:rsid w:val="14D27187"/>
    <w:rsid w:val="14E41328"/>
    <w:rsid w:val="153D60E1"/>
    <w:rsid w:val="15A21992"/>
    <w:rsid w:val="15A31298"/>
    <w:rsid w:val="15DC4AEB"/>
    <w:rsid w:val="16205B47"/>
    <w:rsid w:val="162A2718"/>
    <w:rsid w:val="16481525"/>
    <w:rsid w:val="16746595"/>
    <w:rsid w:val="169306AF"/>
    <w:rsid w:val="16951708"/>
    <w:rsid w:val="169B700C"/>
    <w:rsid w:val="16CC4470"/>
    <w:rsid w:val="1713138D"/>
    <w:rsid w:val="1724063E"/>
    <w:rsid w:val="175707B9"/>
    <w:rsid w:val="176341E4"/>
    <w:rsid w:val="176C5E4C"/>
    <w:rsid w:val="177917DD"/>
    <w:rsid w:val="17904357"/>
    <w:rsid w:val="17B530F4"/>
    <w:rsid w:val="17CD7EF4"/>
    <w:rsid w:val="180F4E3E"/>
    <w:rsid w:val="182D38DD"/>
    <w:rsid w:val="18312ABC"/>
    <w:rsid w:val="18751F97"/>
    <w:rsid w:val="18952D38"/>
    <w:rsid w:val="18975246"/>
    <w:rsid w:val="189E5A91"/>
    <w:rsid w:val="18A80DDC"/>
    <w:rsid w:val="18AC48F5"/>
    <w:rsid w:val="18AF0086"/>
    <w:rsid w:val="18C84AE0"/>
    <w:rsid w:val="18F401FA"/>
    <w:rsid w:val="18F71192"/>
    <w:rsid w:val="191D5F0A"/>
    <w:rsid w:val="1942432E"/>
    <w:rsid w:val="198F4AD4"/>
    <w:rsid w:val="19910D84"/>
    <w:rsid w:val="19A3476E"/>
    <w:rsid w:val="19AF0886"/>
    <w:rsid w:val="19BE353C"/>
    <w:rsid w:val="19C82584"/>
    <w:rsid w:val="19D17680"/>
    <w:rsid w:val="19F90264"/>
    <w:rsid w:val="1A1E128D"/>
    <w:rsid w:val="1A290204"/>
    <w:rsid w:val="1A6228E2"/>
    <w:rsid w:val="1A6F2B2E"/>
    <w:rsid w:val="1A7003C8"/>
    <w:rsid w:val="1A7307FE"/>
    <w:rsid w:val="1A7E7471"/>
    <w:rsid w:val="1AD00F92"/>
    <w:rsid w:val="1ADE18BE"/>
    <w:rsid w:val="1AE02563"/>
    <w:rsid w:val="1AEC07D5"/>
    <w:rsid w:val="1B525F6D"/>
    <w:rsid w:val="1B8E1E29"/>
    <w:rsid w:val="1BA70757"/>
    <w:rsid w:val="1BAB5B95"/>
    <w:rsid w:val="1BB42B29"/>
    <w:rsid w:val="1BB672F1"/>
    <w:rsid w:val="1BDF1A81"/>
    <w:rsid w:val="1C335D5D"/>
    <w:rsid w:val="1C7E42D8"/>
    <w:rsid w:val="1C84693E"/>
    <w:rsid w:val="1CB10335"/>
    <w:rsid w:val="1CD62758"/>
    <w:rsid w:val="1CD74072"/>
    <w:rsid w:val="1CD77BDA"/>
    <w:rsid w:val="1D2C67A0"/>
    <w:rsid w:val="1D32130A"/>
    <w:rsid w:val="1D877440"/>
    <w:rsid w:val="1DC515DB"/>
    <w:rsid w:val="1DC52527"/>
    <w:rsid w:val="1DDA22C2"/>
    <w:rsid w:val="1E300EB0"/>
    <w:rsid w:val="1E481E02"/>
    <w:rsid w:val="1E5E1C13"/>
    <w:rsid w:val="1E60414C"/>
    <w:rsid w:val="1E637801"/>
    <w:rsid w:val="1E780646"/>
    <w:rsid w:val="1E895EC8"/>
    <w:rsid w:val="1E8D5B19"/>
    <w:rsid w:val="1E93254D"/>
    <w:rsid w:val="1EA56828"/>
    <w:rsid w:val="1EB53FEB"/>
    <w:rsid w:val="1ECA4E3F"/>
    <w:rsid w:val="1EDC61D7"/>
    <w:rsid w:val="1EF85885"/>
    <w:rsid w:val="1F066B0E"/>
    <w:rsid w:val="1F22738E"/>
    <w:rsid w:val="1F82362F"/>
    <w:rsid w:val="1F8A342F"/>
    <w:rsid w:val="1F8A4498"/>
    <w:rsid w:val="1F905564"/>
    <w:rsid w:val="1FB17B88"/>
    <w:rsid w:val="1FD469C9"/>
    <w:rsid w:val="1FF515BB"/>
    <w:rsid w:val="20173898"/>
    <w:rsid w:val="204F04A2"/>
    <w:rsid w:val="20506303"/>
    <w:rsid w:val="206248B0"/>
    <w:rsid w:val="209C19DA"/>
    <w:rsid w:val="20A470C0"/>
    <w:rsid w:val="20ED6174"/>
    <w:rsid w:val="215F5B4C"/>
    <w:rsid w:val="216A48C4"/>
    <w:rsid w:val="21A533C7"/>
    <w:rsid w:val="21BC6298"/>
    <w:rsid w:val="21BF4A4F"/>
    <w:rsid w:val="21C27971"/>
    <w:rsid w:val="2209104C"/>
    <w:rsid w:val="22211243"/>
    <w:rsid w:val="22495E52"/>
    <w:rsid w:val="22670D95"/>
    <w:rsid w:val="229F3D62"/>
    <w:rsid w:val="22A14FD4"/>
    <w:rsid w:val="22CD0921"/>
    <w:rsid w:val="22D4306E"/>
    <w:rsid w:val="22E37AB0"/>
    <w:rsid w:val="23040D80"/>
    <w:rsid w:val="23095500"/>
    <w:rsid w:val="23151720"/>
    <w:rsid w:val="231B1655"/>
    <w:rsid w:val="233954CC"/>
    <w:rsid w:val="23434F34"/>
    <w:rsid w:val="235D4ACF"/>
    <w:rsid w:val="23BA4A6C"/>
    <w:rsid w:val="23BB4731"/>
    <w:rsid w:val="240F0383"/>
    <w:rsid w:val="24166655"/>
    <w:rsid w:val="244E39E2"/>
    <w:rsid w:val="247D039F"/>
    <w:rsid w:val="24887EDA"/>
    <w:rsid w:val="24CD6E59"/>
    <w:rsid w:val="24D1505A"/>
    <w:rsid w:val="24ED0B1A"/>
    <w:rsid w:val="2515183F"/>
    <w:rsid w:val="25155A27"/>
    <w:rsid w:val="25786093"/>
    <w:rsid w:val="25C8136E"/>
    <w:rsid w:val="25F6500A"/>
    <w:rsid w:val="2635368B"/>
    <w:rsid w:val="2655561D"/>
    <w:rsid w:val="26683325"/>
    <w:rsid w:val="26826BA7"/>
    <w:rsid w:val="27034FC0"/>
    <w:rsid w:val="270D4AA7"/>
    <w:rsid w:val="274B75EB"/>
    <w:rsid w:val="276058D2"/>
    <w:rsid w:val="27890553"/>
    <w:rsid w:val="279B0629"/>
    <w:rsid w:val="27AB45A3"/>
    <w:rsid w:val="27FA30C1"/>
    <w:rsid w:val="28060C7F"/>
    <w:rsid w:val="280A178C"/>
    <w:rsid w:val="28123302"/>
    <w:rsid w:val="28457DB7"/>
    <w:rsid w:val="28563D99"/>
    <w:rsid w:val="28581D65"/>
    <w:rsid w:val="28677DC2"/>
    <w:rsid w:val="28683BF6"/>
    <w:rsid w:val="286F0248"/>
    <w:rsid w:val="2872719C"/>
    <w:rsid w:val="2877474D"/>
    <w:rsid w:val="289D7AC6"/>
    <w:rsid w:val="28AE3FDA"/>
    <w:rsid w:val="28B846D6"/>
    <w:rsid w:val="290E27E4"/>
    <w:rsid w:val="291615EF"/>
    <w:rsid w:val="291839F8"/>
    <w:rsid w:val="292613B8"/>
    <w:rsid w:val="29541B34"/>
    <w:rsid w:val="29577CB5"/>
    <w:rsid w:val="29655940"/>
    <w:rsid w:val="297946D8"/>
    <w:rsid w:val="29872AC5"/>
    <w:rsid w:val="29A5010A"/>
    <w:rsid w:val="29E30132"/>
    <w:rsid w:val="2A097DDB"/>
    <w:rsid w:val="2A2C4A57"/>
    <w:rsid w:val="2A4414AC"/>
    <w:rsid w:val="2A740854"/>
    <w:rsid w:val="2ACC16C4"/>
    <w:rsid w:val="2B220E07"/>
    <w:rsid w:val="2B403A68"/>
    <w:rsid w:val="2B612A0C"/>
    <w:rsid w:val="2B6864EA"/>
    <w:rsid w:val="2B6F28E0"/>
    <w:rsid w:val="2BA555AD"/>
    <w:rsid w:val="2BB36CC3"/>
    <w:rsid w:val="2BE55056"/>
    <w:rsid w:val="2C10349E"/>
    <w:rsid w:val="2C3839CA"/>
    <w:rsid w:val="2C617FF6"/>
    <w:rsid w:val="2C855E79"/>
    <w:rsid w:val="2C934619"/>
    <w:rsid w:val="2CA3312E"/>
    <w:rsid w:val="2CA473D6"/>
    <w:rsid w:val="2CC13407"/>
    <w:rsid w:val="2CC22CCB"/>
    <w:rsid w:val="2CC56EA2"/>
    <w:rsid w:val="2D06552D"/>
    <w:rsid w:val="2D161567"/>
    <w:rsid w:val="2D9B76CA"/>
    <w:rsid w:val="2DAD312D"/>
    <w:rsid w:val="2DD8533E"/>
    <w:rsid w:val="2DF86567"/>
    <w:rsid w:val="2E03135E"/>
    <w:rsid w:val="2E091171"/>
    <w:rsid w:val="2E247394"/>
    <w:rsid w:val="2E260F30"/>
    <w:rsid w:val="2E371578"/>
    <w:rsid w:val="2E3C055E"/>
    <w:rsid w:val="2E463BEC"/>
    <w:rsid w:val="2E606846"/>
    <w:rsid w:val="2E8F3B34"/>
    <w:rsid w:val="2ECE38A8"/>
    <w:rsid w:val="2F3403EC"/>
    <w:rsid w:val="2F531A12"/>
    <w:rsid w:val="2F6978AC"/>
    <w:rsid w:val="2F722989"/>
    <w:rsid w:val="2FB94BA7"/>
    <w:rsid w:val="2FD94F5A"/>
    <w:rsid w:val="2FF50E40"/>
    <w:rsid w:val="301D0EE7"/>
    <w:rsid w:val="304F5B95"/>
    <w:rsid w:val="309C2237"/>
    <w:rsid w:val="30B655BC"/>
    <w:rsid w:val="30C3113F"/>
    <w:rsid w:val="30F33A69"/>
    <w:rsid w:val="30F91DF3"/>
    <w:rsid w:val="30FF13D4"/>
    <w:rsid w:val="310849AD"/>
    <w:rsid w:val="31103E6B"/>
    <w:rsid w:val="31377BBE"/>
    <w:rsid w:val="314E4FA0"/>
    <w:rsid w:val="315F311B"/>
    <w:rsid w:val="31614EA5"/>
    <w:rsid w:val="316A44C8"/>
    <w:rsid w:val="31961696"/>
    <w:rsid w:val="31A0130C"/>
    <w:rsid w:val="31A161F1"/>
    <w:rsid w:val="31B9273E"/>
    <w:rsid w:val="31BB59D6"/>
    <w:rsid w:val="31CE615F"/>
    <w:rsid w:val="31E44CCF"/>
    <w:rsid w:val="32127779"/>
    <w:rsid w:val="322F7B4D"/>
    <w:rsid w:val="325F1A24"/>
    <w:rsid w:val="327D7C08"/>
    <w:rsid w:val="328D571E"/>
    <w:rsid w:val="32B2145D"/>
    <w:rsid w:val="32C66C2F"/>
    <w:rsid w:val="32E109B2"/>
    <w:rsid w:val="332348EF"/>
    <w:rsid w:val="332600FF"/>
    <w:rsid w:val="334C6086"/>
    <w:rsid w:val="33765777"/>
    <w:rsid w:val="33AD1686"/>
    <w:rsid w:val="33BD6BC8"/>
    <w:rsid w:val="33C75812"/>
    <w:rsid w:val="33E258B7"/>
    <w:rsid w:val="33F578CB"/>
    <w:rsid w:val="34000843"/>
    <w:rsid w:val="34135C66"/>
    <w:rsid w:val="34285776"/>
    <w:rsid w:val="3434765B"/>
    <w:rsid w:val="344165CA"/>
    <w:rsid w:val="344B4835"/>
    <w:rsid w:val="3453558D"/>
    <w:rsid w:val="347D3DE1"/>
    <w:rsid w:val="3494454D"/>
    <w:rsid w:val="352306D5"/>
    <w:rsid w:val="35422981"/>
    <w:rsid w:val="35430AD2"/>
    <w:rsid w:val="35590D73"/>
    <w:rsid w:val="35BB3C6B"/>
    <w:rsid w:val="35F958E4"/>
    <w:rsid w:val="361B1E7A"/>
    <w:rsid w:val="362C0EDF"/>
    <w:rsid w:val="362C3468"/>
    <w:rsid w:val="367D23EC"/>
    <w:rsid w:val="36AC33A2"/>
    <w:rsid w:val="36AC3FAF"/>
    <w:rsid w:val="36F32A95"/>
    <w:rsid w:val="36F3688A"/>
    <w:rsid w:val="375931B0"/>
    <w:rsid w:val="378F5623"/>
    <w:rsid w:val="37914D79"/>
    <w:rsid w:val="379F5604"/>
    <w:rsid w:val="37A83166"/>
    <w:rsid w:val="37B4432D"/>
    <w:rsid w:val="37BF7658"/>
    <w:rsid w:val="37F17EDA"/>
    <w:rsid w:val="37FD1E70"/>
    <w:rsid w:val="38075B86"/>
    <w:rsid w:val="38202DE9"/>
    <w:rsid w:val="383F6A95"/>
    <w:rsid w:val="38960696"/>
    <w:rsid w:val="39106BA9"/>
    <w:rsid w:val="3913269E"/>
    <w:rsid w:val="39215A73"/>
    <w:rsid w:val="39254C77"/>
    <w:rsid w:val="393728AD"/>
    <w:rsid w:val="396F0B7C"/>
    <w:rsid w:val="39721668"/>
    <w:rsid w:val="39981654"/>
    <w:rsid w:val="39C456B1"/>
    <w:rsid w:val="3A257495"/>
    <w:rsid w:val="3A3E0D09"/>
    <w:rsid w:val="3A4E60AD"/>
    <w:rsid w:val="3A656771"/>
    <w:rsid w:val="3AF75B3E"/>
    <w:rsid w:val="3AFD06B0"/>
    <w:rsid w:val="3B3A30CF"/>
    <w:rsid w:val="3B7F40AD"/>
    <w:rsid w:val="3B843378"/>
    <w:rsid w:val="3BC30807"/>
    <w:rsid w:val="3BCA762E"/>
    <w:rsid w:val="3BD25442"/>
    <w:rsid w:val="3BDE13CB"/>
    <w:rsid w:val="3C21314E"/>
    <w:rsid w:val="3CCE5846"/>
    <w:rsid w:val="3CFC6B0A"/>
    <w:rsid w:val="3D083893"/>
    <w:rsid w:val="3D176F56"/>
    <w:rsid w:val="3D19114F"/>
    <w:rsid w:val="3D4745F6"/>
    <w:rsid w:val="3D5428D5"/>
    <w:rsid w:val="3D5F245F"/>
    <w:rsid w:val="3D75293E"/>
    <w:rsid w:val="3D836657"/>
    <w:rsid w:val="3DE96605"/>
    <w:rsid w:val="3DFA592D"/>
    <w:rsid w:val="3E137E70"/>
    <w:rsid w:val="3E1E582F"/>
    <w:rsid w:val="3E5C0234"/>
    <w:rsid w:val="3E67797A"/>
    <w:rsid w:val="3E974E72"/>
    <w:rsid w:val="3EC64F89"/>
    <w:rsid w:val="3F0A2ABE"/>
    <w:rsid w:val="3F3C2C22"/>
    <w:rsid w:val="3F541BA3"/>
    <w:rsid w:val="400C75BC"/>
    <w:rsid w:val="40134B9B"/>
    <w:rsid w:val="401A7F9F"/>
    <w:rsid w:val="401E634D"/>
    <w:rsid w:val="40321D52"/>
    <w:rsid w:val="403B3842"/>
    <w:rsid w:val="40557B9C"/>
    <w:rsid w:val="406C7FCC"/>
    <w:rsid w:val="40714262"/>
    <w:rsid w:val="40A8308A"/>
    <w:rsid w:val="40B05E0F"/>
    <w:rsid w:val="40B1564A"/>
    <w:rsid w:val="40B702BA"/>
    <w:rsid w:val="41471675"/>
    <w:rsid w:val="41561F78"/>
    <w:rsid w:val="418C3C31"/>
    <w:rsid w:val="41AE2F43"/>
    <w:rsid w:val="41BA676C"/>
    <w:rsid w:val="41D73C50"/>
    <w:rsid w:val="41ED289E"/>
    <w:rsid w:val="41EE3C1C"/>
    <w:rsid w:val="42077A21"/>
    <w:rsid w:val="420F6018"/>
    <w:rsid w:val="422F13CA"/>
    <w:rsid w:val="4274558C"/>
    <w:rsid w:val="42875D01"/>
    <w:rsid w:val="4289724D"/>
    <w:rsid w:val="428D7F9F"/>
    <w:rsid w:val="428E6834"/>
    <w:rsid w:val="42965F37"/>
    <w:rsid w:val="42AF1E3C"/>
    <w:rsid w:val="42C93CFD"/>
    <w:rsid w:val="42D60EA1"/>
    <w:rsid w:val="42EE6D86"/>
    <w:rsid w:val="42EF015F"/>
    <w:rsid w:val="432B34B5"/>
    <w:rsid w:val="433072F0"/>
    <w:rsid w:val="434D3B9B"/>
    <w:rsid w:val="439B2008"/>
    <w:rsid w:val="439D4423"/>
    <w:rsid w:val="43A805F2"/>
    <w:rsid w:val="43AE77DE"/>
    <w:rsid w:val="43BC76DC"/>
    <w:rsid w:val="43C00160"/>
    <w:rsid w:val="43C526CE"/>
    <w:rsid w:val="43DB38C8"/>
    <w:rsid w:val="44377B28"/>
    <w:rsid w:val="445E21BB"/>
    <w:rsid w:val="44660E04"/>
    <w:rsid w:val="449020E8"/>
    <w:rsid w:val="44926D35"/>
    <w:rsid w:val="449826AE"/>
    <w:rsid w:val="44D14608"/>
    <w:rsid w:val="44D14A1D"/>
    <w:rsid w:val="44F63787"/>
    <w:rsid w:val="455C04C1"/>
    <w:rsid w:val="45607FE9"/>
    <w:rsid w:val="45630689"/>
    <w:rsid w:val="4584078F"/>
    <w:rsid w:val="45A000B3"/>
    <w:rsid w:val="45A44B68"/>
    <w:rsid w:val="45CB4802"/>
    <w:rsid w:val="45D362BD"/>
    <w:rsid w:val="45ED3221"/>
    <w:rsid w:val="460B3A11"/>
    <w:rsid w:val="46251AD3"/>
    <w:rsid w:val="462A1D48"/>
    <w:rsid w:val="46827E0C"/>
    <w:rsid w:val="468E4C75"/>
    <w:rsid w:val="46CD207B"/>
    <w:rsid w:val="472072C9"/>
    <w:rsid w:val="4745226B"/>
    <w:rsid w:val="474F611B"/>
    <w:rsid w:val="475E2DB4"/>
    <w:rsid w:val="47A71933"/>
    <w:rsid w:val="47F13EB3"/>
    <w:rsid w:val="48077B09"/>
    <w:rsid w:val="481F4517"/>
    <w:rsid w:val="48320334"/>
    <w:rsid w:val="48712253"/>
    <w:rsid w:val="48E34E0B"/>
    <w:rsid w:val="48F637B2"/>
    <w:rsid w:val="48F940E9"/>
    <w:rsid w:val="49522E5F"/>
    <w:rsid w:val="495E4C4F"/>
    <w:rsid w:val="498324B9"/>
    <w:rsid w:val="49B02C43"/>
    <w:rsid w:val="4A0554BD"/>
    <w:rsid w:val="4A0601E4"/>
    <w:rsid w:val="4A19378C"/>
    <w:rsid w:val="4A747FBB"/>
    <w:rsid w:val="4AA13FB0"/>
    <w:rsid w:val="4ACD7F04"/>
    <w:rsid w:val="4ACF7F57"/>
    <w:rsid w:val="4ADA375F"/>
    <w:rsid w:val="4AEE037C"/>
    <w:rsid w:val="4B3A2663"/>
    <w:rsid w:val="4B4548DC"/>
    <w:rsid w:val="4BD60697"/>
    <w:rsid w:val="4BFD6CE4"/>
    <w:rsid w:val="4C0130F7"/>
    <w:rsid w:val="4C1F375F"/>
    <w:rsid w:val="4C6C392B"/>
    <w:rsid w:val="4CAD3364"/>
    <w:rsid w:val="4CC55814"/>
    <w:rsid w:val="4CEC6886"/>
    <w:rsid w:val="4CEE43A1"/>
    <w:rsid w:val="4CEF46D1"/>
    <w:rsid w:val="4CF37E50"/>
    <w:rsid w:val="4D117C84"/>
    <w:rsid w:val="4D1F637E"/>
    <w:rsid w:val="4D2575C3"/>
    <w:rsid w:val="4D2E6202"/>
    <w:rsid w:val="4D6D435C"/>
    <w:rsid w:val="4D7D32A0"/>
    <w:rsid w:val="4D8F0DD4"/>
    <w:rsid w:val="4D9D5795"/>
    <w:rsid w:val="4DBB7523"/>
    <w:rsid w:val="4DC90FBD"/>
    <w:rsid w:val="4DCA147C"/>
    <w:rsid w:val="4DE1407F"/>
    <w:rsid w:val="4DED1422"/>
    <w:rsid w:val="4DEF0CA9"/>
    <w:rsid w:val="4E156551"/>
    <w:rsid w:val="4E27001A"/>
    <w:rsid w:val="4E320FF5"/>
    <w:rsid w:val="4E622165"/>
    <w:rsid w:val="4E7A0233"/>
    <w:rsid w:val="4E8179DF"/>
    <w:rsid w:val="4EC779E3"/>
    <w:rsid w:val="4EC818A2"/>
    <w:rsid w:val="4ECC2063"/>
    <w:rsid w:val="4ED232D5"/>
    <w:rsid w:val="4F1770EF"/>
    <w:rsid w:val="4F2B09D5"/>
    <w:rsid w:val="4F4C3012"/>
    <w:rsid w:val="4F7F3133"/>
    <w:rsid w:val="4F9A2F5C"/>
    <w:rsid w:val="4FC50B16"/>
    <w:rsid w:val="4FEA2B15"/>
    <w:rsid w:val="4FFF46F5"/>
    <w:rsid w:val="5016385F"/>
    <w:rsid w:val="502A0FE5"/>
    <w:rsid w:val="502D356C"/>
    <w:rsid w:val="50603347"/>
    <w:rsid w:val="506A1C3F"/>
    <w:rsid w:val="50B742BD"/>
    <w:rsid w:val="50BA0FCE"/>
    <w:rsid w:val="50C552E6"/>
    <w:rsid w:val="50DF4493"/>
    <w:rsid w:val="51040129"/>
    <w:rsid w:val="514A3D49"/>
    <w:rsid w:val="51544DF4"/>
    <w:rsid w:val="51571ADD"/>
    <w:rsid w:val="51AF17B5"/>
    <w:rsid w:val="51E15FED"/>
    <w:rsid w:val="525915C7"/>
    <w:rsid w:val="525D79A1"/>
    <w:rsid w:val="52C00FE1"/>
    <w:rsid w:val="52C2661B"/>
    <w:rsid w:val="530F7F15"/>
    <w:rsid w:val="53102BFB"/>
    <w:rsid w:val="5313417F"/>
    <w:rsid w:val="53877079"/>
    <w:rsid w:val="539571D0"/>
    <w:rsid w:val="53A41FEB"/>
    <w:rsid w:val="53B100F7"/>
    <w:rsid w:val="53B15848"/>
    <w:rsid w:val="53FD3890"/>
    <w:rsid w:val="54052547"/>
    <w:rsid w:val="542F12E6"/>
    <w:rsid w:val="544305A0"/>
    <w:rsid w:val="54581EDE"/>
    <w:rsid w:val="54883552"/>
    <w:rsid w:val="548B3204"/>
    <w:rsid w:val="54D44427"/>
    <w:rsid w:val="54EF5C89"/>
    <w:rsid w:val="54FA2E20"/>
    <w:rsid w:val="550321CB"/>
    <w:rsid w:val="552121CF"/>
    <w:rsid w:val="55277195"/>
    <w:rsid w:val="55297A39"/>
    <w:rsid w:val="55310306"/>
    <w:rsid w:val="5544217F"/>
    <w:rsid w:val="554D79E0"/>
    <w:rsid w:val="557F1D2F"/>
    <w:rsid w:val="557F2CB9"/>
    <w:rsid w:val="559733C2"/>
    <w:rsid w:val="55B30EA8"/>
    <w:rsid w:val="55EC51CE"/>
    <w:rsid w:val="55EE15D0"/>
    <w:rsid w:val="55F97021"/>
    <w:rsid w:val="55FB6D80"/>
    <w:rsid w:val="5607668C"/>
    <w:rsid w:val="56277F8F"/>
    <w:rsid w:val="56424F8C"/>
    <w:rsid w:val="56865062"/>
    <w:rsid w:val="56A45C1A"/>
    <w:rsid w:val="56E219C8"/>
    <w:rsid w:val="56FF564A"/>
    <w:rsid w:val="570E21E3"/>
    <w:rsid w:val="571836A3"/>
    <w:rsid w:val="57534D95"/>
    <w:rsid w:val="576E061A"/>
    <w:rsid w:val="57861C48"/>
    <w:rsid w:val="578D4374"/>
    <w:rsid w:val="578E7B60"/>
    <w:rsid w:val="57BD5C1B"/>
    <w:rsid w:val="57D42F00"/>
    <w:rsid w:val="57E37649"/>
    <w:rsid w:val="57EA7174"/>
    <w:rsid w:val="57EF1B0A"/>
    <w:rsid w:val="58545E82"/>
    <w:rsid w:val="586B23FD"/>
    <w:rsid w:val="587553E6"/>
    <w:rsid w:val="587E2DD8"/>
    <w:rsid w:val="58AF087A"/>
    <w:rsid w:val="58D60D7A"/>
    <w:rsid w:val="58F315DB"/>
    <w:rsid w:val="58FD0F95"/>
    <w:rsid w:val="59317327"/>
    <w:rsid w:val="59547ADE"/>
    <w:rsid w:val="596245FB"/>
    <w:rsid w:val="59B810BA"/>
    <w:rsid w:val="59BC3E4A"/>
    <w:rsid w:val="59C712C7"/>
    <w:rsid w:val="59CD6596"/>
    <w:rsid w:val="59DA1659"/>
    <w:rsid w:val="59E93D84"/>
    <w:rsid w:val="59F41A87"/>
    <w:rsid w:val="5A0C2A1B"/>
    <w:rsid w:val="5A2012C6"/>
    <w:rsid w:val="5A406A7D"/>
    <w:rsid w:val="5A46667B"/>
    <w:rsid w:val="5A707F11"/>
    <w:rsid w:val="5A914891"/>
    <w:rsid w:val="5A914FFF"/>
    <w:rsid w:val="5A970C1E"/>
    <w:rsid w:val="5A983FA2"/>
    <w:rsid w:val="5AA1612D"/>
    <w:rsid w:val="5AA270EF"/>
    <w:rsid w:val="5AB27690"/>
    <w:rsid w:val="5B572BD6"/>
    <w:rsid w:val="5B5744D4"/>
    <w:rsid w:val="5B7F2689"/>
    <w:rsid w:val="5B940D18"/>
    <w:rsid w:val="5BBD7B15"/>
    <w:rsid w:val="5BFB01BA"/>
    <w:rsid w:val="5C0A42C8"/>
    <w:rsid w:val="5C2712BB"/>
    <w:rsid w:val="5C511F06"/>
    <w:rsid w:val="5CD17463"/>
    <w:rsid w:val="5CDA0152"/>
    <w:rsid w:val="5D045683"/>
    <w:rsid w:val="5D074634"/>
    <w:rsid w:val="5D0E1D0F"/>
    <w:rsid w:val="5D1414D5"/>
    <w:rsid w:val="5D1A09A2"/>
    <w:rsid w:val="5D4B02A2"/>
    <w:rsid w:val="5D8540C3"/>
    <w:rsid w:val="5DA664E9"/>
    <w:rsid w:val="5DC130A1"/>
    <w:rsid w:val="5DC52D64"/>
    <w:rsid w:val="5DE41748"/>
    <w:rsid w:val="5DE7130B"/>
    <w:rsid w:val="5E0303F3"/>
    <w:rsid w:val="5E172E7F"/>
    <w:rsid w:val="5E23347A"/>
    <w:rsid w:val="5E520F0E"/>
    <w:rsid w:val="5E5251C2"/>
    <w:rsid w:val="5EDF7334"/>
    <w:rsid w:val="5EF26FC8"/>
    <w:rsid w:val="5F08355A"/>
    <w:rsid w:val="5F1500D5"/>
    <w:rsid w:val="5F307D28"/>
    <w:rsid w:val="5F47087C"/>
    <w:rsid w:val="5F722AAD"/>
    <w:rsid w:val="5F753B87"/>
    <w:rsid w:val="5F806A53"/>
    <w:rsid w:val="5F9D5490"/>
    <w:rsid w:val="5FB64619"/>
    <w:rsid w:val="60C077FB"/>
    <w:rsid w:val="60C643C6"/>
    <w:rsid w:val="60E05CFF"/>
    <w:rsid w:val="60FA608F"/>
    <w:rsid w:val="6151023D"/>
    <w:rsid w:val="618658F7"/>
    <w:rsid w:val="61A076E7"/>
    <w:rsid w:val="61FB3662"/>
    <w:rsid w:val="62163DDE"/>
    <w:rsid w:val="62192143"/>
    <w:rsid w:val="6221716C"/>
    <w:rsid w:val="62381AC1"/>
    <w:rsid w:val="624C5B24"/>
    <w:rsid w:val="624E1924"/>
    <w:rsid w:val="629D0CA7"/>
    <w:rsid w:val="62A54439"/>
    <w:rsid w:val="62C03E57"/>
    <w:rsid w:val="62D83191"/>
    <w:rsid w:val="62DA3938"/>
    <w:rsid w:val="632A6CD6"/>
    <w:rsid w:val="633B51FE"/>
    <w:rsid w:val="634F5E92"/>
    <w:rsid w:val="634F6CED"/>
    <w:rsid w:val="63632B8E"/>
    <w:rsid w:val="63DD0606"/>
    <w:rsid w:val="63EB79C1"/>
    <w:rsid w:val="640123EE"/>
    <w:rsid w:val="642575E8"/>
    <w:rsid w:val="646167AA"/>
    <w:rsid w:val="6490517D"/>
    <w:rsid w:val="649316B4"/>
    <w:rsid w:val="64C61424"/>
    <w:rsid w:val="64E301BB"/>
    <w:rsid w:val="65053A31"/>
    <w:rsid w:val="651F4584"/>
    <w:rsid w:val="65434E0C"/>
    <w:rsid w:val="656106CE"/>
    <w:rsid w:val="65851CAE"/>
    <w:rsid w:val="65B9402B"/>
    <w:rsid w:val="65D4170A"/>
    <w:rsid w:val="65DE1621"/>
    <w:rsid w:val="66121286"/>
    <w:rsid w:val="662A0715"/>
    <w:rsid w:val="662E1A3E"/>
    <w:rsid w:val="666E4A9F"/>
    <w:rsid w:val="667D407C"/>
    <w:rsid w:val="669A444B"/>
    <w:rsid w:val="66D51E89"/>
    <w:rsid w:val="6707324A"/>
    <w:rsid w:val="67085A59"/>
    <w:rsid w:val="6711337D"/>
    <w:rsid w:val="671E6A40"/>
    <w:rsid w:val="67433087"/>
    <w:rsid w:val="67B67B12"/>
    <w:rsid w:val="67F57F3A"/>
    <w:rsid w:val="68152042"/>
    <w:rsid w:val="681660DC"/>
    <w:rsid w:val="6819026D"/>
    <w:rsid w:val="684D17CB"/>
    <w:rsid w:val="6865323F"/>
    <w:rsid w:val="68702007"/>
    <w:rsid w:val="68A708C4"/>
    <w:rsid w:val="68DC7C8A"/>
    <w:rsid w:val="68E66501"/>
    <w:rsid w:val="68FB436D"/>
    <w:rsid w:val="690B0883"/>
    <w:rsid w:val="694748B8"/>
    <w:rsid w:val="69BB3D17"/>
    <w:rsid w:val="69E83184"/>
    <w:rsid w:val="6A2821C3"/>
    <w:rsid w:val="6AE85A9F"/>
    <w:rsid w:val="6AEE4B55"/>
    <w:rsid w:val="6AF27E33"/>
    <w:rsid w:val="6AF756C5"/>
    <w:rsid w:val="6B2B5CF9"/>
    <w:rsid w:val="6B880341"/>
    <w:rsid w:val="6B985891"/>
    <w:rsid w:val="6BB43B26"/>
    <w:rsid w:val="6BC1205D"/>
    <w:rsid w:val="6BC475FD"/>
    <w:rsid w:val="6BD60812"/>
    <w:rsid w:val="6C356DF8"/>
    <w:rsid w:val="6C3A5F99"/>
    <w:rsid w:val="6C5061B9"/>
    <w:rsid w:val="6C5462CE"/>
    <w:rsid w:val="6C734CD0"/>
    <w:rsid w:val="6C8E30E2"/>
    <w:rsid w:val="6CA01639"/>
    <w:rsid w:val="6CC754CF"/>
    <w:rsid w:val="6CC945B9"/>
    <w:rsid w:val="6D06206F"/>
    <w:rsid w:val="6D3F5F45"/>
    <w:rsid w:val="6D4070FD"/>
    <w:rsid w:val="6D4E2193"/>
    <w:rsid w:val="6D686108"/>
    <w:rsid w:val="6D6B4B82"/>
    <w:rsid w:val="6DAD0A80"/>
    <w:rsid w:val="6DE87E0B"/>
    <w:rsid w:val="6DF55442"/>
    <w:rsid w:val="6E021E6C"/>
    <w:rsid w:val="6E0B1A55"/>
    <w:rsid w:val="6E1439DD"/>
    <w:rsid w:val="6E18361A"/>
    <w:rsid w:val="6E637B8B"/>
    <w:rsid w:val="6E6F657B"/>
    <w:rsid w:val="6E837DF7"/>
    <w:rsid w:val="6E8A2275"/>
    <w:rsid w:val="6E9F665C"/>
    <w:rsid w:val="6EEE0E8F"/>
    <w:rsid w:val="6F09124B"/>
    <w:rsid w:val="6F4A573A"/>
    <w:rsid w:val="6F4F0F99"/>
    <w:rsid w:val="6FAA60B4"/>
    <w:rsid w:val="6FB34A40"/>
    <w:rsid w:val="6FC86DA6"/>
    <w:rsid w:val="6FF115B0"/>
    <w:rsid w:val="701B06E6"/>
    <w:rsid w:val="709B66F1"/>
    <w:rsid w:val="70AA0163"/>
    <w:rsid w:val="70AB013B"/>
    <w:rsid w:val="70EF2775"/>
    <w:rsid w:val="70EF6A7A"/>
    <w:rsid w:val="71016540"/>
    <w:rsid w:val="713778D7"/>
    <w:rsid w:val="715D4466"/>
    <w:rsid w:val="717B4CFC"/>
    <w:rsid w:val="71976536"/>
    <w:rsid w:val="71B44916"/>
    <w:rsid w:val="71BA2D87"/>
    <w:rsid w:val="71BE1B5A"/>
    <w:rsid w:val="71DD58CC"/>
    <w:rsid w:val="71EB7669"/>
    <w:rsid w:val="722B7319"/>
    <w:rsid w:val="72540934"/>
    <w:rsid w:val="72542494"/>
    <w:rsid w:val="727E575E"/>
    <w:rsid w:val="729E5F33"/>
    <w:rsid w:val="72B953BF"/>
    <w:rsid w:val="72CF60D2"/>
    <w:rsid w:val="72F15014"/>
    <w:rsid w:val="730E0E5B"/>
    <w:rsid w:val="732225E7"/>
    <w:rsid w:val="7357557B"/>
    <w:rsid w:val="735A4333"/>
    <w:rsid w:val="7362137C"/>
    <w:rsid w:val="737D3C2C"/>
    <w:rsid w:val="73A23763"/>
    <w:rsid w:val="73A40C04"/>
    <w:rsid w:val="73DE4BB9"/>
    <w:rsid w:val="73EA6505"/>
    <w:rsid w:val="73EC374C"/>
    <w:rsid w:val="744E2730"/>
    <w:rsid w:val="749D2BF2"/>
    <w:rsid w:val="74A33A26"/>
    <w:rsid w:val="74B15203"/>
    <w:rsid w:val="74D82386"/>
    <w:rsid w:val="74D931C0"/>
    <w:rsid w:val="74DF34FA"/>
    <w:rsid w:val="74E60E2B"/>
    <w:rsid w:val="75211EAA"/>
    <w:rsid w:val="75682CD3"/>
    <w:rsid w:val="759A1104"/>
    <w:rsid w:val="75C22685"/>
    <w:rsid w:val="76114DBC"/>
    <w:rsid w:val="76124461"/>
    <w:rsid w:val="76180D42"/>
    <w:rsid w:val="762D1F5A"/>
    <w:rsid w:val="7697327A"/>
    <w:rsid w:val="76A44AE7"/>
    <w:rsid w:val="76A61578"/>
    <w:rsid w:val="76CD3FE8"/>
    <w:rsid w:val="76E81E70"/>
    <w:rsid w:val="76FF5611"/>
    <w:rsid w:val="77077AE9"/>
    <w:rsid w:val="771A2D8E"/>
    <w:rsid w:val="774E4D21"/>
    <w:rsid w:val="777A2546"/>
    <w:rsid w:val="77995753"/>
    <w:rsid w:val="77BF7CF3"/>
    <w:rsid w:val="77C64689"/>
    <w:rsid w:val="77CD4E88"/>
    <w:rsid w:val="78190C06"/>
    <w:rsid w:val="78231DC1"/>
    <w:rsid w:val="78285714"/>
    <w:rsid w:val="7838732F"/>
    <w:rsid w:val="785D574A"/>
    <w:rsid w:val="7890577B"/>
    <w:rsid w:val="78AC1F83"/>
    <w:rsid w:val="78E7301B"/>
    <w:rsid w:val="78E864D5"/>
    <w:rsid w:val="791474EE"/>
    <w:rsid w:val="79395294"/>
    <w:rsid w:val="795438FB"/>
    <w:rsid w:val="795B58F1"/>
    <w:rsid w:val="79703E36"/>
    <w:rsid w:val="798E1C11"/>
    <w:rsid w:val="799B0D6A"/>
    <w:rsid w:val="79B63BD1"/>
    <w:rsid w:val="79B841F4"/>
    <w:rsid w:val="79EE7531"/>
    <w:rsid w:val="7A2A5C90"/>
    <w:rsid w:val="7A391D94"/>
    <w:rsid w:val="7A6A1BD6"/>
    <w:rsid w:val="7A7F0798"/>
    <w:rsid w:val="7A88230B"/>
    <w:rsid w:val="7AB82AF8"/>
    <w:rsid w:val="7AD23513"/>
    <w:rsid w:val="7AE35119"/>
    <w:rsid w:val="7AE54055"/>
    <w:rsid w:val="7AE734E9"/>
    <w:rsid w:val="7AE93A96"/>
    <w:rsid w:val="7AEA0183"/>
    <w:rsid w:val="7AF36575"/>
    <w:rsid w:val="7B021665"/>
    <w:rsid w:val="7B1B7859"/>
    <w:rsid w:val="7B471FAC"/>
    <w:rsid w:val="7B6918B7"/>
    <w:rsid w:val="7B74771E"/>
    <w:rsid w:val="7B755E60"/>
    <w:rsid w:val="7B8E4BEF"/>
    <w:rsid w:val="7B906928"/>
    <w:rsid w:val="7BAA152A"/>
    <w:rsid w:val="7BAB8669"/>
    <w:rsid w:val="7BFC5BB1"/>
    <w:rsid w:val="7C1616FB"/>
    <w:rsid w:val="7C171BB1"/>
    <w:rsid w:val="7C3E2786"/>
    <w:rsid w:val="7C46175F"/>
    <w:rsid w:val="7C7F3354"/>
    <w:rsid w:val="7C814C00"/>
    <w:rsid w:val="7C9B0174"/>
    <w:rsid w:val="7C9D6BB9"/>
    <w:rsid w:val="7CC35C89"/>
    <w:rsid w:val="7D0A7778"/>
    <w:rsid w:val="7D1D35F1"/>
    <w:rsid w:val="7D2B6621"/>
    <w:rsid w:val="7D570759"/>
    <w:rsid w:val="7D8216B7"/>
    <w:rsid w:val="7DA87E1E"/>
    <w:rsid w:val="7DE57029"/>
    <w:rsid w:val="7E612A3A"/>
    <w:rsid w:val="7E735245"/>
    <w:rsid w:val="7E8A24B6"/>
    <w:rsid w:val="7EB018B3"/>
    <w:rsid w:val="7F3C4915"/>
    <w:rsid w:val="7F427423"/>
    <w:rsid w:val="7F5B6EE6"/>
    <w:rsid w:val="7F801318"/>
    <w:rsid w:val="7F9F7241"/>
    <w:rsid w:val="7FC01639"/>
    <w:rsid w:val="7FDA4DBE"/>
    <w:rsid w:val="7FEA1C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1"/>
    <w:next w:val="1"/>
    <w:link w:val="37"/>
    <w:qFormat/>
    <w:uiPriority w:val="0"/>
    <w:pPr>
      <w:keepNext/>
      <w:keepLines/>
      <w:spacing w:before="120" w:after="120"/>
      <w:jc w:val="center"/>
      <w:outlineLvl w:val="0"/>
    </w:pPr>
    <w:rPr>
      <w:b/>
      <w:bCs/>
      <w:kern w:val="44"/>
      <w:sz w:val="44"/>
      <w:szCs w:val="44"/>
    </w:rPr>
  </w:style>
  <w:style w:type="paragraph" w:styleId="4">
    <w:name w:val="heading 2"/>
    <w:basedOn w:val="1"/>
    <w:next w:val="1"/>
    <w:link w:val="38"/>
    <w:qFormat/>
    <w:uiPriority w:val="0"/>
    <w:pPr>
      <w:keepNext/>
      <w:keepLines/>
      <w:outlineLvl w:val="1"/>
    </w:pPr>
    <w:rPr>
      <w:rFonts w:ascii="Cambria" w:hAnsi="Cambria"/>
      <w:b/>
      <w:bCs/>
      <w:kern w:val="0"/>
      <w:sz w:val="32"/>
      <w:szCs w:val="32"/>
    </w:rPr>
  </w:style>
  <w:style w:type="paragraph" w:styleId="5">
    <w:name w:val="heading 3"/>
    <w:basedOn w:val="1"/>
    <w:next w:val="1"/>
    <w:link w:val="39"/>
    <w:qFormat/>
    <w:uiPriority w:val="0"/>
    <w:pPr>
      <w:keepNext/>
      <w:keepLines/>
      <w:outlineLvl w:val="2"/>
    </w:pPr>
    <w:rPr>
      <w:b/>
      <w:bCs/>
      <w:kern w:val="0"/>
      <w:sz w:val="28"/>
      <w:szCs w:val="32"/>
    </w:rPr>
  </w:style>
  <w:style w:type="paragraph" w:styleId="6">
    <w:name w:val="heading 4"/>
    <w:basedOn w:val="1"/>
    <w:next w:val="1"/>
    <w:qFormat/>
    <w:uiPriority w:val="0"/>
    <w:pPr>
      <w:keepNext/>
      <w:keepLines/>
      <w:spacing w:before="280" w:after="290" w:line="372" w:lineRule="auto"/>
      <w:ind w:firstLine="402"/>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
    <w:qFormat/>
    <w:uiPriority w:val="0"/>
    <w:pPr>
      <w:spacing w:after="120"/>
    </w:pPr>
    <w:rPr>
      <w:kern w:val="0"/>
    </w:rPr>
  </w:style>
  <w:style w:type="paragraph" w:styleId="7">
    <w:name w:val="Normal Indent"/>
    <w:basedOn w:val="1"/>
    <w:link w:val="40"/>
    <w:qFormat/>
    <w:uiPriority w:val="0"/>
    <w:pPr>
      <w:spacing w:before="60"/>
      <w:ind w:firstLine="420" w:firstLineChars="200"/>
    </w:pPr>
    <w:rPr>
      <w:sz w:val="21"/>
    </w:rPr>
  </w:style>
  <w:style w:type="paragraph" w:styleId="8">
    <w:name w:val="Document Map"/>
    <w:basedOn w:val="1"/>
    <w:link w:val="41"/>
    <w:qFormat/>
    <w:uiPriority w:val="0"/>
    <w:pPr>
      <w:widowControl/>
      <w:shd w:val="clear" w:color="auto" w:fill="000080"/>
    </w:pPr>
    <w:rPr>
      <w:kern w:val="0"/>
      <w:sz w:val="21"/>
      <w:szCs w:val="20"/>
    </w:rPr>
  </w:style>
  <w:style w:type="paragraph" w:styleId="9">
    <w:name w:val="annotation text"/>
    <w:basedOn w:val="1"/>
    <w:link w:val="42"/>
    <w:qFormat/>
    <w:uiPriority w:val="0"/>
    <w:rPr>
      <w:kern w:val="0"/>
    </w:rPr>
  </w:style>
  <w:style w:type="paragraph" w:styleId="10">
    <w:name w:val="Body Text 3"/>
    <w:basedOn w:val="1"/>
    <w:link w:val="43"/>
    <w:qFormat/>
    <w:uiPriority w:val="0"/>
    <w:pPr>
      <w:widowControl/>
      <w:spacing w:after="120"/>
    </w:pPr>
    <w:rPr>
      <w:kern w:val="0"/>
      <w:sz w:val="16"/>
      <w:szCs w:val="16"/>
    </w:rPr>
  </w:style>
  <w:style w:type="paragraph" w:styleId="11">
    <w:name w:val="Body Text Indent"/>
    <w:basedOn w:val="1"/>
    <w:link w:val="44"/>
    <w:qFormat/>
    <w:uiPriority w:val="0"/>
    <w:pPr>
      <w:spacing w:line="480" w:lineRule="auto"/>
      <w:ind w:firstLine="560" w:firstLineChars="200"/>
    </w:pPr>
    <w:rPr>
      <w:kern w:val="0"/>
    </w:rPr>
  </w:style>
  <w:style w:type="paragraph" w:styleId="12">
    <w:name w:val="Plain Text"/>
    <w:basedOn w:val="1"/>
    <w:link w:val="45"/>
    <w:qFormat/>
    <w:uiPriority w:val="0"/>
    <w:rPr>
      <w:rFonts w:ascii="宋体" w:hAnsi="Courier New"/>
      <w:kern w:val="0"/>
      <w:sz w:val="21"/>
      <w:szCs w:val="21"/>
    </w:rPr>
  </w:style>
  <w:style w:type="paragraph" w:styleId="13">
    <w:name w:val="Date"/>
    <w:basedOn w:val="1"/>
    <w:next w:val="1"/>
    <w:link w:val="46"/>
    <w:qFormat/>
    <w:uiPriority w:val="0"/>
    <w:pPr>
      <w:ind w:left="100" w:leftChars="2500"/>
    </w:pPr>
    <w:rPr>
      <w:kern w:val="0"/>
    </w:rPr>
  </w:style>
  <w:style w:type="paragraph" w:styleId="14">
    <w:name w:val="Balloon Text"/>
    <w:basedOn w:val="1"/>
    <w:link w:val="47"/>
    <w:qFormat/>
    <w:uiPriority w:val="0"/>
    <w:rPr>
      <w:sz w:val="18"/>
      <w:szCs w:val="18"/>
    </w:rPr>
  </w:style>
  <w:style w:type="paragraph" w:styleId="15">
    <w:name w:val="footer"/>
    <w:basedOn w:val="1"/>
    <w:link w:val="48"/>
    <w:qFormat/>
    <w:uiPriority w:val="0"/>
    <w:pPr>
      <w:tabs>
        <w:tab w:val="center" w:pos="4153"/>
        <w:tab w:val="right" w:pos="8306"/>
      </w:tabs>
      <w:snapToGrid w:val="0"/>
    </w:pPr>
    <w:rPr>
      <w:kern w:val="0"/>
      <w:sz w:val="18"/>
      <w:szCs w:val="18"/>
    </w:rPr>
  </w:style>
  <w:style w:type="paragraph" w:styleId="16">
    <w:name w:val="header"/>
    <w:basedOn w:val="1"/>
    <w:link w:val="4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17">
    <w:name w:val="toc 1"/>
    <w:basedOn w:val="1"/>
    <w:next w:val="1"/>
    <w:qFormat/>
    <w:uiPriority w:val="39"/>
    <w:pPr>
      <w:tabs>
        <w:tab w:val="right" w:leader="dot" w:pos="8858"/>
      </w:tabs>
    </w:pPr>
    <w:rPr>
      <w:sz w:val="32"/>
    </w:rPr>
  </w:style>
  <w:style w:type="paragraph" w:styleId="18">
    <w:name w:val="toc 2"/>
    <w:basedOn w:val="1"/>
    <w:next w:val="1"/>
    <w:qFormat/>
    <w:uiPriority w:val="0"/>
    <w:pPr>
      <w:tabs>
        <w:tab w:val="right" w:leader="dot" w:pos="8858"/>
      </w:tabs>
      <w:spacing w:line="700" w:lineRule="exact"/>
      <w:ind w:left="420" w:leftChars="200"/>
    </w:pPr>
  </w:style>
  <w:style w:type="paragraph" w:styleId="19">
    <w:name w:val="List 4"/>
    <w:basedOn w:val="1"/>
    <w:qFormat/>
    <w:uiPriority w:val="0"/>
    <w:pPr>
      <w:ind w:left="100" w:leftChars="600" w:hanging="200" w:hangingChars="200"/>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kern w:val="0"/>
    </w:rPr>
  </w:style>
  <w:style w:type="paragraph" w:styleId="21">
    <w:name w:val="Normal (Web)"/>
    <w:basedOn w:val="1"/>
    <w:qFormat/>
    <w:uiPriority w:val="0"/>
    <w:pPr>
      <w:widowControl/>
      <w:spacing w:beforeAutospacing="1" w:afterAutospacing="1"/>
    </w:pPr>
    <w:rPr>
      <w:rFonts w:ascii="宋体" w:hAnsi="宋体" w:cs="宋体"/>
      <w:kern w:val="0"/>
    </w:rPr>
  </w:style>
  <w:style w:type="paragraph" w:styleId="22">
    <w:name w:val="annotation subject"/>
    <w:basedOn w:val="9"/>
    <w:next w:val="9"/>
    <w:link w:val="50"/>
    <w:qFormat/>
    <w:uiPriority w:val="0"/>
    <w:rPr>
      <w:b/>
      <w:bCs/>
      <w:kern w:val="2"/>
      <w:sz w:val="21"/>
    </w:rPr>
  </w:style>
  <w:style w:type="paragraph" w:styleId="23">
    <w:name w:val="Body Text First Indent"/>
    <w:basedOn w:val="2"/>
    <w:qFormat/>
    <w:uiPriority w:val="0"/>
    <w:pPr>
      <w:ind w:firstLine="420" w:firstLineChars="100"/>
    </w:pPr>
  </w:style>
  <w:style w:type="paragraph" w:styleId="24">
    <w:name w:val="Body Text First Indent 2"/>
    <w:basedOn w:val="11"/>
    <w:link w:val="51"/>
    <w:qFormat/>
    <w:uiPriority w:val="0"/>
    <w:pPr>
      <w:spacing w:after="120" w:line="240" w:lineRule="auto"/>
      <w:ind w:left="420" w:leftChars="200" w:firstLine="420"/>
    </w:pPr>
    <w:rPr>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rFonts w:ascii="Times New Roman" w:hAnsi="Times New Roman" w:eastAsia="宋体" w:cs="Times New Roman"/>
      <w:b/>
    </w:rPr>
  </w:style>
  <w:style w:type="character" w:styleId="29">
    <w:name w:val="page number"/>
    <w:qFormat/>
    <w:uiPriority w:val="0"/>
    <w:rPr>
      <w:rFonts w:ascii="Times New Roman" w:hAnsi="Times New Roman" w:eastAsia="宋体" w:cs="Times New Roman"/>
    </w:rPr>
  </w:style>
  <w:style w:type="character" w:styleId="30">
    <w:name w:val="FollowedHyperlink"/>
    <w:qFormat/>
    <w:uiPriority w:val="0"/>
    <w:rPr>
      <w:rFonts w:ascii="Times New Roman" w:hAnsi="Times New Roman" w:eastAsia="宋体" w:cs="Times New Roman"/>
      <w:color w:val="333333"/>
      <w:u w:val="none"/>
    </w:rPr>
  </w:style>
  <w:style w:type="character" w:styleId="31">
    <w:name w:val="Emphasis"/>
    <w:qFormat/>
    <w:uiPriority w:val="0"/>
    <w:rPr>
      <w:rFonts w:ascii="Times New Roman" w:hAnsi="Times New Roman" w:eastAsia="宋体" w:cs="Times New Roman"/>
    </w:rPr>
  </w:style>
  <w:style w:type="character" w:styleId="32">
    <w:name w:val="HTML Typewriter"/>
    <w:qFormat/>
    <w:uiPriority w:val="0"/>
    <w:rPr>
      <w:rFonts w:ascii="Courier New" w:hAnsi="Courier New" w:eastAsia="宋体" w:cs="Times New Roman"/>
      <w:sz w:val="20"/>
    </w:rPr>
  </w:style>
  <w:style w:type="character" w:styleId="33">
    <w:name w:val="Hyperlink"/>
    <w:qFormat/>
    <w:uiPriority w:val="99"/>
    <w:rPr>
      <w:rFonts w:ascii="Times New Roman" w:hAnsi="Times New Roman" w:eastAsia="宋体" w:cs="Times New Roman"/>
      <w:color w:val="0000FF"/>
      <w:u w:val="single"/>
    </w:rPr>
  </w:style>
  <w:style w:type="character" w:styleId="34">
    <w:name w:val="annotation reference"/>
    <w:qFormat/>
    <w:uiPriority w:val="0"/>
    <w:rPr>
      <w:rFonts w:ascii="Times New Roman" w:hAnsi="Times New Roman" w:eastAsia="宋体" w:cs="Times New Roman"/>
      <w:sz w:val="21"/>
      <w:szCs w:val="21"/>
    </w:rPr>
  </w:style>
  <w:style w:type="character" w:styleId="35">
    <w:name w:val="HTML Keyboard"/>
    <w:qFormat/>
    <w:uiPriority w:val="0"/>
    <w:rPr>
      <w:rFonts w:ascii="Consolas" w:hAnsi="Consolas" w:eastAsia="Consolas" w:cs="Consolas"/>
      <w:sz w:val="21"/>
      <w:szCs w:val="21"/>
    </w:rPr>
  </w:style>
  <w:style w:type="character" w:customStyle="1" w:styleId="36">
    <w:name w:val="正文文本 Char"/>
    <w:link w:val="2"/>
    <w:qFormat/>
    <w:uiPriority w:val="0"/>
    <w:rPr>
      <w:rFonts w:ascii="Times New Roman" w:hAnsi="Times New Roman" w:eastAsia="宋体" w:cs="Times New Roman"/>
      <w:sz w:val="24"/>
      <w:szCs w:val="24"/>
    </w:rPr>
  </w:style>
  <w:style w:type="character" w:customStyle="1" w:styleId="37">
    <w:name w:val="标题 1 Char1"/>
    <w:link w:val="3"/>
    <w:qFormat/>
    <w:uiPriority w:val="0"/>
    <w:rPr>
      <w:rFonts w:ascii="Times New Roman" w:hAnsi="Times New Roman" w:eastAsia="宋体" w:cs="Times New Roman"/>
      <w:b/>
      <w:bCs/>
      <w:kern w:val="44"/>
      <w:sz w:val="44"/>
      <w:szCs w:val="44"/>
    </w:rPr>
  </w:style>
  <w:style w:type="character" w:customStyle="1" w:styleId="38">
    <w:name w:val="标题 2 Char"/>
    <w:link w:val="4"/>
    <w:qFormat/>
    <w:uiPriority w:val="0"/>
    <w:rPr>
      <w:rFonts w:ascii="Cambria" w:hAnsi="Cambria" w:eastAsia="宋体" w:cs="Times New Roman"/>
      <w:b/>
      <w:bCs/>
      <w:sz w:val="32"/>
      <w:szCs w:val="32"/>
    </w:rPr>
  </w:style>
  <w:style w:type="character" w:customStyle="1" w:styleId="39">
    <w:name w:val="标题 3 Char"/>
    <w:link w:val="5"/>
    <w:qFormat/>
    <w:uiPriority w:val="0"/>
    <w:rPr>
      <w:rFonts w:ascii="Times New Roman" w:hAnsi="Times New Roman" w:eastAsia="宋体" w:cs="Times New Roman"/>
      <w:b/>
      <w:bCs/>
      <w:sz w:val="28"/>
      <w:szCs w:val="32"/>
    </w:rPr>
  </w:style>
  <w:style w:type="character" w:customStyle="1" w:styleId="40">
    <w:name w:val="正文缩进 Char"/>
    <w:link w:val="7"/>
    <w:qFormat/>
    <w:uiPriority w:val="0"/>
    <w:rPr>
      <w:rFonts w:ascii="Times New Roman" w:hAnsi="Times New Roman" w:eastAsia="宋体" w:cs="Times New Roman"/>
      <w:kern w:val="2"/>
      <w:sz w:val="21"/>
      <w:szCs w:val="24"/>
    </w:rPr>
  </w:style>
  <w:style w:type="character" w:customStyle="1" w:styleId="41">
    <w:name w:val="文档结构图 Char"/>
    <w:link w:val="8"/>
    <w:qFormat/>
    <w:uiPriority w:val="0"/>
    <w:rPr>
      <w:rFonts w:ascii="Times New Roman" w:hAnsi="Times New Roman" w:eastAsia="宋体" w:cs="Times New Roman"/>
      <w:sz w:val="21"/>
      <w:lang w:val="en-US" w:eastAsia="zh-CN" w:bidi="ar-SA"/>
    </w:rPr>
  </w:style>
  <w:style w:type="character" w:customStyle="1" w:styleId="42">
    <w:name w:val="批注文字 Char"/>
    <w:link w:val="9"/>
    <w:qFormat/>
    <w:uiPriority w:val="0"/>
    <w:rPr>
      <w:rFonts w:ascii="Times New Roman" w:hAnsi="Times New Roman" w:eastAsia="宋体" w:cs="Times New Roman"/>
      <w:sz w:val="24"/>
      <w:szCs w:val="24"/>
    </w:rPr>
  </w:style>
  <w:style w:type="character" w:customStyle="1" w:styleId="43">
    <w:name w:val="正文文本 3 Char"/>
    <w:link w:val="10"/>
    <w:qFormat/>
    <w:uiPriority w:val="0"/>
    <w:rPr>
      <w:rFonts w:ascii="Times New Roman" w:hAnsi="Times New Roman" w:eastAsia="宋体" w:cs="Times New Roman"/>
      <w:sz w:val="16"/>
      <w:szCs w:val="16"/>
    </w:rPr>
  </w:style>
  <w:style w:type="character" w:customStyle="1" w:styleId="44">
    <w:name w:val="正文文本缩进 Char"/>
    <w:link w:val="11"/>
    <w:qFormat/>
    <w:uiPriority w:val="0"/>
    <w:rPr>
      <w:rFonts w:ascii="Times New Roman" w:hAnsi="Times New Roman" w:eastAsia="宋体" w:cs="Times New Roman"/>
      <w:sz w:val="24"/>
      <w:szCs w:val="24"/>
    </w:rPr>
  </w:style>
  <w:style w:type="character" w:customStyle="1" w:styleId="45">
    <w:name w:val="纯文本 Char"/>
    <w:link w:val="12"/>
    <w:qFormat/>
    <w:uiPriority w:val="0"/>
    <w:rPr>
      <w:rFonts w:ascii="宋体" w:hAnsi="Courier New" w:eastAsia="宋体" w:cs="Courier New"/>
      <w:sz w:val="21"/>
      <w:szCs w:val="21"/>
    </w:rPr>
  </w:style>
  <w:style w:type="character" w:customStyle="1" w:styleId="46">
    <w:name w:val="日期 Char"/>
    <w:link w:val="13"/>
    <w:qFormat/>
    <w:uiPriority w:val="0"/>
    <w:rPr>
      <w:rFonts w:ascii="Times New Roman" w:hAnsi="Times New Roman" w:eastAsia="宋体" w:cs="Times New Roman"/>
      <w:sz w:val="24"/>
      <w:szCs w:val="24"/>
    </w:rPr>
  </w:style>
  <w:style w:type="character" w:customStyle="1" w:styleId="47">
    <w:name w:val="批注框文本 Char"/>
    <w:link w:val="14"/>
    <w:qFormat/>
    <w:uiPriority w:val="0"/>
    <w:rPr>
      <w:rFonts w:ascii="Times New Roman" w:hAnsi="Times New Roman" w:eastAsia="宋体" w:cs="Times New Roman"/>
      <w:kern w:val="2"/>
      <w:sz w:val="18"/>
      <w:szCs w:val="18"/>
    </w:rPr>
  </w:style>
  <w:style w:type="character" w:customStyle="1" w:styleId="48">
    <w:name w:val="页脚 Char"/>
    <w:link w:val="15"/>
    <w:qFormat/>
    <w:uiPriority w:val="0"/>
    <w:rPr>
      <w:rFonts w:ascii="Times New Roman" w:hAnsi="Times New Roman" w:eastAsia="宋体" w:cs="Times New Roman"/>
      <w:sz w:val="18"/>
      <w:szCs w:val="18"/>
    </w:rPr>
  </w:style>
  <w:style w:type="character" w:customStyle="1" w:styleId="49">
    <w:name w:val="页眉 Char"/>
    <w:link w:val="16"/>
    <w:qFormat/>
    <w:uiPriority w:val="0"/>
    <w:rPr>
      <w:rFonts w:ascii="Times New Roman" w:hAnsi="Times New Roman" w:eastAsia="宋体" w:cs="Times New Roman"/>
      <w:sz w:val="18"/>
      <w:szCs w:val="18"/>
    </w:rPr>
  </w:style>
  <w:style w:type="character" w:customStyle="1" w:styleId="50">
    <w:name w:val="批注主题 Char"/>
    <w:link w:val="22"/>
    <w:qFormat/>
    <w:uiPriority w:val="0"/>
    <w:rPr>
      <w:rFonts w:ascii="Times New Roman" w:hAnsi="Times New Roman" w:eastAsia="宋体" w:cs="Times New Roman"/>
      <w:b/>
      <w:bCs/>
      <w:kern w:val="2"/>
      <w:sz w:val="21"/>
      <w:szCs w:val="24"/>
    </w:rPr>
  </w:style>
  <w:style w:type="character" w:customStyle="1" w:styleId="51">
    <w:name w:val="正文首行缩进 2 Char"/>
    <w:link w:val="24"/>
    <w:qFormat/>
    <w:uiPriority w:val="0"/>
    <w:rPr>
      <w:rFonts w:ascii="Times New Roman" w:hAnsi="Times New Roman" w:eastAsia="宋体" w:cs="Times New Roman"/>
      <w:sz w:val="21"/>
      <w:szCs w:val="24"/>
    </w:rPr>
  </w:style>
  <w:style w:type="character" w:customStyle="1" w:styleId="52">
    <w:name w:val="Heading 1 Char1"/>
    <w:qFormat/>
    <w:uiPriority w:val="0"/>
    <w:rPr>
      <w:rFonts w:ascii="Times New Roman" w:hAnsi="Times New Roman" w:eastAsia="宋体" w:cs="Times New Roman"/>
      <w:b/>
      <w:bCs/>
      <w:kern w:val="44"/>
      <w:sz w:val="44"/>
      <w:szCs w:val="44"/>
      <w:lang w:val="en-US" w:eastAsia="zh-CN" w:bidi="ar-SA"/>
    </w:rPr>
  </w:style>
  <w:style w:type="character" w:customStyle="1" w:styleId="53">
    <w:name w:val="bord3"/>
    <w:qFormat/>
    <w:uiPriority w:val="0"/>
    <w:rPr>
      <w:rFonts w:ascii="Times New Roman" w:hAnsi="Times New Roman" w:eastAsia="宋体" w:cs="Times New Roman"/>
    </w:rPr>
  </w:style>
  <w:style w:type="character" w:customStyle="1" w:styleId="54">
    <w:name w:val="标题 1 Char"/>
    <w:qFormat/>
    <w:uiPriority w:val="0"/>
    <w:rPr>
      <w:rFonts w:ascii="Arial" w:hAnsi="Arial" w:eastAsia="宋体" w:cs="Times New Roman"/>
      <w:kern w:val="32"/>
      <w:sz w:val="32"/>
      <w:lang w:val="en-US" w:eastAsia="zh-CN"/>
    </w:rPr>
  </w:style>
  <w:style w:type="character" w:customStyle="1" w:styleId="55">
    <w:name w:val="批注引用1"/>
    <w:qFormat/>
    <w:uiPriority w:val="0"/>
    <w:rPr>
      <w:rFonts w:ascii="Times New Roman" w:hAnsi="Times New Roman" w:eastAsia="宋体" w:cs="Times New Roman"/>
      <w:sz w:val="21"/>
      <w:szCs w:val="21"/>
    </w:rPr>
  </w:style>
  <w:style w:type="character" w:customStyle="1" w:styleId="56">
    <w:name w:val="标题 1 字符"/>
    <w:qFormat/>
    <w:uiPriority w:val="0"/>
    <w:rPr>
      <w:rFonts w:ascii="Times New Roman" w:hAnsi="Times New Roman" w:eastAsia="宋体" w:cs="Times New Roman"/>
      <w:b/>
      <w:bCs/>
      <w:kern w:val="44"/>
      <w:sz w:val="36"/>
      <w:szCs w:val="44"/>
    </w:rPr>
  </w:style>
  <w:style w:type="character" w:customStyle="1" w:styleId="57">
    <w:name w:val="normal__char1"/>
    <w:qFormat/>
    <w:uiPriority w:val="0"/>
    <w:rPr>
      <w:rFonts w:ascii="Times New Roman" w:hAnsi="Times New Roman" w:eastAsia="宋体" w:cs="Times New Roman"/>
      <w:kern w:val="44"/>
      <w:sz w:val="20"/>
      <w:lang w:val="en-US" w:eastAsia="zh-CN"/>
    </w:rPr>
  </w:style>
  <w:style w:type="character" w:customStyle="1" w:styleId="58">
    <w:name w:val="font01"/>
    <w:qFormat/>
    <w:uiPriority w:val="0"/>
    <w:rPr>
      <w:rFonts w:hint="eastAsia" w:ascii="宋体" w:hAnsi="宋体" w:eastAsia="宋体" w:cs="宋体"/>
      <w:color w:val="000000"/>
      <w:sz w:val="24"/>
      <w:szCs w:val="24"/>
      <w:u w:val="none"/>
      <w:lang w:eastAsia="en-US"/>
    </w:rPr>
  </w:style>
  <w:style w:type="character" w:customStyle="1" w:styleId="59">
    <w:name w:val="font21"/>
    <w:qFormat/>
    <w:uiPriority w:val="0"/>
    <w:rPr>
      <w:rFonts w:hint="eastAsia" w:ascii="宋体" w:hAnsi="宋体" w:eastAsia="宋体" w:cs="宋体"/>
      <w:color w:val="333333"/>
      <w:sz w:val="24"/>
      <w:szCs w:val="24"/>
      <w:u w:val="none"/>
    </w:rPr>
  </w:style>
  <w:style w:type="character" w:customStyle="1" w:styleId="60">
    <w:name w:val="apple-converted-space"/>
    <w:qFormat/>
    <w:uiPriority w:val="0"/>
    <w:rPr>
      <w:rFonts w:ascii="Times New Roman" w:hAnsi="Times New Roman" w:eastAsia="宋体" w:cs="Times New Roman"/>
    </w:rPr>
  </w:style>
  <w:style w:type="character" w:customStyle="1" w:styleId="61">
    <w:name w:val="NormalCharacter"/>
    <w:qFormat/>
    <w:uiPriority w:val="0"/>
    <w:rPr>
      <w:rFonts w:ascii="Times New Roman" w:hAnsi="Times New Roman" w:eastAsia="宋体" w:cs="Times New Roman"/>
      <w:kern w:val="2"/>
      <w:sz w:val="24"/>
      <w:szCs w:val="24"/>
      <w:lang w:val="en-US" w:eastAsia="zh-CN" w:bidi="ar-SA"/>
    </w:rPr>
  </w:style>
  <w:style w:type="character" w:customStyle="1" w:styleId="62">
    <w:name w:val="hui"/>
    <w:qFormat/>
    <w:uiPriority w:val="0"/>
    <w:rPr>
      <w:rFonts w:ascii="Times New Roman" w:hAnsi="Times New Roman" w:eastAsia="宋体" w:cs="Times New Roman"/>
      <w:color w:val="999999"/>
    </w:rPr>
  </w:style>
  <w:style w:type="character" w:customStyle="1" w:styleId="63">
    <w:name w:val="页眉 Char1"/>
    <w:qFormat/>
    <w:uiPriority w:val="0"/>
    <w:rPr>
      <w:rFonts w:ascii="Times New Roman" w:hAnsi="Times New Roman" w:eastAsia="宋体" w:cs="Times New Roman"/>
      <w:kern w:val="0"/>
      <w:sz w:val="18"/>
      <w:szCs w:val="18"/>
    </w:rPr>
  </w:style>
  <w:style w:type="character" w:customStyle="1" w:styleId="64">
    <w:name w:val="hui1"/>
    <w:qFormat/>
    <w:uiPriority w:val="0"/>
    <w:rPr>
      <w:rFonts w:ascii="Times New Roman" w:hAnsi="Times New Roman" w:eastAsia="宋体" w:cs="Times New Roman"/>
      <w:color w:val="999999"/>
    </w:rPr>
  </w:style>
  <w:style w:type="paragraph" w:customStyle="1" w:styleId="65">
    <w:name w:val="段标题1"/>
    <w:basedOn w:val="1"/>
    <w:qFormat/>
    <w:uiPriority w:val="0"/>
    <w:pPr>
      <w:tabs>
        <w:tab w:val="left" w:pos="420"/>
        <w:tab w:val="left" w:pos="1080"/>
      </w:tabs>
      <w:adjustRightInd w:val="0"/>
      <w:snapToGrid w:val="0"/>
      <w:spacing w:line="480" w:lineRule="auto"/>
      <w:ind w:left="420" w:hanging="420"/>
      <w:textAlignment w:val="baseline"/>
    </w:pPr>
    <w:rPr>
      <w:szCs w:val="20"/>
    </w:rPr>
  </w:style>
  <w:style w:type="paragraph" w:customStyle="1" w:styleId="66">
    <w:name w:val="样式 正文（首行缩进两字） + 宋体 小四"/>
    <w:basedOn w:val="7"/>
    <w:qFormat/>
    <w:uiPriority w:val="0"/>
    <w:pPr>
      <w:spacing w:before="0" w:line="100" w:lineRule="atLeast"/>
      <w:ind w:firstLine="614" w:firstLineChars="192"/>
    </w:pPr>
    <w:rPr>
      <w:rFonts w:ascii="仿宋_GB2312" w:hAnsi="宋体" w:eastAsia="仿宋_GB2312"/>
      <w:sz w:val="32"/>
      <w:szCs w:val="20"/>
    </w:rPr>
  </w:style>
  <w:style w:type="paragraph" w:customStyle="1" w:styleId="67">
    <w:name w:val="样式1"/>
    <w:basedOn w:val="1"/>
    <w:qFormat/>
    <w:uiPriority w:val="0"/>
    <w:pPr>
      <w:tabs>
        <w:tab w:val="left" w:pos="709"/>
      </w:tabs>
      <w:adjustRightInd w:val="0"/>
      <w:ind w:left="709" w:hanging="709"/>
      <w:jc w:val="both"/>
      <w:textAlignment w:val="baseline"/>
    </w:pPr>
    <w:rPr>
      <w:rFonts w:ascii="宋体" w:hAnsi="宋体"/>
      <w:szCs w:val="21"/>
    </w:rPr>
  </w:style>
  <w:style w:type="paragraph" w:customStyle="1" w:styleId="68">
    <w:name w:val="WPSOffice手动目录 1"/>
    <w:qFormat/>
    <w:uiPriority w:val="0"/>
    <w:rPr>
      <w:rFonts w:ascii="Times New Roman" w:hAnsi="Times New Roman" w:eastAsia="宋体" w:cs="Times New Roman"/>
      <w:lang w:val="en-US" w:eastAsia="zh-CN" w:bidi="ar-SA"/>
    </w:rPr>
  </w:style>
  <w:style w:type="paragraph" w:customStyle="1" w:styleId="69">
    <w:name w:val="正文(悬挂缩进)"/>
    <w:qFormat/>
    <w:uiPriority w:val="0"/>
    <w:pPr>
      <w:spacing w:line="420" w:lineRule="atLeast"/>
      <w:ind w:left="300" w:leftChars="200" w:hanging="100" w:hangingChars="100"/>
    </w:pPr>
    <w:rPr>
      <w:rFonts w:ascii="Times New Roman" w:hAnsi="Times New Roman" w:eastAsia="仿宋_GB2312" w:cs="Times New Roman"/>
      <w:color w:val="000000"/>
      <w:spacing w:val="2"/>
      <w:kern w:val="24"/>
      <w:sz w:val="24"/>
      <w:lang w:val="en-US" w:eastAsia="zh-CN" w:bidi="ar-SA"/>
    </w:rPr>
  </w:style>
  <w:style w:type="paragraph" w:customStyle="1" w:styleId="70">
    <w:name w:val="表格文字"/>
    <w:basedOn w:val="1"/>
    <w:qFormat/>
    <w:uiPriority w:val="0"/>
    <w:pPr>
      <w:spacing w:before="25" w:after="25"/>
    </w:pPr>
    <w:rPr>
      <w:bCs/>
      <w:spacing w:val="10"/>
      <w:kern w:val="0"/>
      <w:szCs w:val="20"/>
    </w:rPr>
  </w:style>
  <w:style w:type="paragraph" w:customStyle="1" w:styleId="71">
    <w:name w:val="正文1"/>
    <w:basedOn w:val="1"/>
    <w:qFormat/>
    <w:uiPriority w:val="0"/>
    <w:pPr>
      <w:widowControl/>
    </w:pPr>
    <w:rPr>
      <w:kern w:val="0"/>
      <w:sz w:val="20"/>
      <w:szCs w:val="20"/>
    </w:rPr>
  </w:style>
  <w:style w:type="paragraph" w:styleId="7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23"/>
    <w:basedOn w:val="1"/>
    <w:qFormat/>
    <w:uiPriority w:val="0"/>
    <w:pPr>
      <w:adjustRightInd w:val="0"/>
      <w:spacing w:after="120" w:line="320" w:lineRule="atLeast"/>
      <w:textAlignment w:val="baseline"/>
    </w:pPr>
    <w:rPr>
      <w:kern w:val="0"/>
      <w:szCs w:val="20"/>
    </w:rPr>
  </w:style>
  <w:style w:type="paragraph" w:customStyle="1" w:styleId="74">
    <w:name w:val="reader-word-layer"/>
    <w:basedOn w:val="1"/>
    <w:qFormat/>
    <w:uiPriority w:val="0"/>
    <w:pPr>
      <w:widowControl/>
      <w:spacing w:before="100" w:beforeAutospacing="1" w:after="100" w:afterAutospacing="1"/>
    </w:pPr>
    <w:rPr>
      <w:rFonts w:ascii="宋体" w:hAnsi="宋体" w:cs="宋体"/>
      <w:kern w:val="0"/>
    </w:rPr>
  </w:style>
  <w:style w:type="paragraph" w:customStyle="1" w:styleId="75">
    <w:name w:val="p0"/>
    <w:basedOn w:val="1"/>
    <w:qFormat/>
    <w:uiPriority w:val="0"/>
    <w:pPr>
      <w:widowControl/>
    </w:pPr>
    <w:rPr>
      <w:kern w:val="0"/>
      <w:szCs w:val="21"/>
    </w:rPr>
  </w:style>
  <w:style w:type="paragraph" w:customStyle="1" w:styleId="76">
    <w:name w:val="*正文"/>
    <w:basedOn w:val="1"/>
    <w:qFormat/>
    <w:uiPriority w:val="0"/>
    <w:pPr>
      <w:ind w:firstLine="480" w:firstLineChars="200"/>
      <w:jc w:val="both"/>
    </w:pPr>
    <w:rPr>
      <w:rFonts w:ascii="宋体" w:hAnsi="宋体"/>
    </w:rPr>
  </w:style>
  <w:style w:type="paragraph" w:customStyle="1" w:styleId="77">
    <w:name w:val="列出段落2"/>
    <w:basedOn w:val="1"/>
    <w:qFormat/>
    <w:uiPriority w:val="0"/>
    <w:pPr>
      <w:ind w:firstLine="420" w:firstLineChars="200"/>
      <w:jc w:val="both"/>
    </w:pPr>
  </w:style>
  <w:style w:type="paragraph" w:customStyle="1" w:styleId="78">
    <w:name w:val="Z-正文小4号"/>
    <w:basedOn w:val="1"/>
    <w:qFormat/>
    <w:uiPriority w:val="0"/>
    <w:pPr>
      <w:ind w:firstLine="480" w:firstLineChars="200"/>
    </w:pPr>
    <w:rPr>
      <w:rFonts w:ascii="宋体" w:hAnsi="宋体"/>
      <w:lang w:val="zh-CN"/>
    </w:rPr>
  </w:style>
  <w:style w:type="paragraph" w:styleId="79">
    <w:name w:val="List Paragraph"/>
    <w:basedOn w:val="1"/>
    <w:qFormat/>
    <w:uiPriority w:val="0"/>
    <w:pPr>
      <w:ind w:firstLine="420" w:firstLineChars="200"/>
    </w:pPr>
    <w:rPr>
      <w:rFonts w:ascii="Calibri" w:hAnsi="Calibri"/>
      <w:szCs w:val="22"/>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_Style 1"/>
    <w:basedOn w:val="1"/>
    <w:qFormat/>
    <w:uiPriority w:val="0"/>
    <w:pPr>
      <w:ind w:firstLine="420" w:firstLineChars="200"/>
    </w:pPr>
    <w:rPr>
      <w:rFonts w:ascii="Calibri" w:hAnsi="Calibri"/>
      <w:szCs w:val="22"/>
    </w:rPr>
  </w:style>
  <w:style w:type="paragraph" w:customStyle="1" w:styleId="82">
    <w:name w:val="Char5 Char Char Char"/>
    <w:basedOn w:val="8"/>
    <w:qFormat/>
    <w:uiPriority w:val="0"/>
    <w:pPr>
      <w:widowControl w:val="0"/>
      <w:jc w:val="both"/>
    </w:pPr>
    <w:rPr>
      <w:rFonts w:ascii="Tahoma" w:hAnsi="Tahoma"/>
      <w:kern w:val="2"/>
      <w:sz w:val="24"/>
      <w:szCs w:val="24"/>
    </w:rPr>
  </w:style>
  <w:style w:type="paragraph" w:customStyle="1" w:styleId="83">
    <w:name w:val="a"/>
    <w:basedOn w:val="1"/>
    <w:qFormat/>
    <w:uiPriority w:val="0"/>
    <w:pPr>
      <w:widowControl/>
    </w:pPr>
    <w:rPr>
      <w:rFonts w:ascii="宋体" w:hAnsi="宋体" w:cs="宋体"/>
      <w:kern w:val="0"/>
    </w:rPr>
  </w:style>
  <w:style w:type="paragraph" w:customStyle="1" w:styleId="84">
    <w:name w:val="_Style 3"/>
    <w:basedOn w:val="1"/>
    <w:qFormat/>
    <w:uiPriority w:val="1"/>
    <w:pPr>
      <w:ind w:firstLine="420" w:firstLineChars="200"/>
    </w:pPr>
    <w:rPr>
      <w:sz w:val="20"/>
    </w:rPr>
  </w:style>
  <w:style w:type="paragraph" w:customStyle="1" w:styleId="85">
    <w:name w:val="Table Paragraph"/>
    <w:basedOn w:val="1"/>
    <w:qFormat/>
    <w:uiPriority w:val="1"/>
    <w:rPr>
      <w:rFonts w:hint="eastAsia"/>
      <w:szCs w:val="22"/>
    </w:rPr>
  </w:style>
  <w:style w:type="paragraph" w:customStyle="1" w:styleId="86">
    <w:name w:val="样式 (中文) 仿宋_GB2312 四号 行距: 1.5 倍行距"/>
    <w:basedOn w:val="1"/>
    <w:qFormat/>
    <w:uiPriority w:val="0"/>
    <w:pPr>
      <w:ind w:firstLine="560" w:firstLineChars="200"/>
      <w:jc w:val="both"/>
    </w:pPr>
    <w:rPr>
      <w:rFonts w:eastAsia="仿宋_GB2312" w:cs="宋体"/>
      <w:sz w:val="28"/>
      <w:szCs w:val="20"/>
    </w:rPr>
  </w:style>
  <w:style w:type="character" w:customStyle="1" w:styleId="87">
    <w:name w:val="all-fit-info1"/>
    <w:qFormat/>
    <w:uiPriority w:val="0"/>
    <w:rPr>
      <w:color w:val="939393"/>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6213;&#21150;&#20844;\2016&#24037;&#20316;&#22841;\9&#26376;\&#25307;&#21830;&#25307;&#26631;&#25991;&#20214;\&#25307;&#21830;&#20195;&#29702;&#25307;&#26631;&#20070;20160912-&#3245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49"/>
    <customShpInfo spid="_x0000_s205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196BC-BCAB-4A9B-8E9A-DC6D088D137C}">
  <ds:schemaRefs/>
</ds:datastoreItem>
</file>

<file path=docProps/app.xml><?xml version="1.0" encoding="utf-8"?>
<Properties xmlns="http://schemas.openxmlformats.org/officeDocument/2006/extended-properties" xmlns:vt="http://schemas.openxmlformats.org/officeDocument/2006/docPropsVTypes">
  <Template>招商代理招标书20160912-终.doc</Template>
  <Pages>53</Pages>
  <Words>4520</Words>
  <Characters>25770</Characters>
  <Lines>214</Lines>
  <Paragraphs>60</Paragraphs>
  <TotalTime>7</TotalTime>
  <ScaleCrop>false</ScaleCrop>
  <LinksUpToDate>false</LinksUpToDate>
  <CharactersWithSpaces>30230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2021-05-07T07:58:00Z</dcterms:created>
  <dc:creator>LENOVO</dc:creator>
  <cp:lastModifiedBy>金政采</cp:lastModifiedBy>
  <cp:lastPrinted>2021-05-18T07:17:00Z</cp:lastPrinted>
  <dcterms:modified xsi:type="dcterms:W3CDTF">2021-05-21T07:33:52Z</dcterms:modified>
  <dc:title>海南农垦商业中心项目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00527D73FF5F4BE0BD3BB348E2470E8F</vt:lpwstr>
  </property>
</Properties>
</file>