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Toc15403_WPSOffice_Level2"/>
      <w:bookmarkStart w:id="1" w:name="_Toc27007"/>
      <w:bookmarkStart w:id="2" w:name="_Toc300596464"/>
      <w:bookmarkStart w:id="3" w:name="_Toc300599916"/>
      <w:bookmarkStart w:id="4" w:name="_Toc300595930"/>
      <w:bookmarkStart w:id="5" w:name="_Toc300587753"/>
      <w:bookmarkStart w:id="6" w:name="_Toc300587145"/>
      <w:bookmarkStart w:id="7" w:name="_Toc12487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采购需求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1</w:t>
      </w:r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建设任务</w:t>
      </w:r>
      <w:bookmarkEnd w:id="1"/>
    </w:p>
    <w:bookmarkEnd w:id="2"/>
    <w:bookmarkEnd w:id="3"/>
    <w:bookmarkEnd w:id="4"/>
    <w:bookmarkEnd w:id="5"/>
    <w:bookmarkEnd w:id="6"/>
    <w:bookmarkEnd w:id="7"/>
    <w:p>
      <w:pPr>
        <w:pageBreakBefore w:val="0"/>
        <w:widowControl w:val="0"/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baseline"/>
        <w:rPr>
          <w:rFonts w:hint="eastAsia" w:ascii="华文仿宋" w:hAnsi="华文仿宋" w:eastAsia="华文仿宋" w:cs="华文仿宋"/>
          <w:sz w:val="30"/>
          <w:szCs w:val="30"/>
          <w:lang w:val="zh-CN" w:eastAsia="zh-CN"/>
        </w:rPr>
      </w:pPr>
      <w:bookmarkStart w:id="8" w:name="_Toc10135"/>
      <w:bookmarkStart w:id="9" w:name="_Toc21719"/>
      <w:bookmarkStart w:id="10" w:name="_Toc300587754"/>
      <w:bookmarkStart w:id="11" w:name="_Toc300587146"/>
      <w:bookmarkStart w:id="12" w:name="_Toc30238"/>
      <w:bookmarkStart w:id="13" w:name="_Toc300596465"/>
      <w:bookmarkStart w:id="14" w:name="_Toc300599917"/>
      <w:bookmarkStart w:id="15" w:name="_Toc21380_WPSOffice_Level2"/>
      <w:bookmarkStart w:id="16" w:name="_Toc300595931"/>
      <w:r>
        <w:rPr>
          <w:rFonts w:hint="eastAsia" w:ascii="华文仿宋" w:hAnsi="华文仿宋" w:eastAsia="华文仿宋" w:cs="华文仿宋"/>
          <w:sz w:val="30"/>
          <w:szCs w:val="30"/>
          <w:lang w:val="zh-CN" w:eastAsia="zh-CN"/>
        </w:rPr>
        <w:t>本工程建设任务为建设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屯昌县县域节水型社会达标建设项目政府采购</w:t>
      </w:r>
      <w:r>
        <w:rPr>
          <w:rFonts w:hint="eastAsia" w:ascii="华文仿宋" w:hAnsi="华文仿宋" w:eastAsia="华文仿宋" w:cs="华文仿宋"/>
          <w:sz w:val="30"/>
          <w:szCs w:val="30"/>
          <w:lang w:val="zh-CN" w:eastAsia="zh-CN"/>
        </w:rPr>
        <w:t>。本工程主要建设任务为：洁具安装</w:t>
      </w:r>
      <w:r>
        <w:rPr>
          <w:rFonts w:hint="eastAsia" w:ascii="华文仿宋" w:hAnsi="华文仿宋" w:eastAsia="华文仿宋" w:cs="华文仿宋"/>
          <w:sz w:val="30"/>
          <w:szCs w:val="30"/>
          <w:lang w:val="zh-CN"/>
        </w:rPr>
        <w:t>、</w:t>
      </w:r>
      <w:r>
        <w:rPr>
          <w:rFonts w:hint="eastAsia" w:ascii="华文仿宋" w:hAnsi="华文仿宋" w:eastAsia="华文仿宋" w:cs="华文仿宋"/>
          <w:sz w:val="30"/>
          <w:szCs w:val="30"/>
          <w:lang w:val="zh-CN" w:eastAsia="zh-CN"/>
        </w:rPr>
        <w:t>宣传栏及条幅、标语、海报等</w:t>
      </w:r>
      <w:r>
        <w:rPr>
          <w:rFonts w:hint="eastAsia" w:ascii="华文仿宋" w:hAnsi="华文仿宋" w:eastAsia="华文仿宋" w:cs="华文仿宋"/>
          <w:sz w:val="30"/>
          <w:szCs w:val="30"/>
          <w:lang w:val="zh-CN"/>
        </w:rPr>
        <w:t>相关配套设施</w:t>
      </w:r>
      <w:r>
        <w:rPr>
          <w:rFonts w:hint="eastAsia" w:ascii="华文仿宋" w:hAnsi="华文仿宋" w:eastAsia="华文仿宋" w:cs="华文仿宋"/>
          <w:sz w:val="30"/>
          <w:szCs w:val="30"/>
          <w:lang w:val="zh-CN" w:eastAsia="zh-CN"/>
        </w:rPr>
        <w:t>。</w:t>
      </w:r>
      <w:bookmarkEnd w:id="8"/>
      <w:bookmarkEnd w:id="9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</w:pPr>
      <w:bookmarkStart w:id="17" w:name="_Toc4012"/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建设内容</w:t>
      </w:r>
      <w:bookmarkEnd w:id="17"/>
      <w:r>
        <w:rPr>
          <w:rFonts w:hint="eastAsia"/>
        </w:rPr>
        <w:t xml:space="preserve">  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18" w:name="_Toc22453"/>
      <w:bookmarkStart w:id="19" w:name="_Toc300595932"/>
      <w:bookmarkStart w:id="20" w:name="_Toc300587147"/>
      <w:bookmarkStart w:id="21" w:name="_Toc300587755"/>
      <w:bookmarkStart w:id="22" w:name="_Toc300596466"/>
      <w:bookmarkStart w:id="23" w:name="_Toc300599918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2.1 大便槽自动冲洗水箱安装</w:t>
      </w:r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  <w:lang w:eastAsia="zh-CN"/>
        </w:rPr>
        <w:t>本工程实施建设安装大便槽自动冲洗水箱</w:t>
      </w:r>
      <w:r>
        <w:rPr>
          <w:rFonts w:hint="eastAsia" w:ascii="华文仿宋" w:hAnsi="华文仿宋" w:eastAsia="华文仿宋" w:cs="华文仿宋"/>
          <w:color w:val="auto"/>
          <w:sz w:val="30"/>
          <w:szCs w:val="30"/>
          <w:highlight w:val="none"/>
          <w:lang w:val="en-US" w:eastAsia="zh-CN"/>
        </w:rPr>
        <w:t>585套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分别为资规局18套、农业农村局34套、农业检测中心17套、森林公安局11套、水务事务中心15套、屯昌中学466套、公厕24套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。具体如下：</w:t>
      </w:r>
    </w:p>
    <w:tbl>
      <w:tblPr>
        <w:tblStyle w:val="6"/>
        <w:tblW w:w="91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822"/>
        <w:gridCol w:w="2748"/>
        <w:gridCol w:w="2215"/>
        <w:gridCol w:w="18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9160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表</w:t>
            </w:r>
            <w:bookmarkStart w:id="41" w:name="_GoBack"/>
            <w:bookmarkEnd w:id="41"/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2-1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      大便槽自动冲洗水箱安装清单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Header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公共机构名称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安装数量（套）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屯昌县资规局</w:t>
            </w:r>
          </w:p>
        </w:tc>
        <w:tc>
          <w:tcPr>
            <w:tcW w:w="2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屯昌县屯城镇环东一路兴业二横路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屯昌县农业农村局</w:t>
            </w: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屯昌县农业检测中心</w:t>
            </w: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屯昌县森林公安局</w:t>
            </w: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屯昌县水务事务中心</w:t>
            </w: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屯昌县屯城镇文明路3号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4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屯昌县市政管理局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屯昌县屯城镇东风后巷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公厕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24" w:name="_Toc18779"/>
      <w:bookmarkStart w:id="25" w:name="_Toc18021"/>
      <w:bookmarkStart w:id="26" w:name="_Toc19929_WPSOffice_Level2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2.2 洗手池感应式水龙头安装</w:t>
      </w:r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本工程实施建设安装洗手池感应式水龙头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892个，分别为资规局8个、农业农村局17个、农业检测中心7个、森林公安局12个、水务事务中心9个、屯昌中学778个、建材城18个、街心公园2个、文体公园4个、公共厕所37个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。具体如下：</w:t>
      </w:r>
    </w:p>
    <w:tbl>
      <w:tblPr>
        <w:tblStyle w:val="6"/>
        <w:tblW w:w="91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2020"/>
        <w:gridCol w:w="2784"/>
        <w:gridCol w:w="2092"/>
        <w:gridCol w:w="17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Header/>
        </w:trPr>
        <w:tc>
          <w:tcPr>
            <w:tcW w:w="9140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表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2-2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 xml:space="preserve">            洗手池感应式水龙头安装清单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Header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公共机构名称</w:t>
            </w:r>
          </w:p>
        </w:tc>
        <w:tc>
          <w:tcPr>
            <w:tcW w:w="2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安装数量（个）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屯昌县资规局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屯昌县屯城镇环东一路兴业二横路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屯昌县农业农村局</w:t>
            </w: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屯昌县农业检测中心</w:t>
            </w: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屯昌县森林公安局</w:t>
            </w: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屯昌县水务事务中心</w:t>
            </w: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屯昌县屯城镇文明路3号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敬省楼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敬思楼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敬道楼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敬远楼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男生公寓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女生公寓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屯昌县建材城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建材城1号公厕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建材城2号公厕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屯昌县街心公园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屯昌县屯城城昌盛路与环东路之间（县政府正对面）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街心公园公厕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屯昌县文体公园</w:t>
            </w: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屯昌县屯城镇环西路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文体公园1号公厕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文体公园2号公厕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公共厕所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恐龙蛋公厕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屯昌县屯城镇环东二路吉安小区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吉安小区9号公厕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吉安小区10号公厕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屯昌县屯城镇环东一路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环东一路11号公厕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屯昌县屯城镇兴业东路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龙溪小区公厕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屯昌县屯城镇保密头村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保密头公厕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屯昌县屯城镇环西路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东风小区公厕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屯昌县屯城镇东风后巷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东风后巷公厕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27" w:name="_Toc27351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2.3 小便池按压式水阀安装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本工程实施建设安装小便池按压式水阀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216套，分别为资规局8套、农业农村局16套、农业检测中心7套、水务事务中心9套、屯昌中学111套、建材城8套、文赞公园2套、街心公园5套、文体公园8套、公共厕所42套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。具体如下：</w:t>
      </w:r>
    </w:p>
    <w:tbl>
      <w:tblPr>
        <w:tblStyle w:val="6"/>
        <w:tblW w:w="91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922"/>
        <w:gridCol w:w="2690"/>
        <w:gridCol w:w="2175"/>
        <w:gridCol w:w="17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Header/>
        </w:trPr>
        <w:tc>
          <w:tcPr>
            <w:tcW w:w="9120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eastAsia="zh-CN"/>
              </w:rPr>
              <w:t>表</w:t>
            </w: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2-3          小便池按压式水阀安装清单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Header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公共机构名称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安装数量（套）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屯昌县资规局</w:t>
            </w: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屯昌县屯城镇环东一路兴业二横路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屯昌县农业农村局</w:t>
            </w: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屯昌县农业检测中心</w:t>
            </w: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屯昌县水务事务中心</w:t>
            </w: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屯昌中学</w:t>
            </w: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屯昌县屯城镇文明路3号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敬省楼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敬思楼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敬道楼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敬远楼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屯昌县建材城</w:t>
            </w: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建材城1号公厕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建材城2号公厕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屯昌县文赞公园</w:t>
            </w: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屯昌县城东南部文赞水库（文旦村）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文赞公园1号公厕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文赞公园2号公厕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屯昌县街心公园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屯昌县屯城城昌盛路与环东路之间（县政府正对面）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街心公园公厕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屯昌县文体公园</w:t>
            </w: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屯昌县屯城镇环西路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文体公园1号公厕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文体公园2号公厕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公共厕所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恐龙蛋公厕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屯昌县屯城镇环东二路吉安小区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吉安小区9号公厕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吉安小区10号公厕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屯昌县屯城镇环东一路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环东一路11号公厕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屯昌县屯城镇兴业东路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龙溪小区公厕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屯昌县屯城镇保密头村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保密头公厕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屯昌县屯城镇环西路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东风小区公厕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东风后巷公厕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28" w:name="_Toc26636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2.4 镀锌铁烤漆宣传栏制作安装</w:t>
      </w:r>
      <w:bookmarkEnd w:id="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本工程实施制作安装镀锌铁烤漆宣传栏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6个，分别为文赞公园2个、街心公园2个、文体公园2个。具体尺寸为270cm*420cm，材质为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镀锌管。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20955</wp:posOffset>
            </wp:positionV>
            <wp:extent cx="4762500" cy="2175510"/>
            <wp:effectExtent l="0" t="0" r="0" b="15240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t>宣传栏样式图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29" w:name="_Toc15517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2.5 条幅制作安装</w:t>
      </w:r>
      <w:bookmarkEnd w:id="29"/>
    </w:p>
    <w:p>
      <w:pPr>
        <w:pStyle w:val="5"/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本工程实施制作安装宣传条幅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69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条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  <w:t>（详见附表）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，具体尺寸为600cm*70cm，材质为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  <w:t>布料。</w:t>
      </w:r>
    </w:p>
    <w:p>
      <w:pPr>
        <w:pStyle w:val="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9040" cy="2447925"/>
            <wp:effectExtent l="0" t="0" r="1016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t>宣传条幅样式图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30" w:name="_Toc18122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2.6 节水标语制作安装</w:t>
      </w:r>
      <w:bookmarkEnd w:id="30"/>
    </w:p>
    <w:p>
      <w:pPr>
        <w:pStyle w:val="5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本工程实施制作安装节水标语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4745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  <w:t>（详见附表）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具体尺寸为20cm*30cm，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材质为PVC材料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79340" cy="2195195"/>
            <wp:effectExtent l="0" t="0" r="16510" b="14605"/>
            <wp:docPr id="13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t>节水标语样式图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31" w:name="_Toc2903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2.7 宣传海报制作安装</w:t>
      </w:r>
      <w:bookmarkEnd w:id="31"/>
    </w:p>
    <w:p>
      <w:pPr>
        <w:pStyle w:val="5"/>
        <w:jc w:val="left"/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本工程实施制作安装宣传海报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600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  <w:t>（详见附表）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，具体尺寸为80cm*120cm，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材质为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PP纸(俗称背胶)。</w:t>
      </w:r>
      <w:r>
        <w:drawing>
          <wp:inline distT="0" distB="0" distL="114300" distR="114300">
            <wp:extent cx="5788025" cy="4186555"/>
            <wp:effectExtent l="0" t="0" r="3175" b="444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t>宣传海报样式图</w:t>
      </w:r>
    </w:p>
    <w:bookmarkEnd w:id="19"/>
    <w:bookmarkEnd w:id="20"/>
    <w:bookmarkEnd w:id="21"/>
    <w:bookmarkEnd w:id="22"/>
    <w:bookmarkEnd w:id="23"/>
    <w:bookmarkEnd w:id="25"/>
    <w:bookmarkEnd w:id="26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bookmarkStart w:id="32" w:name="_Toc198889914"/>
      <w:bookmarkStart w:id="33" w:name="_Toc164942713"/>
      <w:bookmarkStart w:id="34" w:name="_Toc300587149"/>
      <w:bookmarkStart w:id="35" w:name="_Toc300596468"/>
      <w:bookmarkStart w:id="36" w:name="_Toc300595934"/>
      <w:bookmarkStart w:id="37" w:name="_Toc300599920"/>
    </w:p>
    <w:bookmarkEnd w:id="32"/>
    <w:bookmarkEnd w:id="33"/>
    <w:bookmarkEnd w:id="34"/>
    <w:bookmarkEnd w:id="35"/>
    <w:bookmarkEnd w:id="36"/>
    <w:bookmarkEnd w:id="37"/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0" w:firstLineChars="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38" w:name="_Toc25703"/>
      <w:bookmarkStart w:id="39" w:name="_Toc13409"/>
      <w:bookmarkStart w:id="40" w:name="_Toc29190_WPSOffice_Level1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2.8 蓄水箱制作安装</w:t>
      </w:r>
      <w:bookmarkEnd w:id="38"/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本工程实施制作安装蓄水箱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2套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eastAsia="zh-CN"/>
        </w:rPr>
        <w:t>，分别位于屯昌县水务事务中心大楼和屯昌县资规局大楼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，用于收集楼面雨水，回用绿化浇灌。箱体容积为5m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vertAlign w:val="superscript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材质为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不锈钢。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42130" cy="4404360"/>
            <wp:effectExtent l="0" t="0" r="127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u w:val="single"/>
          <w:lang w:val="en-US" w:eastAsia="zh-CN"/>
        </w:rPr>
        <w:t>蓄水箱样式图</w:t>
      </w:r>
    </w:p>
    <w:bookmarkEnd w:id="39"/>
    <w:bookmarkEnd w:id="4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0036"/>
    <w:rsid w:val="32A80036"/>
    <w:rsid w:val="4EC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/>
      <w:jc w:val="left"/>
      <w:outlineLvl w:val="1"/>
    </w:pPr>
    <w:rPr>
      <w:rFonts w:ascii="华文仿宋" w:hAnsi="华文仿宋" w:eastAsia="华文仿宋"/>
      <w:b/>
      <w:sz w:val="3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420" w:firstLineChars="200"/>
      <w:outlineLvl w:val="2"/>
    </w:pPr>
    <w:rPr>
      <w:rFonts w:ascii="华文仿宋" w:hAnsi="华文仿宋" w:eastAsia="华文仿宋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192" w:firstLineChars="192"/>
    </w:pPr>
    <w:rPr>
      <w:rFonts w:eastAsia="宋体"/>
      <w:szCs w:val="20"/>
    </w:rPr>
  </w:style>
  <w:style w:type="paragraph" w:styleId="5">
    <w:name w:val="Body Text First Indent 2"/>
    <w:basedOn w:val="4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2021-03-02T10:48:00Z</dcterms:created>
  <dc:creator>政辉</dc:creator>
  <cp:lastModifiedBy>政辉</cp:lastModifiedBy>
  <dcterms:modified xsi:type="dcterms:W3CDTF">2021-03-03T03:26:56Z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